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200D" w14:textId="77777777" w:rsidR="00E66833" w:rsidRPr="00E66833" w:rsidRDefault="00E66833" w:rsidP="00E66833">
      <w:pPr>
        <w:jc w:val="center"/>
        <w:rPr>
          <w:b/>
          <w:bCs/>
          <w:sz w:val="32"/>
          <w:szCs w:val="32"/>
        </w:rPr>
      </w:pPr>
      <w:r w:rsidRPr="00E66833">
        <w:rPr>
          <w:b/>
          <w:bCs/>
          <w:sz w:val="32"/>
          <w:szCs w:val="32"/>
        </w:rPr>
        <w:t>Developeři očekávají v roce 2026 oživení trhu – výstavba poroste, ale poptávku nepokryje</w:t>
      </w:r>
    </w:p>
    <w:p w14:paraId="4EED7B9F" w14:textId="77777777" w:rsidR="00E66833" w:rsidRPr="00E66833" w:rsidRDefault="00E66833" w:rsidP="0011627D">
      <w:pPr>
        <w:spacing w:line="276" w:lineRule="auto"/>
        <w:jc w:val="both"/>
        <w:rPr>
          <w:b/>
          <w:bCs/>
          <w:sz w:val="22"/>
          <w:szCs w:val="22"/>
        </w:rPr>
      </w:pPr>
      <w:r w:rsidRPr="00E66833">
        <w:rPr>
          <w:b/>
          <w:bCs/>
          <w:sz w:val="22"/>
          <w:szCs w:val="22"/>
        </w:rPr>
        <w:t xml:space="preserve">Developerské společnosti plánují v roce 2026 zvýšit objem nové výstavby. Podle aktuálního průzkumu společnosti CEEC </w:t>
      </w:r>
      <w:proofErr w:type="spellStart"/>
      <w:r w:rsidRPr="00E66833">
        <w:rPr>
          <w:b/>
          <w:bCs/>
          <w:sz w:val="22"/>
          <w:szCs w:val="22"/>
        </w:rPr>
        <w:t>Research</w:t>
      </w:r>
      <w:proofErr w:type="spellEnd"/>
      <w:r w:rsidRPr="00E66833">
        <w:rPr>
          <w:b/>
          <w:bCs/>
          <w:sz w:val="22"/>
          <w:szCs w:val="22"/>
        </w:rPr>
        <w:t xml:space="preserve"> by měla nabídka nových bytů růst v Praze i regionech v každém pololetí zhruba o dvě procenta. Přestože jde o relativně mírný nárůst, signalizuje to postupné oživení trhu, který v uplynulých letech čelil stagnaci a nedostatku bytů, zejména ve velkých městech. Zároveň 86 % developerských firem očekává růst poptávky, 90 % pak předpokládá další zdražování. </w:t>
      </w:r>
    </w:p>
    <w:p w14:paraId="07AC67FE" w14:textId="77777777" w:rsidR="00E66833" w:rsidRPr="00E66833" w:rsidRDefault="00E66833" w:rsidP="0011627D">
      <w:pPr>
        <w:spacing w:line="276" w:lineRule="auto"/>
        <w:jc w:val="both"/>
        <w:rPr>
          <w:b/>
          <w:bCs/>
          <w:sz w:val="22"/>
          <w:szCs w:val="22"/>
        </w:rPr>
      </w:pPr>
      <w:r w:rsidRPr="00E66833">
        <w:rPr>
          <w:b/>
          <w:bCs/>
          <w:sz w:val="22"/>
          <w:szCs w:val="22"/>
        </w:rPr>
        <w:t>„</w:t>
      </w:r>
      <w:r w:rsidRPr="0023678F">
        <w:rPr>
          <w:b/>
          <w:bCs/>
          <w:i/>
          <w:iCs/>
          <w:sz w:val="22"/>
          <w:szCs w:val="22"/>
        </w:rPr>
        <w:t>I když developeři plánují navýšení nabídky, poptávka domácností i investorů stále výrazně převyšuje možnosti trhu. Nedostatek bytů se proto nezmírňuje tak rychle, jak by si lidé přáli. To je realita, kterou pociťují nejen kupující při hledání dostupného bydlení, ale i samotní developeři, kteří čelí i nadále složitým povolovacím procesům a narůstajícím vstupním nákladům</w:t>
      </w:r>
      <w:r w:rsidRPr="00E66833">
        <w:rPr>
          <w:b/>
          <w:bCs/>
          <w:sz w:val="22"/>
          <w:szCs w:val="22"/>
        </w:rPr>
        <w:t xml:space="preserve">,“ uvádí Michal Vacek, ředitel společnosti CEEC </w:t>
      </w:r>
      <w:proofErr w:type="spellStart"/>
      <w:r w:rsidRPr="00E66833">
        <w:rPr>
          <w:b/>
          <w:bCs/>
          <w:sz w:val="22"/>
          <w:szCs w:val="22"/>
        </w:rPr>
        <w:t>Research</w:t>
      </w:r>
      <w:proofErr w:type="spellEnd"/>
      <w:r w:rsidRPr="00E66833">
        <w:rPr>
          <w:b/>
          <w:bCs/>
          <w:sz w:val="22"/>
          <w:szCs w:val="22"/>
        </w:rPr>
        <w:t xml:space="preserve">. </w:t>
      </w:r>
    </w:p>
    <w:p w14:paraId="7C1E3DF5" w14:textId="77777777" w:rsidR="00E66833" w:rsidRPr="00E66833" w:rsidRDefault="00E66833" w:rsidP="0011627D">
      <w:pPr>
        <w:spacing w:line="276" w:lineRule="auto"/>
        <w:jc w:val="both"/>
        <w:rPr>
          <w:sz w:val="22"/>
          <w:szCs w:val="22"/>
        </w:rPr>
      </w:pPr>
      <w:r w:rsidRPr="00E66833">
        <w:rPr>
          <w:sz w:val="22"/>
          <w:szCs w:val="22"/>
        </w:rPr>
        <w:t xml:space="preserve">V první polovině roku 2026 očekávají developeři v Praze nárůst nabídky o 2,1 %, v regionech o 1,9 %. Ve druhém pololetí by tempo růstu mělo mírně zrychlit – v hlavním městě na 2,4 %, mimo Prahu na 2,3 %. Téměř 76 % oslovených firem plánuje v příštím roce navýšit objem výstavby. Vyplývá to z nejnovější kvartální analýzy CEEC </w:t>
      </w:r>
      <w:proofErr w:type="spellStart"/>
      <w:r w:rsidRPr="00E66833">
        <w:rPr>
          <w:sz w:val="22"/>
          <w:szCs w:val="22"/>
        </w:rPr>
        <w:t>Research</w:t>
      </w:r>
      <w:proofErr w:type="spellEnd"/>
      <w:r w:rsidRPr="00E66833">
        <w:rPr>
          <w:sz w:val="22"/>
          <w:szCs w:val="22"/>
        </w:rPr>
        <w:t xml:space="preserve">, do které se zapojilo 50 ředitelů developerských firem prostřednictvím osobních či elektronických rozhovorů. </w:t>
      </w:r>
    </w:p>
    <w:p w14:paraId="2F3BD32C" w14:textId="77777777" w:rsidR="00E66833" w:rsidRPr="0023678F" w:rsidRDefault="00E66833" w:rsidP="0011627D">
      <w:pPr>
        <w:spacing w:line="276" w:lineRule="auto"/>
        <w:jc w:val="both"/>
        <w:rPr>
          <w:b/>
          <w:bCs/>
          <w:sz w:val="22"/>
          <w:szCs w:val="22"/>
        </w:rPr>
      </w:pPr>
      <w:r w:rsidRPr="0023678F">
        <w:rPr>
          <w:b/>
          <w:bCs/>
          <w:sz w:val="22"/>
          <w:szCs w:val="22"/>
        </w:rPr>
        <w:t>Developeři zahajují odložené projekty</w:t>
      </w:r>
    </w:p>
    <w:p w14:paraId="2520F981" w14:textId="77777777" w:rsidR="00E66833" w:rsidRPr="00E66833" w:rsidRDefault="00E66833" w:rsidP="0011627D">
      <w:pPr>
        <w:spacing w:line="276" w:lineRule="auto"/>
        <w:jc w:val="both"/>
        <w:rPr>
          <w:sz w:val="22"/>
          <w:szCs w:val="22"/>
        </w:rPr>
      </w:pPr>
      <w:r w:rsidRPr="00E66833">
        <w:rPr>
          <w:sz w:val="22"/>
          <w:szCs w:val="22"/>
        </w:rPr>
        <w:t>I když počet nových bytů bude rozrůstat, nepokryje to vysokou poptávku na trhu. V první polovině roku má v Česku vzrůst zájem o bydlení o 3,5</w:t>
      </w:r>
      <w:r w:rsidRPr="00E66833">
        <w:rPr>
          <w:rFonts w:ascii="Arial" w:hAnsi="Arial" w:cs="Arial"/>
          <w:sz w:val="22"/>
          <w:szCs w:val="22"/>
        </w:rPr>
        <w:t> </w:t>
      </w:r>
      <w:r w:rsidRPr="00E66833">
        <w:rPr>
          <w:sz w:val="22"/>
          <w:szCs w:val="22"/>
        </w:rPr>
        <w:t>%, v Praze o 3,2</w:t>
      </w:r>
      <w:r w:rsidRPr="00E66833">
        <w:rPr>
          <w:rFonts w:ascii="Arial" w:hAnsi="Arial" w:cs="Arial"/>
          <w:sz w:val="22"/>
          <w:szCs w:val="22"/>
        </w:rPr>
        <w:t> </w:t>
      </w:r>
      <w:r w:rsidRPr="00E66833">
        <w:rPr>
          <w:sz w:val="22"/>
          <w:szCs w:val="22"/>
        </w:rPr>
        <w:t>%. Ve druh</w:t>
      </w:r>
      <w:r w:rsidRPr="00E66833">
        <w:rPr>
          <w:rFonts w:ascii="Aptos" w:hAnsi="Aptos" w:cs="Aptos"/>
          <w:sz w:val="22"/>
          <w:szCs w:val="22"/>
        </w:rPr>
        <w:t>é</w:t>
      </w:r>
      <w:r w:rsidRPr="00E66833">
        <w:rPr>
          <w:sz w:val="22"/>
          <w:szCs w:val="22"/>
        </w:rPr>
        <w:t>m pololet</w:t>
      </w:r>
      <w:r w:rsidRPr="00E66833">
        <w:rPr>
          <w:rFonts w:ascii="Aptos" w:hAnsi="Aptos" w:cs="Aptos"/>
          <w:sz w:val="22"/>
          <w:szCs w:val="22"/>
        </w:rPr>
        <w:t>í</w:t>
      </w:r>
      <w:r w:rsidRPr="00E66833">
        <w:rPr>
          <w:sz w:val="22"/>
          <w:szCs w:val="22"/>
        </w:rPr>
        <w:t xml:space="preserve"> by m</w:t>
      </w:r>
      <w:r w:rsidRPr="00E66833">
        <w:rPr>
          <w:rFonts w:ascii="Aptos" w:hAnsi="Aptos" w:cs="Aptos"/>
          <w:sz w:val="22"/>
          <w:szCs w:val="22"/>
        </w:rPr>
        <w:t>ě</w:t>
      </w:r>
      <w:r w:rsidRPr="00E66833">
        <w:rPr>
          <w:sz w:val="22"/>
          <w:szCs w:val="22"/>
        </w:rPr>
        <w:t>l b</w:t>
      </w:r>
      <w:r w:rsidRPr="00E66833">
        <w:rPr>
          <w:rFonts w:ascii="Aptos" w:hAnsi="Aptos" w:cs="Aptos"/>
          <w:sz w:val="22"/>
          <w:szCs w:val="22"/>
        </w:rPr>
        <w:t>ý</w:t>
      </w:r>
      <w:r w:rsidRPr="00E66833">
        <w:rPr>
          <w:sz w:val="22"/>
          <w:szCs w:val="22"/>
        </w:rPr>
        <w:t>t n</w:t>
      </w:r>
      <w:r w:rsidRPr="00E66833">
        <w:rPr>
          <w:rFonts w:ascii="Aptos" w:hAnsi="Aptos" w:cs="Aptos"/>
          <w:sz w:val="22"/>
          <w:szCs w:val="22"/>
        </w:rPr>
        <w:t>á</w:t>
      </w:r>
      <w:r w:rsidRPr="00E66833">
        <w:rPr>
          <w:sz w:val="22"/>
          <w:szCs w:val="22"/>
        </w:rPr>
        <w:t>r</w:t>
      </w:r>
      <w:r w:rsidRPr="00E66833">
        <w:rPr>
          <w:rFonts w:ascii="Aptos" w:hAnsi="Aptos" w:cs="Aptos"/>
          <w:sz w:val="22"/>
          <w:szCs w:val="22"/>
        </w:rPr>
        <w:t>ů</w:t>
      </w:r>
      <w:r w:rsidRPr="00E66833">
        <w:rPr>
          <w:sz w:val="22"/>
          <w:szCs w:val="22"/>
        </w:rPr>
        <w:t>st je</w:t>
      </w:r>
      <w:r w:rsidRPr="00E66833">
        <w:rPr>
          <w:rFonts w:ascii="Aptos" w:hAnsi="Aptos" w:cs="Aptos"/>
          <w:sz w:val="22"/>
          <w:szCs w:val="22"/>
        </w:rPr>
        <w:t>š</w:t>
      </w:r>
      <w:r w:rsidRPr="00E66833">
        <w:rPr>
          <w:sz w:val="22"/>
          <w:szCs w:val="22"/>
        </w:rPr>
        <w:t>t</w:t>
      </w:r>
      <w:r w:rsidRPr="00E66833">
        <w:rPr>
          <w:rFonts w:ascii="Aptos" w:hAnsi="Aptos" w:cs="Aptos"/>
          <w:sz w:val="22"/>
          <w:szCs w:val="22"/>
        </w:rPr>
        <w:t>ě</w:t>
      </w:r>
      <w:r w:rsidRPr="00E66833">
        <w:rPr>
          <w:sz w:val="22"/>
          <w:szCs w:val="22"/>
        </w:rPr>
        <w:t xml:space="preserve"> v</w:t>
      </w:r>
      <w:r w:rsidRPr="00E66833">
        <w:rPr>
          <w:rFonts w:ascii="Aptos" w:hAnsi="Aptos" w:cs="Aptos"/>
          <w:sz w:val="22"/>
          <w:szCs w:val="22"/>
        </w:rPr>
        <w:t>ý</w:t>
      </w:r>
      <w:r w:rsidRPr="00E66833">
        <w:rPr>
          <w:sz w:val="22"/>
          <w:szCs w:val="22"/>
        </w:rPr>
        <w:t>razn</w:t>
      </w:r>
      <w:r w:rsidRPr="00E66833">
        <w:rPr>
          <w:rFonts w:ascii="Aptos" w:hAnsi="Aptos" w:cs="Aptos"/>
          <w:sz w:val="22"/>
          <w:szCs w:val="22"/>
        </w:rPr>
        <w:t>ě</w:t>
      </w:r>
      <w:r w:rsidRPr="00E66833">
        <w:rPr>
          <w:sz w:val="22"/>
          <w:szCs w:val="22"/>
        </w:rPr>
        <w:t>j</w:t>
      </w:r>
      <w:r w:rsidRPr="00E66833">
        <w:rPr>
          <w:rFonts w:ascii="Aptos" w:hAnsi="Aptos" w:cs="Aptos"/>
          <w:sz w:val="22"/>
          <w:szCs w:val="22"/>
        </w:rPr>
        <w:t>ší</w:t>
      </w:r>
      <w:r w:rsidRPr="00E66833">
        <w:rPr>
          <w:sz w:val="22"/>
          <w:szCs w:val="22"/>
        </w:rPr>
        <w:t>, celost</w:t>
      </w:r>
      <w:r w:rsidRPr="00E66833">
        <w:rPr>
          <w:rFonts w:ascii="Aptos" w:hAnsi="Aptos" w:cs="Aptos"/>
          <w:sz w:val="22"/>
          <w:szCs w:val="22"/>
        </w:rPr>
        <w:t>á</w:t>
      </w:r>
      <w:r w:rsidRPr="00E66833">
        <w:rPr>
          <w:sz w:val="22"/>
          <w:szCs w:val="22"/>
        </w:rPr>
        <w:t>tn</w:t>
      </w:r>
      <w:r w:rsidRPr="00E66833">
        <w:rPr>
          <w:rFonts w:ascii="Aptos" w:hAnsi="Aptos" w:cs="Aptos"/>
          <w:sz w:val="22"/>
          <w:szCs w:val="22"/>
        </w:rPr>
        <w:t>ě</w:t>
      </w:r>
      <w:r w:rsidRPr="00E66833">
        <w:rPr>
          <w:sz w:val="22"/>
          <w:szCs w:val="22"/>
        </w:rPr>
        <w:t xml:space="preserve"> o 5,3 %, v hlavn</w:t>
      </w:r>
      <w:r w:rsidRPr="00E66833">
        <w:rPr>
          <w:rFonts w:ascii="Aptos" w:hAnsi="Aptos" w:cs="Aptos"/>
          <w:sz w:val="22"/>
          <w:szCs w:val="22"/>
        </w:rPr>
        <w:t>í</w:t>
      </w:r>
      <w:r w:rsidRPr="00E66833">
        <w:rPr>
          <w:sz w:val="22"/>
          <w:szCs w:val="22"/>
        </w:rPr>
        <w:t>m m</w:t>
      </w:r>
      <w:r w:rsidRPr="00E66833">
        <w:rPr>
          <w:rFonts w:ascii="Aptos" w:hAnsi="Aptos" w:cs="Aptos"/>
          <w:sz w:val="22"/>
          <w:szCs w:val="22"/>
        </w:rPr>
        <w:t>ě</w:t>
      </w:r>
      <w:r w:rsidRPr="00E66833">
        <w:rPr>
          <w:sz w:val="22"/>
          <w:szCs w:val="22"/>
        </w:rPr>
        <w:t>st</w:t>
      </w:r>
      <w:r w:rsidRPr="00E66833">
        <w:rPr>
          <w:rFonts w:ascii="Aptos" w:hAnsi="Aptos" w:cs="Aptos"/>
          <w:sz w:val="22"/>
          <w:szCs w:val="22"/>
        </w:rPr>
        <w:t>ě</w:t>
      </w:r>
      <w:r w:rsidRPr="00E66833">
        <w:rPr>
          <w:sz w:val="22"/>
          <w:szCs w:val="22"/>
        </w:rPr>
        <w:t xml:space="preserve"> o 3,7</w:t>
      </w:r>
      <w:r w:rsidRPr="00E66833">
        <w:rPr>
          <w:rFonts w:ascii="Arial" w:hAnsi="Arial" w:cs="Arial"/>
          <w:sz w:val="22"/>
          <w:szCs w:val="22"/>
        </w:rPr>
        <w:t> </w:t>
      </w:r>
      <w:r w:rsidRPr="00E66833">
        <w:rPr>
          <w:sz w:val="22"/>
          <w:szCs w:val="22"/>
        </w:rPr>
        <w:t>%. Obnoven</w:t>
      </w:r>
      <w:r w:rsidRPr="00E66833">
        <w:rPr>
          <w:rFonts w:ascii="Aptos" w:hAnsi="Aptos" w:cs="Aptos"/>
          <w:sz w:val="22"/>
          <w:szCs w:val="22"/>
        </w:rPr>
        <w:t>ý</w:t>
      </w:r>
      <w:r w:rsidRPr="00E66833">
        <w:rPr>
          <w:sz w:val="22"/>
          <w:szCs w:val="22"/>
        </w:rPr>
        <w:t xml:space="preserve"> z</w:t>
      </w:r>
      <w:r w:rsidRPr="00E66833">
        <w:rPr>
          <w:rFonts w:ascii="Aptos" w:hAnsi="Aptos" w:cs="Aptos"/>
          <w:sz w:val="22"/>
          <w:szCs w:val="22"/>
        </w:rPr>
        <w:t>á</w:t>
      </w:r>
      <w:r w:rsidRPr="00E66833">
        <w:rPr>
          <w:sz w:val="22"/>
          <w:szCs w:val="22"/>
        </w:rPr>
        <w:t>jem se soust</w:t>
      </w:r>
      <w:r w:rsidRPr="00E66833">
        <w:rPr>
          <w:rFonts w:ascii="Aptos" w:hAnsi="Aptos" w:cs="Aptos"/>
          <w:sz w:val="22"/>
          <w:szCs w:val="22"/>
        </w:rPr>
        <w:t>ř</w:t>
      </w:r>
      <w:r w:rsidRPr="00E66833">
        <w:rPr>
          <w:sz w:val="22"/>
          <w:szCs w:val="22"/>
        </w:rPr>
        <w:t>ed</w:t>
      </w:r>
      <w:r w:rsidRPr="00E66833">
        <w:rPr>
          <w:rFonts w:ascii="Aptos" w:hAnsi="Aptos" w:cs="Aptos"/>
          <w:sz w:val="22"/>
          <w:szCs w:val="22"/>
        </w:rPr>
        <w:t>í</w:t>
      </w:r>
      <w:r w:rsidRPr="00E66833">
        <w:rPr>
          <w:sz w:val="22"/>
          <w:szCs w:val="22"/>
        </w:rPr>
        <w:t xml:space="preserve"> p</w:t>
      </w:r>
      <w:r w:rsidRPr="00E66833">
        <w:rPr>
          <w:rFonts w:ascii="Aptos" w:hAnsi="Aptos" w:cs="Aptos"/>
          <w:sz w:val="22"/>
          <w:szCs w:val="22"/>
        </w:rPr>
        <w:t>ř</w:t>
      </w:r>
      <w:r w:rsidRPr="00E66833">
        <w:rPr>
          <w:sz w:val="22"/>
          <w:szCs w:val="22"/>
        </w:rPr>
        <w:t>edev</w:t>
      </w:r>
      <w:r w:rsidRPr="00E66833">
        <w:rPr>
          <w:rFonts w:ascii="Aptos" w:hAnsi="Aptos" w:cs="Aptos"/>
          <w:sz w:val="22"/>
          <w:szCs w:val="22"/>
        </w:rPr>
        <w:t>ší</w:t>
      </w:r>
      <w:r w:rsidRPr="00E66833">
        <w:rPr>
          <w:sz w:val="22"/>
          <w:szCs w:val="22"/>
        </w:rPr>
        <w:t>m na men</w:t>
      </w:r>
      <w:r w:rsidRPr="00E66833">
        <w:rPr>
          <w:rFonts w:ascii="Aptos" w:hAnsi="Aptos" w:cs="Aptos"/>
          <w:sz w:val="22"/>
          <w:szCs w:val="22"/>
        </w:rPr>
        <w:t>ší</w:t>
      </w:r>
      <w:r w:rsidRPr="00E66833">
        <w:rPr>
          <w:sz w:val="22"/>
          <w:szCs w:val="22"/>
        </w:rPr>
        <w:t xml:space="preserve"> byty a projekty s dobrou dopravn</w:t>
      </w:r>
      <w:r w:rsidRPr="00E66833">
        <w:rPr>
          <w:rFonts w:ascii="Aptos" w:hAnsi="Aptos" w:cs="Aptos"/>
          <w:sz w:val="22"/>
          <w:szCs w:val="22"/>
        </w:rPr>
        <w:t>í</w:t>
      </w:r>
      <w:r w:rsidRPr="00E66833">
        <w:rPr>
          <w:sz w:val="22"/>
          <w:szCs w:val="22"/>
        </w:rPr>
        <w:t xml:space="preserve"> dostupnost</w:t>
      </w:r>
      <w:r w:rsidRPr="00E66833">
        <w:rPr>
          <w:rFonts w:ascii="Aptos" w:hAnsi="Aptos" w:cs="Aptos"/>
          <w:sz w:val="22"/>
          <w:szCs w:val="22"/>
        </w:rPr>
        <w:t>í</w:t>
      </w:r>
      <w:r w:rsidRPr="00E66833">
        <w:rPr>
          <w:sz w:val="22"/>
          <w:szCs w:val="22"/>
        </w:rPr>
        <w:t xml:space="preserve">. </w:t>
      </w:r>
      <w:r w:rsidRPr="00E66833">
        <w:rPr>
          <w:rFonts w:ascii="Aptos" w:hAnsi="Aptos" w:cs="Aptos"/>
          <w:sz w:val="22"/>
          <w:szCs w:val="22"/>
        </w:rPr>
        <w:t>„</w:t>
      </w:r>
      <w:r w:rsidRPr="0023678F">
        <w:rPr>
          <w:i/>
          <w:iCs/>
          <w:sz w:val="22"/>
          <w:szCs w:val="22"/>
        </w:rPr>
        <w:t>Popt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vka po bydlen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 xml:space="preserve"> bude i nad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le velmi siln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 xml:space="preserve"> a nab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>dka, kterou i nad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le v</w:t>
      </w:r>
      <w:r w:rsidRPr="0023678F">
        <w:rPr>
          <w:rFonts w:ascii="Aptos" w:hAnsi="Aptos" w:cs="Aptos"/>
          <w:i/>
          <w:iCs/>
          <w:sz w:val="22"/>
          <w:szCs w:val="22"/>
        </w:rPr>
        <w:t>ý</w:t>
      </w:r>
      <w:r w:rsidRPr="0023678F">
        <w:rPr>
          <w:i/>
          <w:iCs/>
          <w:sz w:val="22"/>
          <w:szCs w:val="22"/>
        </w:rPr>
        <w:t>razn</w:t>
      </w:r>
      <w:r w:rsidRPr="0023678F">
        <w:rPr>
          <w:rFonts w:ascii="Aptos" w:hAnsi="Aptos" w:cs="Aptos"/>
          <w:i/>
          <w:iCs/>
          <w:sz w:val="22"/>
          <w:szCs w:val="22"/>
        </w:rPr>
        <w:t>ě</w:t>
      </w:r>
      <w:r w:rsidRPr="0023678F">
        <w:rPr>
          <w:i/>
          <w:iCs/>
          <w:sz w:val="22"/>
          <w:szCs w:val="22"/>
        </w:rPr>
        <w:t xml:space="preserve"> omezuje nefunk</w:t>
      </w:r>
      <w:r w:rsidRPr="0023678F">
        <w:rPr>
          <w:rFonts w:ascii="Aptos" w:hAnsi="Aptos" w:cs="Aptos"/>
          <w:i/>
          <w:iCs/>
          <w:sz w:val="22"/>
          <w:szCs w:val="22"/>
        </w:rPr>
        <w:t>č</w:t>
      </w:r>
      <w:r w:rsidRPr="0023678F">
        <w:rPr>
          <w:i/>
          <w:iCs/>
          <w:sz w:val="22"/>
          <w:szCs w:val="22"/>
        </w:rPr>
        <w:t>n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 xml:space="preserve"> povolov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n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 xml:space="preserve"> staveb, nebude schopna ji pokr</w:t>
      </w:r>
      <w:r w:rsidRPr="0023678F">
        <w:rPr>
          <w:rFonts w:ascii="Aptos" w:hAnsi="Aptos" w:cs="Aptos"/>
          <w:i/>
          <w:iCs/>
          <w:sz w:val="22"/>
          <w:szCs w:val="22"/>
        </w:rPr>
        <w:t>ý</w:t>
      </w:r>
      <w:r w:rsidRPr="0023678F">
        <w:rPr>
          <w:i/>
          <w:iCs/>
          <w:sz w:val="22"/>
          <w:szCs w:val="22"/>
        </w:rPr>
        <w:t>t. Proto o</w:t>
      </w:r>
      <w:r w:rsidRPr="0023678F">
        <w:rPr>
          <w:rFonts w:ascii="Aptos" w:hAnsi="Aptos" w:cs="Aptos"/>
          <w:i/>
          <w:iCs/>
          <w:sz w:val="22"/>
          <w:szCs w:val="22"/>
        </w:rPr>
        <w:t>č</w:t>
      </w:r>
      <w:r w:rsidRPr="0023678F">
        <w:rPr>
          <w:i/>
          <w:iCs/>
          <w:sz w:val="22"/>
          <w:szCs w:val="22"/>
        </w:rPr>
        <w:t>ek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váme, že ceny bytů porostou o dalších 5 až 10 procent</w:t>
      </w:r>
      <w:r w:rsidRPr="00E66833">
        <w:rPr>
          <w:sz w:val="22"/>
          <w:szCs w:val="22"/>
        </w:rPr>
        <w:t xml:space="preserve">,“ prohlásil </w:t>
      </w:r>
      <w:r w:rsidRPr="0023678F">
        <w:rPr>
          <w:b/>
          <w:bCs/>
          <w:sz w:val="22"/>
          <w:szCs w:val="22"/>
        </w:rPr>
        <w:t>Dušan Kunovský, předseda představenstva společnosti CENTRAL GROUP</w:t>
      </w:r>
      <w:r w:rsidRPr="00E66833">
        <w:rPr>
          <w:sz w:val="22"/>
          <w:szCs w:val="22"/>
        </w:rPr>
        <w:t xml:space="preserve">. </w:t>
      </w:r>
    </w:p>
    <w:p w14:paraId="7D109E61" w14:textId="77777777" w:rsidR="00E66833" w:rsidRPr="00E66833" w:rsidRDefault="00E66833" w:rsidP="0011627D">
      <w:pPr>
        <w:spacing w:line="276" w:lineRule="auto"/>
        <w:jc w:val="both"/>
        <w:rPr>
          <w:sz w:val="22"/>
          <w:szCs w:val="22"/>
        </w:rPr>
      </w:pPr>
      <w:r w:rsidRPr="00E66833">
        <w:rPr>
          <w:sz w:val="22"/>
          <w:szCs w:val="22"/>
        </w:rPr>
        <w:t>Oproti roku 2025 developeři v roce 2026 vyhlíží zřetelné oživení tempa výstavby a nárůst počtu nových bytů. „</w:t>
      </w:r>
      <w:r w:rsidRPr="0023678F">
        <w:rPr>
          <w:i/>
          <w:iCs/>
          <w:sz w:val="22"/>
          <w:szCs w:val="22"/>
        </w:rPr>
        <w:t xml:space="preserve">Minulý rok byl do určité míry ovlivněn dozvuky období </w:t>
      </w:r>
      <w:proofErr w:type="spellStart"/>
      <w:r w:rsidRPr="0023678F">
        <w:rPr>
          <w:i/>
          <w:iCs/>
          <w:sz w:val="22"/>
          <w:szCs w:val="22"/>
        </w:rPr>
        <w:t>COVIDu</w:t>
      </w:r>
      <w:proofErr w:type="spellEnd"/>
      <w:r w:rsidRPr="0023678F">
        <w:rPr>
          <w:i/>
          <w:iCs/>
          <w:sz w:val="22"/>
          <w:szCs w:val="22"/>
        </w:rPr>
        <w:t>, které se projevilo nižší aktivitou v uzavírání nových kontraktů a odkládáním projektů. Nyní vidíme, že developeři znovu zahajují projekty, které byly pozastavené, a poptávka po novém bydlení zůstává dlouhodobě vysoká – zejména v Praze</w:t>
      </w:r>
      <w:r w:rsidRPr="00E66833">
        <w:rPr>
          <w:sz w:val="22"/>
          <w:szCs w:val="22"/>
        </w:rPr>
        <w:t xml:space="preserve">,“ potvrdil </w:t>
      </w:r>
      <w:r w:rsidRPr="0023678F">
        <w:rPr>
          <w:b/>
          <w:bCs/>
          <w:sz w:val="22"/>
          <w:szCs w:val="22"/>
        </w:rPr>
        <w:t xml:space="preserve">Tomáš </w:t>
      </w:r>
      <w:proofErr w:type="spellStart"/>
      <w:r w:rsidRPr="0023678F">
        <w:rPr>
          <w:b/>
          <w:bCs/>
          <w:sz w:val="22"/>
          <w:szCs w:val="22"/>
        </w:rPr>
        <w:t>Lisec</w:t>
      </w:r>
      <w:proofErr w:type="spellEnd"/>
      <w:r w:rsidRPr="0023678F">
        <w:rPr>
          <w:b/>
          <w:bCs/>
          <w:sz w:val="22"/>
          <w:szCs w:val="22"/>
        </w:rPr>
        <w:t xml:space="preserve">, </w:t>
      </w:r>
      <w:proofErr w:type="spellStart"/>
      <w:r w:rsidRPr="0023678F">
        <w:rPr>
          <w:b/>
          <w:bCs/>
          <w:sz w:val="22"/>
          <w:szCs w:val="22"/>
        </w:rPr>
        <w:t>operations</w:t>
      </w:r>
      <w:proofErr w:type="spellEnd"/>
      <w:r w:rsidRPr="0023678F">
        <w:rPr>
          <w:b/>
          <w:bCs/>
          <w:sz w:val="22"/>
          <w:szCs w:val="22"/>
        </w:rPr>
        <w:t xml:space="preserve"> manager BARKOTEX Praha</w:t>
      </w:r>
      <w:r w:rsidRPr="00E66833">
        <w:rPr>
          <w:sz w:val="22"/>
          <w:szCs w:val="22"/>
        </w:rPr>
        <w:t xml:space="preserve">. </w:t>
      </w:r>
    </w:p>
    <w:p w14:paraId="0198EB40" w14:textId="77777777" w:rsidR="00E66833" w:rsidRPr="0023678F" w:rsidRDefault="00E66833" w:rsidP="0011627D">
      <w:pPr>
        <w:spacing w:line="276" w:lineRule="auto"/>
        <w:jc w:val="both"/>
        <w:rPr>
          <w:b/>
          <w:bCs/>
          <w:sz w:val="22"/>
          <w:szCs w:val="22"/>
        </w:rPr>
      </w:pPr>
      <w:r w:rsidRPr="0023678F">
        <w:rPr>
          <w:b/>
          <w:bCs/>
          <w:sz w:val="22"/>
          <w:szCs w:val="22"/>
        </w:rPr>
        <w:t>Ceny nemovitostí porostou i v roce 2026</w:t>
      </w:r>
    </w:p>
    <w:p w14:paraId="62859B0A" w14:textId="77777777" w:rsidR="00E66833" w:rsidRPr="00E66833" w:rsidRDefault="00E66833" w:rsidP="0011627D">
      <w:pPr>
        <w:spacing w:line="276" w:lineRule="auto"/>
        <w:jc w:val="both"/>
        <w:rPr>
          <w:sz w:val="22"/>
          <w:szCs w:val="22"/>
        </w:rPr>
      </w:pPr>
      <w:r w:rsidRPr="00E66833">
        <w:rPr>
          <w:sz w:val="22"/>
          <w:szCs w:val="22"/>
        </w:rPr>
        <w:t>Devět z deseti developerů očekává, že ceny nemovitostí budou i nadále růst. Tento výhled vychází nejen ze stabilní poptávky, ale i z rostoucích nákladů – od zdražujících stavebních materiálů přes nedostatek pracovní síly až po složité a zdlouhavé povolovací procesy.</w:t>
      </w:r>
    </w:p>
    <w:p w14:paraId="3A99AF98" w14:textId="77777777" w:rsidR="00E66833" w:rsidRPr="00E66833" w:rsidRDefault="00E66833" w:rsidP="0011627D">
      <w:pPr>
        <w:spacing w:line="276" w:lineRule="auto"/>
        <w:jc w:val="both"/>
        <w:rPr>
          <w:sz w:val="22"/>
          <w:szCs w:val="22"/>
        </w:rPr>
      </w:pPr>
      <w:r w:rsidRPr="00E66833">
        <w:rPr>
          <w:sz w:val="22"/>
          <w:szCs w:val="22"/>
        </w:rPr>
        <w:t>„</w:t>
      </w:r>
      <w:r w:rsidRPr="0023678F">
        <w:rPr>
          <w:i/>
          <w:iCs/>
          <w:sz w:val="22"/>
          <w:szCs w:val="22"/>
        </w:rPr>
        <w:t xml:space="preserve">Převis poptávky kupujících nad nabídkou bude při stávající nedostatečné nové výstavbě a silném růstu cen bytů a domů, což zvyšuje i podíl nemovitostí pořizovaných jako investici, přetrvávat i v roce 2026. Situaci sledujeme pomocí ČSOB Indexu bydlení, a podle posledních dat z 2. čtvrtletí </w:t>
      </w:r>
      <w:r w:rsidRPr="0023678F">
        <w:rPr>
          <w:i/>
          <w:iCs/>
          <w:sz w:val="22"/>
          <w:szCs w:val="22"/>
        </w:rPr>
        <w:lastRenderedPageBreak/>
        <w:t>2025 meziročně ceny bytů stouply o 13,8 %, ceny domů o 8,7</w:t>
      </w:r>
      <w:r w:rsidRPr="0023678F">
        <w:rPr>
          <w:rFonts w:ascii="Arial" w:hAnsi="Arial" w:cs="Arial"/>
          <w:i/>
          <w:iCs/>
          <w:sz w:val="22"/>
          <w:szCs w:val="22"/>
        </w:rPr>
        <w:t> </w:t>
      </w:r>
      <w:r w:rsidRPr="0023678F">
        <w:rPr>
          <w:i/>
          <w:iCs/>
          <w:sz w:val="22"/>
          <w:szCs w:val="22"/>
        </w:rPr>
        <w:t>% a ceny pozemk</w:t>
      </w:r>
      <w:r w:rsidRPr="0023678F">
        <w:rPr>
          <w:rFonts w:ascii="Aptos" w:hAnsi="Aptos" w:cs="Aptos"/>
          <w:i/>
          <w:iCs/>
          <w:sz w:val="22"/>
          <w:szCs w:val="22"/>
        </w:rPr>
        <w:t>ů</w:t>
      </w:r>
      <w:r w:rsidRPr="0023678F">
        <w:rPr>
          <w:i/>
          <w:iCs/>
          <w:sz w:val="22"/>
          <w:szCs w:val="22"/>
        </w:rPr>
        <w:t xml:space="preserve"> o 7,2 %. Ceny v</w:t>
      </w:r>
      <w:r w:rsidRPr="0023678F">
        <w:rPr>
          <w:rFonts w:ascii="Aptos" w:hAnsi="Aptos" w:cs="Aptos"/>
          <w:i/>
          <w:iCs/>
          <w:sz w:val="22"/>
          <w:szCs w:val="22"/>
        </w:rPr>
        <w:t>š</w:t>
      </w:r>
      <w:r w:rsidRPr="0023678F">
        <w:rPr>
          <w:i/>
          <w:iCs/>
          <w:sz w:val="22"/>
          <w:szCs w:val="22"/>
        </w:rPr>
        <w:t>ech kategori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 xml:space="preserve"> nemovitost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 xml:space="preserve"> se tak op</w:t>
      </w:r>
      <w:r w:rsidRPr="0023678F">
        <w:rPr>
          <w:rFonts w:ascii="Aptos" w:hAnsi="Aptos" w:cs="Aptos"/>
          <w:i/>
          <w:iCs/>
          <w:sz w:val="22"/>
          <w:szCs w:val="22"/>
        </w:rPr>
        <w:t>ě</w:t>
      </w:r>
      <w:r w:rsidRPr="0023678F">
        <w:rPr>
          <w:i/>
          <w:iCs/>
          <w:sz w:val="22"/>
          <w:szCs w:val="22"/>
        </w:rPr>
        <w:t>t posunuly na sv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 xml:space="preserve"> nov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 xml:space="preserve"> maxima</w:t>
      </w:r>
      <w:r w:rsidRPr="00E66833">
        <w:rPr>
          <w:sz w:val="22"/>
          <w:szCs w:val="22"/>
        </w:rPr>
        <w:t>,</w:t>
      </w:r>
      <w:r w:rsidRPr="00E66833">
        <w:rPr>
          <w:rFonts w:ascii="Aptos" w:hAnsi="Aptos" w:cs="Aptos"/>
          <w:sz w:val="22"/>
          <w:szCs w:val="22"/>
        </w:rPr>
        <w:t>“</w:t>
      </w:r>
      <w:r w:rsidRPr="00E66833">
        <w:rPr>
          <w:sz w:val="22"/>
          <w:szCs w:val="22"/>
        </w:rPr>
        <w:t xml:space="preserve"> doplnil </w:t>
      </w:r>
      <w:r w:rsidRPr="0023678F">
        <w:rPr>
          <w:b/>
          <w:bCs/>
          <w:sz w:val="22"/>
          <w:szCs w:val="22"/>
        </w:rPr>
        <w:t xml:space="preserve">Miroslav Zetek, </w:t>
      </w:r>
      <w:r w:rsidRPr="0023678F">
        <w:rPr>
          <w:rFonts w:ascii="Aptos" w:hAnsi="Aptos" w:cs="Aptos"/>
          <w:b/>
          <w:bCs/>
          <w:sz w:val="22"/>
          <w:szCs w:val="22"/>
        </w:rPr>
        <w:t>č</w:t>
      </w:r>
      <w:r w:rsidRPr="0023678F">
        <w:rPr>
          <w:b/>
          <w:bCs/>
          <w:sz w:val="22"/>
          <w:szCs w:val="22"/>
        </w:rPr>
        <w:t>len p</w:t>
      </w:r>
      <w:r w:rsidRPr="0023678F">
        <w:rPr>
          <w:rFonts w:ascii="Aptos" w:hAnsi="Aptos" w:cs="Aptos"/>
          <w:b/>
          <w:bCs/>
          <w:sz w:val="22"/>
          <w:szCs w:val="22"/>
        </w:rPr>
        <w:t>ř</w:t>
      </w:r>
      <w:r w:rsidRPr="0023678F">
        <w:rPr>
          <w:b/>
          <w:bCs/>
          <w:sz w:val="22"/>
          <w:szCs w:val="22"/>
        </w:rPr>
        <w:t xml:space="preserve">edstavenstva pro </w:t>
      </w:r>
      <w:r w:rsidRPr="0023678F">
        <w:rPr>
          <w:rFonts w:ascii="Aptos" w:hAnsi="Aptos" w:cs="Aptos"/>
          <w:b/>
          <w:bCs/>
          <w:sz w:val="22"/>
          <w:szCs w:val="22"/>
        </w:rPr>
        <w:t>ří</w:t>
      </w:r>
      <w:r w:rsidRPr="0023678F">
        <w:rPr>
          <w:b/>
          <w:bCs/>
          <w:sz w:val="22"/>
          <w:szCs w:val="22"/>
        </w:rPr>
        <w:t>zen</w:t>
      </w:r>
      <w:r w:rsidRPr="0023678F">
        <w:rPr>
          <w:rFonts w:ascii="Aptos" w:hAnsi="Aptos" w:cs="Aptos"/>
          <w:b/>
          <w:bCs/>
          <w:sz w:val="22"/>
          <w:szCs w:val="22"/>
        </w:rPr>
        <w:t>í</w:t>
      </w:r>
      <w:r w:rsidRPr="0023678F">
        <w:rPr>
          <w:b/>
          <w:bCs/>
          <w:sz w:val="22"/>
          <w:szCs w:val="22"/>
        </w:rPr>
        <w:t xml:space="preserve"> obchodu společnosti ČSOB Hypoteční banka</w:t>
      </w:r>
      <w:r w:rsidRPr="00E66833">
        <w:rPr>
          <w:sz w:val="22"/>
          <w:szCs w:val="22"/>
        </w:rPr>
        <w:t xml:space="preserve">. </w:t>
      </w:r>
    </w:p>
    <w:p w14:paraId="34216BC0" w14:textId="012F778D" w:rsidR="008E69E0" w:rsidRDefault="00E66833" w:rsidP="0011627D">
      <w:pPr>
        <w:spacing w:line="276" w:lineRule="auto"/>
        <w:jc w:val="both"/>
        <w:rPr>
          <w:sz w:val="22"/>
          <w:szCs w:val="22"/>
        </w:rPr>
      </w:pPr>
      <w:r w:rsidRPr="00E66833">
        <w:rPr>
          <w:sz w:val="22"/>
          <w:szCs w:val="22"/>
        </w:rPr>
        <w:t>Navzdory složitým ekonomickým podmínkám zůstává trh rezidenčních nemovitostí z investičního hlediska stabilní. Celkem 71 % developerů nezaznamenává pokles zájmu investorů, dalších 25 % vnímá jen mírné zpomalení. „</w:t>
      </w:r>
      <w:r w:rsidRPr="0023678F">
        <w:rPr>
          <w:i/>
          <w:iCs/>
          <w:sz w:val="22"/>
          <w:szCs w:val="22"/>
        </w:rPr>
        <w:t>Investoři budou i nadále v roce 2026 na trhu aktivní, ale více selektivní. Budou se soustředit hlavně na menší byty v dobrých lokalitách, které mají vyšší výnos z nájmu a nižší riziko neobsazenosti. Předpokládaný růst cen kolem 6 až 7</w:t>
      </w:r>
      <w:r w:rsidRPr="0023678F">
        <w:rPr>
          <w:rFonts w:ascii="Arial" w:hAnsi="Arial" w:cs="Arial"/>
          <w:i/>
          <w:iCs/>
          <w:sz w:val="22"/>
          <w:szCs w:val="22"/>
        </w:rPr>
        <w:t> </w:t>
      </w:r>
      <w:r w:rsidRPr="0023678F">
        <w:rPr>
          <w:i/>
          <w:iCs/>
          <w:sz w:val="22"/>
          <w:szCs w:val="22"/>
        </w:rPr>
        <w:t>% bude p</w:t>
      </w:r>
      <w:r w:rsidRPr="0023678F">
        <w:rPr>
          <w:rFonts w:ascii="Aptos" w:hAnsi="Aptos" w:cs="Aptos"/>
          <w:i/>
          <w:iCs/>
          <w:sz w:val="22"/>
          <w:szCs w:val="22"/>
        </w:rPr>
        <w:t>ř</w:t>
      </w:r>
      <w:r w:rsidRPr="0023678F">
        <w:rPr>
          <w:i/>
          <w:iCs/>
          <w:sz w:val="22"/>
          <w:szCs w:val="22"/>
        </w:rPr>
        <w:t>itom st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le poskytovat zaj</w:t>
      </w:r>
      <w:r w:rsidRPr="0023678F">
        <w:rPr>
          <w:rFonts w:ascii="Aptos" w:hAnsi="Aptos" w:cs="Aptos"/>
          <w:i/>
          <w:iCs/>
          <w:sz w:val="22"/>
          <w:szCs w:val="22"/>
        </w:rPr>
        <w:t>í</w:t>
      </w:r>
      <w:r w:rsidRPr="0023678F">
        <w:rPr>
          <w:i/>
          <w:iCs/>
          <w:sz w:val="22"/>
          <w:szCs w:val="22"/>
        </w:rPr>
        <w:t>mav</w:t>
      </w:r>
      <w:r w:rsidRPr="0023678F">
        <w:rPr>
          <w:rFonts w:ascii="Aptos" w:hAnsi="Aptos" w:cs="Aptos"/>
          <w:i/>
          <w:iCs/>
          <w:sz w:val="22"/>
          <w:szCs w:val="22"/>
        </w:rPr>
        <w:t>ý</w:t>
      </w:r>
      <w:r w:rsidRPr="0023678F">
        <w:rPr>
          <w:i/>
          <w:iCs/>
          <w:sz w:val="22"/>
          <w:szCs w:val="22"/>
        </w:rPr>
        <w:t xml:space="preserve"> potenci</w:t>
      </w:r>
      <w:r w:rsidRPr="0023678F">
        <w:rPr>
          <w:rFonts w:ascii="Aptos" w:hAnsi="Aptos" w:cs="Aptos"/>
          <w:i/>
          <w:iCs/>
          <w:sz w:val="22"/>
          <w:szCs w:val="22"/>
        </w:rPr>
        <w:t>á</w:t>
      </w:r>
      <w:r w:rsidRPr="0023678F">
        <w:rPr>
          <w:i/>
          <w:iCs/>
          <w:sz w:val="22"/>
          <w:szCs w:val="22"/>
        </w:rPr>
        <w:t>l dlouhodob</w:t>
      </w:r>
      <w:r w:rsidRPr="0023678F">
        <w:rPr>
          <w:rFonts w:ascii="Aptos" w:hAnsi="Aptos" w:cs="Aptos"/>
          <w:i/>
          <w:iCs/>
          <w:sz w:val="22"/>
          <w:szCs w:val="22"/>
        </w:rPr>
        <w:t>é</w:t>
      </w:r>
      <w:r w:rsidRPr="0023678F">
        <w:rPr>
          <w:i/>
          <w:iCs/>
          <w:sz w:val="22"/>
          <w:szCs w:val="22"/>
        </w:rPr>
        <w:t>ho zhodnocení</w:t>
      </w:r>
      <w:r w:rsidRPr="00E66833">
        <w:rPr>
          <w:sz w:val="22"/>
          <w:szCs w:val="22"/>
        </w:rPr>
        <w:t xml:space="preserve">,“ prohlásil </w:t>
      </w:r>
      <w:r w:rsidRPr="0023678F">
        <w:rPr>
          <w:b/>
          <w:bCs/>
          <w:sz w:val="22"/>
          <w:szCs w:val="22"/>
        </w:rPr>
        <w:t>Michal Hrbatý, CEO společnosti UlovDomov.cz</w:t>
      </w:r>
      <w:r w:rsidRPr="00E66833">
        <w:rPr>
          <w:sz w:val="22"/>
          <w:szCs w:val="22"/>
        </w:rPr>
        <w:t xml:space="preserve">. </w:t>
      </w:r>
    </w:p>
    <w:p w14:paraId="61D44074" w14:textId="4828FB2C" w:rsidR="009808C9" w:rsidRPr="00A00B80" w:rsidRDefault="009808C9" w:rsidP="0011627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Poptávka po nemovitostech bude podle developerů stále velkým společenským tématem</w:t>
      </w:r>
      <w:r w:rsidR="00A00B80">
        <w:rPr>
          <w:sz w:val="22"/>
          <w:szCs w:val="22"/>
        </w:rPr>
        <w:t xml:space="preserve"> také v příštím roce. </w:t>
      </w:r>
      <w:r>
        <w:rPr>
          <w:sz w:val="22"/>
          <w:szCs w:val="22"/>
        </w:rPr>
        <w:t>„</w:t>
      </w:r>
      <w:r w:rsidRPr="00A00B80">
        <w:rPr>
          <w:i/>
          <w:iCs/>
          <w:sz w:val="22"/>
          <w:szCs w:val="22"/>
        </w:rPr>
        <w:t xml:space="preserve">Uvážíme-li, že se první pololetí 2025 z hlediska vydaných stavebních povolení neblaze zapsalo do historie, </w:t>
      </w:r>
      <w:r w:rsidR="00A00B80" w:rsidRPr="00A00B80">
        <w:rPr>
          <w:i/>
          <w:iCs/>
          <w:sz w:val="22"/>
          <w:szCs w:val="22"/>
        </w:rPr>
        <w:t>protože</w:t>
      </w:r>
      <w:r w:rsidRPr="00A00B80">
        <w:rPr>
          <w:i/>
          <w:iCs/>
          <w:sz w:val="22"/>
          <w:szCs w:val="22"/>
        </w:rPr>
        <w:t xml:space="preserve"> bylo poprvé za 25 let povoleno méně než 30 000 </w:t>
      </w:r>
      <w:r w:rsidR="00A70D74">
        <w:rPr>
          <w:i/>
          <w:iCs/>
          <w:sz w:val="22"/>
          <w:szCs w:val="22"/>
        </w:rPr>
        <w:t>staveb</w:t>
      </w:r>
      <w:r w:rsidRPr="00A00B80">
        <w:rPr>
          <w:i/>
          <w:iCs/>
          <w:sz w:val="22"/>
          <w:szCs w:val="22"/>
        </w:rPr>
        <w:t>, nemůžeme si vyhlídky malovat nikterak příznivě</w:t>
      </w:r>
      <w:r w:rsidR="00401486">
        <w:rPr>
          <w:i/>
          <w:iCs/>
          <w:sz w:val="22"/>
          <w:szCs w:val="22"/>
        </w:rPr>
        <w:t>. N</w:t>
      </w:r>
      <w:r w:rsidRPr="00A00B80">
        <w:rPr>
          <w:i/>
          <w:iCs/>
          <w:sz w:val="22"/>
          <w:szCs w:val="22"/>
        </w:rPr>
        <w:t xml:space="preserve">edostupnost bydlení </w:t>
      </w:r>
      <w:r w:rsidR="00401486">
        <w:rPr>
          <w:i/>
          <w:iCs/>
          <w:sz w:val="22"/>
          <w:szCs w:val="22"/>
        </w:rPr>
        <w:t xml:space="preserve">tak </w:t>
      </w:r>
      <w:r w:rsidRPr="00A00B80">
        <w:rPr>
          <w:i/>
          <w:iCs/>
          <w:sz w:val="22"/>
          <w:szCs w:val="22"/>
        </w:rPr>
        <w:t>zůstane žhavým tématem</w:t>
      </w:r>
      <w:r w:rsidR="00A00B80">
        <w:rPr>
          <w:i/>
          <w:iCs/>
          <w:sz w:val="22"/>
          <w:szCs w:val="22"/>
        </w:rPr>
        <w:t xml:space="preserve">,“ </w:t>
      </w:r>
      <w:r w:rsidR="00A00B80">
        <w:rPr>
          <w:sz w:val="22"/>
          <w:szCs w:val="22"/>
        </w:rPr>
        <w:t>tvrdil</w:t>
      </w:r>
      <w:r w:rsidR="00401486">
        <w:rPr>
          <w:sz w:val="22"/>
          <w:szCs w:val="22"/>
        </w:rPr>
        <w:t xml:space="preserve"> </w:t>
      </w:r>
      <w:r w:rsidR="00BF711B" w:rsidRPr="00BF711B">
        <w:rPr>
          <w:b/>
          <w:bCs/>
          <w:sz w:val="22"/>
          <w:szCs w:val="22"/>
        </w:rPr>
        <w:t>Eduard Forejt</w:t>
      </w:r>
      <w:r w:rsidR="00BF711B">
        <w:rPr>
          <w:sz w:val="22"/>
          <w:szCs w:val="22"/>
        </w:rPr>
        <w:t xml:space="preserve">, </w:t>
      </w:r>
      <w:r w:rsidR="00A00B80" w:rsidRPr="00A00B80">
        <w:rPr>
          <w:b/>
          <w:bCs/>
          <w:sz w:val="22"/>
          <w:szCs w:val="22"/>
        </w:rPr>
        <w:t xml:space="preserve">Business Development </w:t>
      </w:r>
      <w:proofErr w:type="spellStart"/>
      <w:r w:rsidR="00A00B80" w:rsidRPr="00A00B80">
        <w:rPr>
          <w:b/>
          <w:bCs/>
          <w:sz w:val="22"/>
          <w:szCs w:val="22"/>
        </w:rPr>
        <w:t>Director</w:t>
      </w:r>
      <w:proofErr w:type="spellEnd"/>
      <w:r w:rsidR="00A00B80" w:rsidRPr="00A00B80">
        <w:rPr>
          <w:b/>
          <w:bCs/>
          <w:sz w:val="22"/>
          <w:szCs w:val="22"/>
        </w:rPr>
        <w:t xml:space="preserve"> z PASSERINVEST GROUP.</w:t>
      </w:r>
    </w:p>
    <w:p w14:paraId="46FB40B4" w14:textId="7F553570" w:rsidR="00E66833" w:rsidRDefault="00F82423" w:rsidP="00F82423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„</w:t>
      </w:r>
      <w:r w:rsidRPr="00F82423">
        <w:rPr>
          <w:i/>
          <w:iCs/>
          <w:sz w:val="22"/>
          <w:szCs w:val="22"/>
        </w:rPr>
        <w:t>Předpokládáme pokračující trend sílící poptávky po bydlení, zejména ze strany mladých rodin, který je v přímém konsensu s obecnou nedostupností bydlení v ČR. Nabídka bude limitována zejména nedostupností vhodných pozemků pro výstavbu rodinných domů</w:t>
      </w:r>
      <w:r>
        <w:rPr>
          <w:sz w:val="22"/>
          <w:szCs w:val="22"/>
        </w:rPr>
        <w:t xml:space="preserve">,“ dodal </w:t>
      </w:r>
      <w:r w:rsidRPr="00F82423">
        <w:rPr>
          <w:b/>
          <w:bCs/>
          <w:sz w:val="22"/>
          <w:szCs w:val="22"/>
        </w:rPr>
        <w:t xml:space="preserve">David </w:t>
      </w:r>
      <w:proofErr w:type="spellStart"/>
      <w:r w:rsidRPr="00F82423">
        <w:rPr>
          <w:b/>
          <w:bCs/>
          <w:sz w:val="22"/>
          <w:szCs w:val="22"/>
        </w:rPr>
        <w:t>Šiller</w:t>
      </w:r>
      <w:proofErr w:type="spellEnd"/>
      <w:r w:rsidRPr="00F82423">
        <w:rPr>
          <w:b/>
          <w:bCs/>
          <w:sz w:val="22"/>
          <w:szCs w:val="22"/>
        </w:rPr>
        <w:t>, obchodní ředitel společnosti WOOD SYST</w:t>
      </w:r>
      <w:r w:rsidR="001E1624">
        <w:rPr>
          <w:b/>
          <w:bCs/>
          <w:sz w:val="22"/>
          <w:szCs w:val="22"/>
        </w:rPr>
        <w:t>E</w:t>
      </w:r>
      <w:r w:rsidRPr="00F82423">
        <w:rPr>
          <w:b/>
          <w:bCs/>
          <w:sz w:val="22"/>
          <w:szCs w:val="22"/>
        </w:rPr>
        <w:t xml:space="preserve">M. </w:t>
      </w:r>
    </w:p>
    <w:p w14:paraId="04B91307" w14:textId="77777777" w:rsidR="00375479" w:rsidRDefault="00375479" w:rsidP="00F82423">
      <w:pPr>
        <w:spacing w:line="276" w:lineRule="auto"/>
        <w:jc w:val="both"/>
        <w:rPr>
          <w:b/>
          <w:bCs/>
          <w:sz w:val="22"/>
          <w:szCs w:val="22"/>
        </w:rPr>
      </w:pPr>
    </w:p>
    <w:p w14:paraId="7FFFCFAE" w14:textId="77777777" w:rsidR="00375479" w:rsidRDefault="00375479" w:rsidP="00F82423">
      <w:pPr>
        <w:spacing w:line="276" w:lineRule="auto"/>
        <w:jc w:val="both"/>
        <w:rPr>
          <w:b/>
          <w:bCs/>
          <w:sz w:val="22"/>
          <w:szCs w:val="22"/>
        </w:rPr>
      </w:pPr>
    </w:p>
    <w:p w14:paraId="13D56AC6" w14:textId="5B451E11" w:rsidR="00375479" w:rsidRPr="00375479" w:rsidRDefault="00375479" w:rsidP="00F82423">
      <w:pPr>
        <w:spacing w:line="276" w:lineRule="auto"/>
        <w:jc w:val="both"/>
        <w:rPr>
          <w:b/>
          <w:bCs/>
          <w:caps/>
          <w:sz w:val="22"/>
          <w:szCs w:val="22"/>
        </w:rPr>
      </w:pPr>
      <w:r w:rsidRPr="00375479">
        <w:rPr>
          <w:b/>
          <w:bCs/>
          <w:caps/>
          <w:sz w:val="22"/>
          <w:szCs w:val="22"/>
        </w:rPr>
        <w:t>Vnímáte v současné době snížený zájem o investice do nemovitostí?</w:t>
      </w:r>
    </w:p>
    <w:p w14:paraId="01F5A6E0" w14:textId="54C61FB9" w:rsidR="00375479" w:rsidRDefault="00375479" w:rsidP="00375479">
      <w:pPr>
        <w:spacing w:line="276" w:lineRule="auto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Ne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75479">
        <w:rPr>
          <w:sz w:val="22"/>
          <w:szCs w:val="22"/>
        </w:rPr>
        <w:t>71</w:t>
      </w:r>
      <w:r>
        <w:rPr>
          <w:b/>
          <w:bCs/>
          <w:sz w:val="22"/>
          <w:szCs w:val="22"/>
        </w:rPr>
        <w:t xml:space="preserve"> </w:t>
      </w:r>
      <w:r w:rsidRPr="0023678F">
        <w:rPr>
          <w:i/>
          <w:iCs/>
          <w:sz w:val="22"/>
          <w:szCs w:val="22"/>
        </w:rPr>
        <w:t>%</w:t>
      </w:r>
      <w:r>
        <w:rPr>
          <w:i/>
          <w:iCs/>
          <w:sz w:val="22"/>
          <w:szCs w:val="22"/>
        </w:rPr>
        <w:br/>
      </w:r>
      <w:r w:rsidRPr="00375479">
        <w:rPr>
          <w:b/>
          <w:bCs/>
          <w:sz w:val="22"/>
          <w:szCs w:val="22"/>
        </w:rPr>
        <w:t>Pouze u některých bytů</w:t>
      </w:r>
      <w:r>
        <w:rPr>
          <w:sz w:val="22"/>
          <w:szCs w:val="22"/>
        </w:rPr>
        <w:tab/>
        <w:t xml:space="preserve">25 </w:t>
      </w:r>
      <w:r w:rsidRPr="0023678F">
        <w:rPr>
          <w:i/>
          <w:iCs/>
          <w:sz w:val="22"/>
          <w:szCs w:val="22"/>
        </w:rPr>
        <w:t>%</w:t>
      </w:r>
      <w:r>
        <w:rPr>
          <w:sz w:val="22"/>
          <w:szCs w:val="22"/>
        </w:rPr>
        <w:br/>
      </w:r>
      <w:r w:rsidRPr="00375479">
        <w:rPr>
          <w:b/>
          <w:bCs/>
          <w:sz w:val="22"/>
          <w:szCs w:val="22"/>
        </w:rPr>
        <w:t>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 </w:t>
      </w:r>
      <w:r w:rsidRPr="0023678F">
        <w:rPr>
          <w:i/>
          <w:iCs/>
          <w:sz w:val="22"/>
          <w:szCs w:val="22"/>
        </w:rPr>
        <w:t>%</w:t>
      </w:r>
    </w:p>
    <w:p w14:paraId="748A3EED" w14:textId="77777777" w:rsidR="00375479" w:rsidRDefault="00375479" w:rsidP="00375479">
      <w:pPr>
        <w:spacing w:line="276" w:lineRule="auto"/>
        <w:rPr>
          <w:i/>
          <w:iCs/>
          <w:sz w:val="22"/>
          <w:szCs w:val="22"/>
        </w:rPr>
      </w:pPr>
    </w:p>
    <w:p w14:paraId="02F14E84" w14:textId="7BF55309" w:rsidR="00375479" w:rsidRPr="00375479" w:rsidRDefault="00375479" w:rsidP="00375479">
      <w:pPr>
        <w:spacing w:line="276" w:lineRule="auto"/>
        <w:rPr>
          <w:b/>
          <w:bCs/>
          <w:caps/>
          <w:sz w:val="22"/>
          <w:szCs w:val="22"/>
        </w:rPr>
      </w:pPr>
      <w:r w:rsidRPr="00375479">
        <w:rPr>
          <w:b/>
          <w:bCs/>
          <w:caps/>
          <w:sz w:val="22"/>
          <w:szCs w:val="22"/>
        </w:rPr>
        <w:t xml:space="preserve">Jaký očekáváte vývoj cen vašich nemovitostí? </w:t>
      </w:r>
    </w:p>
    <w:p w14:paraId="33218759" w14:textId="195A1FB9" w:rsidR="00375479" w:rsidRPr="00375479" w:rsidRDefault="00375479" w:rsidP="00375479">
      <w:pPr>
        <w:spacing w:line="276" w:lineRule="auto"/>
        <w:rPr>
          <w:sz w:val="22"/>
          <w:szCs w:val="22"/>
        </w:rPr>
      </w:pPr>
      <w:r w:rsidRPr="00375479">
        <w:rPr>
          <w:b/>
          <w:bCs/>
          <w:sz w:val="22"/>
          <w:szCs w:val="22"/>
        </w:rPr>
        <w:t>Růst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90 </w:t>
      </w:r>
      <w:r w:rsidRPr="0023678F">
        <w:rPr>
          <w:i/>
          <w:iCs/>
          <w:sz w:val="22"/>
          <w:szCs w:val="22"/>
        </w:rPr>
        <w:t>%</w:t>
      </w:r>
      <w:r>
        <w:rPr>
          <w:i/>
          <w:iCs/>
          <w:sz w:val="22"/>
          <w:szCs w:val="22"/>
        </w:rPr>
        <w:br/>
      </w:r>
      <w:r w:rsidRPr="00375479">
        <w:rPr>
          <w:b/>
          <w:bCs/>
          <w:sz w:val="22"/>
          <w:szCs w:val="22"/>
        </w:rPr>
        <w:t>Beze změny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8 </w:t>
      </w:r>
      <w:r w:rsidRPr="0023678F">
        <w:rPr>
          <w:i/>
          <w:iCs/>
          <w:sz w:val="22"/>
          <w:szCs w:val="22"/>
        </w:rPr>
        <w:t>%</w:t>
      </w:r>
      <w:r>
        <w:rPr>
          <w:i/>
          <w:iCs/>
          <w:sz w:val="22"/>
          <w:szCs w:val="22"/>
        </w:rPr>
        <w:br/>
      </w:r>
      <w:r w:rsidRPr="00375479">
        <w:rPr>
          <w:b/>
          <w:bCs/>
          <w:sz w:val="22"/>
          <w:szCs w:val="22"/>
        </w:rPr>
        <w:t>Pokles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 </w:t>
      </w:r>
      <w:r w:rsidRPr="0023678F">
        <w:rPr>
          <w:i/>
          <w:iCs/>
          <w:sz w:val="22"/>
          <w:szCs w:val="22"/>
        </w:rPr>
        <w:t>%</w:t>
      </w:r>
    </w:p>
    <w:p w14:paraId="65385E3E" w14:textId="77777777" w:rsidR="00375479" w:rsidRPr="00375479" w:rsidRDefault="00375479" w:rsidP="00375479">
      <w:pPr>
        <w:spacing w:line="276" w:lineRule="auto"/>
        <w:rPr>
          <w:sz w:val="22"/>
          <w:szCs w:val="22"/>
        </w:rPr>
      </w:pPr>
    </w:p>
    <w:p w14:paraId="5A3AC9D8" w14:textId="77777777" w:rsidR="00BB3C84" w:rsidRDefault="00BB3C84" w:rsidP="004A4494"/>
    <w:p w14:paraId="32876135" w14:textId="7818607E" w:rsidR="00DE4AA5" w:rsidRPr="00BB3C84" w:rsidRDefault="00AE4A49" w:rsidP="004A4494">
      <w:pPr>
        <w:rPr>
          <w:sz w:val="22"/>
          <w:szCs w:val="22"/>
        </w:rPr>
      </w:pPr>
      <w:r w:rsidRPr="0023678F">
        <w:rPr>
          <w:b/>
          <w:bCs/>
          <w:sz w:val="22"/>
          <w:szCs w:val="22"/>
        </w:rPr>
        <w:t>Jiří Uhlíř</w:t>
      </w:r>
      <w:r w:rsidRPr="0023678F">
        <w:rPr>
          <w:b/>
          <w:bCs/>
          <w:sz w:val="22"/>
          <w:szCs w:val="22"/>
        </w:rPr>
        <w:br/>
        <w:t xml:space="preserve">PR manažer CEEC </w:t>
      </w:r>
      <w:proofErr w:type="spellStart"/>
      <w:r w:rsidRPr="0023678F">
        <w:rPr>
          <w:b/>
          <w:bCs/>
          <w:sz w:val="22"/>
          <w:szCs w:val="22"/>
        </w:rPr>
        <w:t>Research</w:t>
      </w:r>
      <w:proofErr w:type="spellEnd"/>
      <w:r w:rsidRPr="0023678F">
        <w:rPr>
          <w:b/>
          <w:bCs/>
          <w:sz w:val="22"/>
          <w:szCs w:val="22"/>
        </w:rPr>
        <w:br/>
      </w:r>
      <w:r w:rsidRPr="00BB3C84">
        <w:rPr>
          <w:b/>
          <w:bCs/>
          <w:sz w:val="22"/>
          <w:szCs w:val="22"/>
        </w:rPr>
        <w:t>Mob</w:t>
      </w:r>
      <w:r w:rsidRPr="00BB3C84">
        <w:rPr>
          <w:sz w:val="22"/>
          <w:szCs w:val="22"/>
        </w:rPr>
        <w:t>.: 724014643</w:t>
      </w:r>
      <w:r w:rsidRPr="00BB3C84">
        <w:rPr>
          <w:sz w:val="22"/>
          <w:szCs w:val="22"/>
        </w:rPr>
        <w:br/>
      </w:r>
      <w:r w:rsidRPr="00BB3C84">
        <w:rPr>
          <w:b/>
          <w:bCs/>
          <w:sz w:val="22"/>
          <w:szCs w:val="22"/>
        </w:rPr>
        <w:t>Mail</w:t>
      </w:r>
      <w:r w:rsidRPr="00BB3C84">
        <w:rPr>
          <w:sz w:val="22"/>
          <w:szCs w:val="22"/>
        </w:rPr>
        <w:t>: uhlir@ceec.eu</w:t>
      </w:r>
    </w:p>
    <w:sectPr w:rsidR="00DE4AA5" w:rsidRPr="00BB3C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8233" w14:textId="77777777" w:rsidR="00CD41B9" w:rsidRDefault="00CD41B9" w:rsidP="004A4494">
      <w:pPr>
        <w:spacing w:after="0" w:line="240" w:lineRule="auto"/>
      </w:pPr>
      <w:r>
        <w:separator/>
      </w:r>
    </w:p>
  </w:endnote>
  <w:endnote w:type="continuationSeparator" w:id="0">
    <w:p w14:paraId="4D901B09" w14:textId="77777777" w:rsidR="00CD41B9" w:rsidRDefault="00CD41B9" w:rsidP="004A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CBB5" w14:textId="77777777" w:rsidR="00CD41B9" w:rsidRDefault="00CD41B9" w:rsidP="004A4494">
      <w:pPr>
        <w:spacing w:after="0" w:line="240" w:lineRule="auto"/>
      </w:pPr>
      <w:r>
        <w:separator/>
      </w:r>
    </w:p>
  </w:footnote>
  <w:footnote w:type="continuationSeparator" w:id="0">
    <w:p w14:paraId="2F7C90E9" w14:textId="77777777" w:rsidR="00CD41B9" w:rsidRDefault="00CD41B9" w:rsidP="004A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FA9" w14:textId="4C6F5A7C" w:rsidR="00D61289" w:rsidRDefault="002F640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6577F8" wp14:editId="4D628395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533640" cy="1222329"/>
          <wp:effectExtent l="0" t="0" r="0" b="0"/>
          <wp:wrapNone/>
          <wp:docPr id="4924728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122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D302A" w14:textId="77777777" w:rsidR="000468DA" w:rsidRDefault="000468DA">
    <w:pPr>
      <w:pStyle w:val="Zhlav"/>
    </w:pPr>
  </w:p>
  <w:p w14:paraId="05269DBD" w14:textId="77777777" w:rsidR="000468DA" w:rsidRDefault="000468DA">
    <w:pPr>
      <w:pStyle w:val="Zhlav"/>
    </w:pPr>
  </w:p>
  <w:p w14:paraId="0F3AE276" w14:textId="77777777" w:rsidR="000468DA" w:rsidRDefault="000468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94"/>
    <w:rsid w:val="0000775A"/>
    <w:rsid w:val="000442F2"/>
    <w:rsid w:val="000468DA"/>
    <w:rsid w:val="00046AFD"/>
    <w:rsid w:val="000608A1"/>
    <w:rsid w:val="000724F5"/>
    <w:rsid w:val="000D2ADD"/>
    <w:rsid w:val="000E2CF5"/>
    <w:rsid w:val="000F49DC"/>
    <w:rsid w:val="0011627D"/>
    <w:rsid w:val="001234C9"/>
    <w:rsid w:val="00185478"/>
    <w:rsid w:val="001C0E6C"/>
    <w:rsid w:val="001D72C8"/>
    <w:rsid w:val="001E1624"/>
    <w:rsid w:val="0023678F"/>
    <w:rsid w:val="00253F41"/>
    <w:rsid w:val="00257361"/>
    <w:rsid w:val="002669B5"/>
    <w:rsid w:val="00277BD0"/>
    <w:rsid w:val="002B0FD4"/>
    <w:rsid w:val="002C24E1"/>
    <w:rsid w:val="002C2DA1"/>
    <w:rsid w:val="002F640A"/>
    <w:rsid w:val="00304E9F"/>
    <w:rsid w:val="003173BC"/>
    <w:rsid w:val="003247F1"/>
    <w:rsid w:val="00356E03"/>
    <w:rsid w:val="00375479"/>
    <w:rsid w:val="003A7380"/>
    <w:rsid w:val="003D0C42"/>
    <w:rsid w:val="003E3464"/>
    <w:rsid w:val="003E4846"/>
    <w:rsid w:val="003F4776"/>
    <w:rsid w:val="00401486"/>
    <w:rsid w:val="0044536E"/>
    <w:rsid w:val="00457373"/>
    <w:rsid w:val="004659ED"/>
    <w:rsid w:val="004A4494"/>
    <w:rsid w:val="00522E52"/>
    <w:rsid w:val="00524988"/>
    <w:rsid w:val="005B266E"/>
    <w:rsid w:val="005F0F34"/>
    <w:rsid w:val="00611F78"/>
    <w:rsid w:val="0061488A"/>
    <w:rsid w:val="00637482"/>
    <w:rsid w:val="00663C57"/>
    <w:rsid w:val="006752D7"/>
    <w:rsid w:val="006C1FF7"/>
    <w:rsid w:val="006F7F1B"/>
    <w:rsid w:val="0072148D"/>
    <w:rsid w:val="007F5AF2"/>
    <w:rsid w:val="007F754C"/>
    <w:rsid w:val="0081418C"/>
    <w:rsid w:val="0082508B"/>
    <w:rsid w:val="00842576"/>
    <w:rsid w:val="00856C9F"/>
    <w:rsid w:val="00867E36"/>
    <w:rsid w:val="00874271"/>
    <w:rsid w:val="008C1D83"/>
    <w:rsid w:val="008E20CA"/>
    <w:rsid w:val="008E69E0"/>
    <w:rsid w:val="0093462D"/>
    <w:rsid w:val="009373C5"/>
    <w:rsid w:val="00943AB6"/>
    <w:rsid w:val="00964C88"/>
    <w:rsid w:val="009808C9"/>
    <w:rsid w:val="00A00B80"/>
    <w:rsid w:val="00A05394"/>
    <w:rsid w:val="00A565FB"/>
    <w:rsid w:val="00A70D74"/>
    <w:rsid w:val="00A74C86"/>
    <w:rsid w:val="00A765EA"/>
    <w:rsid w:val="00A83698"/>
    <w:rsid w:val="00AB08FD"/>
    <w:rsid w:val="00AC3678"/>
    <w:rsid w:val="00AE4A49"/>
    <w:rsid w:val="00B31801"/>
    <w:rsid w:val="00B56527"/>
    <w:rsid w:val="00B9638D"/>
    <w:rsid w:val="00BB3C84"/>
    <w:rsid w:val="00BF711B"/>
    <w:rsid w:val="00C715A9"/>
    <w:rsid w:val="00C71C3F"/>
    <w:rsid w:val="00C72354"/>
    <w:rsid w:val="00CA174F"/>
    <w:rsid w:val="00CC1205"/>
    <w:rsid w:val="00CD0120"/>
    <w:rsid w:val="00CD41B9"/>
    <w:rsid w:val="00CF42D1"/>
    <w:rsid w:val="00D26795"/>
    <w:rsid w:val="00D47EB2"/>
    <w:rsid w:val="00D61289"/>
    <w:rsid w:val="00D91A94"/>
    <w:rsid w:val="00DE4AA5"/>
    <w:rsid w:val="00E1605C"/>
    <w:rsid w:val="00E2057C"/>
    <w:rsid w:val="00E41CFF"/>
    <w:rsid w:val="00E63371"/>
    <w:rsid w:val="00E65EA2"/>
    <w:rsid w:val="00E66833"/>
    <w:rsid w:val="00E74645"/>
    <w:rsid w:val="00E87E37"/>
    <w:rsid w:val="00EB08E4"/>
    <w:rsid w:val="00F56642"/>
    <w:rsid w:val="00F82423"/>
    <w:rsid w:val="00F931CA"/>
    <w:rsid w:val="00FA38F9"/>
    <w:rsid w:val="00FC53BA"/>
    <w:rsid w:val="00F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8D732"/>
  <w15:chartTrackingRefBased/>
  <w15:docId w15:val="{5DDE0FE3-5016-4670-BFDD-D0AA5E9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44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44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44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44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44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44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44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44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44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44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449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A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494"/>
  </w:style>
  <w:style w:type="paragraph" w:styleId="Zpat">
    <w:name w:val="footer"/>
    <w:basedOn w:val="Normln"/>
    <w:link w:val="ZpatChar"/>
    <w:uiPriority w:val="99"/>
    <w:unhideWhenUsed/>
    <w:rsid w:val="004A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494"/>
  </w:style>
  <w:style w:type="character" w:styleId="Hypertextovodkaz">
    <w:name w:val="Hyperlink"/>
    <w:basedOn w:val="Standardnpsmoodstavce"/>
    <w:uiPriority w:val="99"/>
    <w:unhideWhenUsed/>
    <w:rsid w:val="000608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735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Franěk</dc:creator>
  <cp:keywords/>
  <dc:description/>
  <cp:lastModifiedBy>Jana Lavičková</cp:lastModifiedBy>
  <cp:revision>2</cp:revision>
  <dcterms:created xsi:type="dcterms:W3CDTF">2025-11-10T10:20:00Z</dcterms:created>
  <dcterms:modified xsi:type="dcterms:W3CDTF">2025-11-10T10:20:00Z</dcterms:modified>
</cp:coreProperties>
</file>