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1A0BDEF2" w14:textId="77777777" w:rsidR="00F4555C" w:rsidRDefault="00F4555C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A19596" w14:textId="015CF736" w:rsidR="00F4555C" w:rsidRDefault="003F6C9F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ZÁVAŽNÝ STAV </w:t>
      </w:r>
      <w:r w:rsidR="00C73514">
        <w:rPr>
          <w:rFonts w:ascii="Calibri" w:hAnsi="Calibri" w:cs="Calibri"/>
          <w:b/>
          <w:bCs/>
          <w:sz w:val="28"/>
          <w:szCs w:val="28"/>
        </w:rPr>
        <w:t xml:space="preserve">DEKARBONIZACE </w:t>
      </w:r>
      <w:r>
        <w:rPr>
          <w:rFonts w:ascii="Calibri" w:hAnsi="Calibri" w:cs="Calibri"/>
          <w:b/>
          <w:bCs/>
          <w:sz w:val="28"/>
          <w:szCs w:val="28"/>
        </w:rPr>
        <w:t xml:space="preserve">VE </w:t>
      </w:r>
      <w:r w:rsidR="00F4555C">
        <w:rPr>
          <w:rFonts w:ascii="Calibri" w:hAnsi="Calibri" w:cs="Calibri"/>
          <w:b/>
          <w:bCs/>
          <w:sz w:val="28"/>
          <w:szCs w:val="28"/>
        </w:rPr>
        <w:t>STAVEBNICTVÍ</w:t>
      </w:r>
      <w:r w:rsidR="0045772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A1EEA7B" w14:textId="77777777" w:rsidR="00B62845" w:rsidRDefault="00B62845" w:rsidP="00B62845">
      <w:pPr>
        <w:rPr>
          <w:rFonts w:ascii="Calibri" w:hAnsi="Calibri" w:cs="Calibri"/>
          <w:b/>
          <w:bCs/>
          <w:sz w:val="28"/>
          <w:szCs w:val="28"/>
        </w:rPr>
      </w:pPr>
    </w:p>
    <w:p w14:paraId="0A5253FB" w14:textId="451444DD" w:rsidR="00CF42AE" w:rsidRDefault="007C6145" w:rsidP="00CF42AE">
      <w:pPr>
        <w:rPr>
          <w:rFonts w:ascii="Calibri" w:eastAsia="SourceSansVariable-Roman" w:hAnsi="Calibri" w:cs="Calibri"/>
          <w:b/>
          <w:bCs/>
          <w:sz w:val="24"/>
          <w:szCs w:val="24"/>
        </w:rPr>
      </w:pPr>
      <w:r w:rsidRPr="00546E8A">
        <w:rPr>
          <w:rFonts w:ascii="Calibri" w:hAnsi="Calibri" w:cs="Calibri"/>
          <w:b/>
          <w:bCs/>
          <w:sz w:val="24"/>
          <w:szCs w:val="24"/>
        </w:rPr>
        <w:t xml:space="preserve">Praha, </w:t>
      </w:r>
      <w:r w:rsidR="00526201">
        <w:rPr>
          <w:rFonts w:ascii="Calibri" w:hAnsi="Calibri" w:cs="Calibri"/>
          <w:b/>
          <w:bCs/>
          <w:sz w:val="24"/>
          <w:szCs w:val="24"/>
        </w:rPr>
        <w:t>16</w:t>
      </w:r>
      <w:r w:rsidRPr="00546E8A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526201">
        <w:rPr>
          <w:rFonts w:ascii="Calibri" w:hAnsi="Calibri" w:cs="Calibri"/>
          <w:b/>
          <w:bCs/>
          <w:sz w:val="24"/>
          <w:szCs w:val="24"/>
        </w:rPr>
        <w:t>prosince</w:t>
      </w:r>
      <w:r w:rsidRPr="00546E8A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150552">
        <w:rPr>
          <w:rFonts w:ascii="Calibri" w:hAnsi="Calibri" w:cs="Calibri"/>
          <w:b/>
          <w:bCs/>
          <w:sz w:val="24"/>
          <w:szCs w:val="24"/>
        </w:rPr>
        <w:t xml:space="preserve">4 </w:t>
      </w:r>
      <w:r w:rsidR="00526201">
        <w:rPr>
          <w:rFonts w:ascii="Calibri" w:hAnsi="Calibri" w:cs="Calibri"/>
          <w:b/>
          <w:bCs/>
          <w:sz w:val="24"/>
          <w:szCs w:val="24"/>
        </w:rPr>
        <w:t>–</w:t>
      </w:r>
      <w:r w:rsidR="0015055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Na dekarbonizaci a zvy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š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ov</w:t>
      </w:r>
      <w:r w:rsidR="00973EBC">
        <w:rPr>
          <w:rFonts w:ascii="Calibri" w:eastAsia="SourceSansVariable-Roman" w:hAnsi="Calibri" w:cs="Calibri"/>
          <w:b/>
          <w:bCs/>
          <w:sz w:val="24"/>
          <w:szCs w:val="24"/>
        </w:rPr>
        <w:t>ání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energetické účinnosti budov se aktuálně zam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ěř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uje pouze t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ř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etina stavebních firem (38 %). Tento</w:t>
      </w:r>
      <w:r w:rsid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relativn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nízký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podíl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ukazuje, 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 i p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ř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es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rostoucí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d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ů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raz na udr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itelnost a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ekologické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normy 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zůstává zavádění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t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chto opat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ř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en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 xml:space="preserve">í 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pro v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t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š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inu spole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č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nost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 xml:space="preserve">í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náročn</w:t>
      </w:r>
      <w:r w:rsidR="00AC7D65">
        <w:rPr>
          <w:rFonts w:ascii="Calibri" w:eastAsia="SourceSansVariable-Roman" w:hAnsi="Calibri" w:cs="Calibri"/>
          <w:b/>
          <w:bCs/>
          <w:sz w:val="24"/>
          <w:szCs w:val="24"/>
        </w:rPr>
        <w:t>é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. Mezi hlavn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překážky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pat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ř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vysoké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počáteční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investice, slo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itost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moderních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technologi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nebo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nedostatečná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podpora od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veřejných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instituc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.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Očekává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se, 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 se po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č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et firem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zaměřených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na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udržitelná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ř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š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en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zvýší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, proto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e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roste tlak na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snižování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emis</w:t>
      </w:r>
      <w:r w:rsidR="00CF42AE">
        <w:rPr>
          <w:rFonts w:ascii="Calibri" w:eastAsia="SourceSansVariable-Roman" w:hAnsi="Calibri" w:cs="Calibri"/>
          <w:b/>
          <w:bCs/>
          <w:sz w:val="24"/>
          <w:szCs w:val="24"/>
        </w:rPr>
        <w:t>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a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přísnější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po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>adavky od klient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ů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a legislativy. To potvrzuje i fakt, </w:t>
      </w:r>
      <w:r w:rsidR="00973EBC" w:rsidRPr="00973EBC">
        <w:rPr>
          <w:rFonts w:ascii="Calibri" w:eastAsia="SourceSansVariable-Roman" w:hAnsi="Calibri" w:cs="Calibri" w:hint="eastAsia"/>
          <w:b/>
          <w:bCs/>
          <w:sz w:val="24"/>
          <w:szCs w:val="24"/>
        </w:rPr>
        <w:t>ž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e 42 % firem </w:t>
      </w:r>
      <w:r w:rsidR="00CF42AE" w:rsidRPr="00973EBC">
        <w:rPr>
          <w:rFonts w:ascii="Calibri" w:eastAsia="SourceSansVariable-Roman" w:hAnsi="Calibri" w:cs="Calibri"/>
          <w:b/>
          <w:bCs/>
          <w:sz w:val="24"/>
          <w:szCs w:val="24"/>
        </w:rPr>
        <w:t>plánuje</w:t>
      </w:r>
      <w:r w:rsidR="00973EBC" w:rsidRP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tyto aktivity</w:t>
      </w:r>
      <w:r w:rsidR="00973EBC">
        <w:rPr>
          <w:rFonts w:ascii="Calibri" w:eastAsia="SourceSansVariable-Roman" w:hAnsi="Calibri" w:cs="Calibri"/>
          <w:b/>
          <w:bCs/>
          <w:sz w:val="24"/>
          <w:szCs w:val="24"/>
        </w:rPr>
        <w:t xml:space="preserve"> v příštích pěti letech rozvíjet.</w:t>
      </w:r>
      <w:r w:rsidR="00CF42AE" w:rsidRPr="00CF42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F42AE">
        <w:rPr>
          <w:rFonts w:ascii="Calibri" w:hAnsi="Calibri" w:cs="Calibri"/>
          <w:b/>
          <w:bCs/>
          <w:sz w:val="24"/>
          <w:szCs w:val="24"/>
        </w:rPr>
        <w:t>Vyplývá to z průzkumu, který provedla analytická společnost CEEC Research ve spolupráci s Czech BCSD</w:t>
      </w:r>
      <w:r w:rsidR="001A795A">
        <w:rPr>
          <w:rFonts w:ascii="Calibri" w:hAnsi="Calibri" w:cs="Calibri"/>
          <w:b/>
          <w:bCs/>
          <w:sz w:val="24"/>
          <w:szCs w:val="24"/>
        </w:rPr>
        <w:t xml:space="preserve"> (Česká podnikatelská rada pro udržitelný rozvoj).</w:t>
      </w:r>
    </w:p>
    <w:p w14:paraId="68A975A7" w14:textId="77777777" w:rsidR="000567BA" w:rsidRDefault="00AC7D65" w:rsidP="00AC7D65">
      <w:pPr>
        <w:rPr>
          <w:rFonts w:ascii="Calibri" w:hAnsi="Calibri" w:cs="Calibri"/>
          <w:sz w:val="24"/>
          <w:szCs w:val="24"/>
        </w:rPr>
      </w:pPr>
      <w:r w:rsidRPr="00AC7D65">
        <w:rPr>
          <w:rFonts w:ascii="Calibri" w:hAnsi="Calibri" w:cs="Calibri"/>
          <w:sz w:val="24"/>
          <w:szCs w:val="24"/>
        </w:rPr>
        <w:t>Celkem 72 % stavebn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>ch spole</w:t>
      </w:r>
      <w:r w:rsidRPr="00AC7D65">
        <w:rPr>
          <w:rFonts w:ascii="Calibri" w:hAnsi="Calibri" w:cs="Calibri" w:hint="eastAsia"/>
          <w:sz w:val="24"/>
          <w:szCs w:val="24"/>
        </w:rPr>
        <w:t>č</w:t>
      </w:r>
      <w:r w:rsidRPr="00AC7D65">
        <w:rPr>
          <w:rFonts w:ascii="Calibri" w:hAnsi="Calibri" w:cs="Calibri"/>
          <w:sz w:val="24"/>
          <w:szCs w:val="24"/>
        </w:rPr>
        <w:t>nost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 xml:space="preserve"> uvedlo, </w:t>
      </w:r>
      <w:r w:rsidRPr="00AC7D65">
        <w:rPr>
          <w:rFonts w:ascii="Calibri" w:hAnsi="Calibri" w:cs="Calibri" w:hint="eastAsia"/>
          <w:sz w:val="24"/>
          <w:szCs w:val="24"/>
        </w:rPr>
        <w:t>ž</w:t>
      </w:r>
      <w:r w:rsidRPr="00AC7D65">
        <w:rPr>
          <w:rFonts w:ascii="Calibri" w:hAnsi="Calibri" w:cs="Calibri"/>
          <w:sz w:val="24"/>
          <w:szCs w:val="24"/>
        </w:rPr>
        <w:t>e nem</w:t>
      </w:r>
      <w:r>
        <w:rPr>
          <w:rFonts w:ascii="Calibri" w:hAnsi="Calibri" w:cs="Calibri"/>
          <w:sz w:val="24"/>
          <w:szCs w:val="24"/>
        </w:rPr>
        <w:t xml:space="preserve">á </w:t>
      </w:r>
      <w:r w:rsidRPr="00AC7D65">
        <w:rPr>
          <w:rFonts w:ascii="Calibri" w:hAnsi="Calibri" w:cs="Calibri"/>
          <w:sz w:val="24"/>
          <w:szCs w:val="24"/>
        </w:rPr>
        <w:t>schválenou strategii dekarbonizace a neplánuje ji zavést ani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v následujících letech. Tento postoj m</w:t>
      </w:r>
      <w:r w:rsidRPr="00AC7D65">
        <w:rPr>
          <w:rFonts w:ascii="Calibri" w:hAnsi="Calibri" w:cs="Calibri" w:hint="eastAsia"/>
          <w:sz w:val="24"/>
          <w:szCs w:val="24"/>
        </w:rPr>
        <w:t>ůž</w:t>
      </w:r>
      <w:r w:rsidRPr="00AC7D65">
        <w:rPr>
          <w:rFonts w:ascii="Calibri" w:hAnsi="Calibri" w:cs="Calibri"/>
          <w:sz w:val="24"/>
          <w:szCs w:val="24"/>
        </w:rPr>
        <w:t>e b</w:t>
      </w:r>
      <w:r>
        <w:rPr>
          <w:rFonts w:ascii="Calibri" w:hAnsi="Calibri" w:cs="Calibri"/>
          <w:sz w:val="24"/>
          <w:szCs w:val="24"/>
        </w:rPr>
        <w:t>ý</w:t>
      </w:r>
      <w:r w:rsidRPr="00AC7D65">
        <w:rPr>
          <w:rFonts w:ascii="Calibri" w:hAnsi="Calibri" w:cs="Calibri"/>
          <w:sz w:val="24"/>
          <w:szCs w:val="24"/>
        </w:rPr>
        <w:t>t problémem p</w:t>
      </w:r>
      <w:r w:rsidRPr="00AC7D65">
        <w:rPr>
          <w:rFonts w:ascii="Calibri" w:hAnsi="Calibri" w:cs="Calibri" w:hint="eastAsia"/>
          <w:sz w:val="24"/>
          <w:szCs w:val="24"/>
        </w:rPr>
        <w:t>ř</w:t>
      </w:r>
      <w:r w:rsidRPr="00AC7D65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pln</w:t>
      </w:r>
      <w:r w:rsidRPr="00AC7D65">
        <w:rPr>
          <w:rFonts w:ascii="Calibri" w:hAnsi="Calibri" w:cs="Calibri" w:hint="eastAsia"/>
          <w:sz w:val="24"/>
          <w:szCs w:val="24"/>
        </w:rPr>
        <w:t>ě</w:t>
      </w:r>
      <w:r w:rsidRPr="00AC7D65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 xml:space="preserve"> klimatických cílů, které jsou v souladu s</w:t>
      </w:r>
      <w:r>
        <w:rPr>
          <w:rFonts w:ascii="Calibri" w:hAnsi="Calibri" w:cs="Calibri"/>
          <w:sz w:val="24"/>
          <w:szCs w:val="24"/>
        </w:rPr>
        <w:t> </w:t>
      </w:r>
      <w:r w:rsidRPr="00AC7D65">
        <w:rPr>
          <w:rFonts w:ascii="Calibri" w:hAnsi="Calibri" w:cs="Calibri"/>
          <w:sz w:val="24"/>
          <w:szCs w:val="24"/>
        </w:rPr>
        <w:t>národními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i evropskými závazky na snižování emis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>. Naopak 24 % firem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se p</w:t>
      </w:r>
      <w:r w:rsidRPr="00AC7D65">
        <w:rPr>
          <w:rFonts w:ascii="Calibri" w:hAnsi="Calibri" w:cs="Calibri" w:hint="eastAsia"/>
          <w:sz w:val="24"/>
          <w:szCs w:val="24"/>
        </w:rPr>
        <w:t>ř</w:t>
      </w:r>
      <w:r w:rsidRPr="00AC7D65">
        <w:rPr>
          <w:rFonts w:ascii="Calibri" w:hAnsi="Calibri" w:cs="Calibri"/>
          <w:sz w:val="24"/>
          <w:szCs w:val="24"/>
        </w:rPr>
        <w:t>ipravuje na zaveden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 xml:space="preserve"> dekarbonizační strategie, proto</w:t>
      </w:r>
      <w:r w:rsidRPr="00AC7D65">
        <w:rPr>
          <w:rFonts w:ascii="Calibri" w:hAnsi="Calibri" w:cs="Calibri" w:hint="eastAsia"/>
          <w:sz w:val="24"/>
          <w:szCs w:val="24"/>
        </w:rPr>
        <w:t>ž</w:t>
      </w:r>
      <w:r w:rsidRPr="00AC7D65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pova</w:t>
      </w:r>
      <w:r w:rsidRPr="00AC7D65">
        <w:rPr>
          <w:rFonts w:ascii="Calibri" w:hAnsi="Calibri" w:cs="Calibri" w:hint="eastAsia"/>
          <w:sz w:val="24"/>
          <w:szCs w:val="24"/>
        </w:rPr>
        <w:t>ž</w:t>
      </w:r>
      <w:r w:rsidRPr="00AC7D65">
        <w:rPr>
          <w:rFonts w:ascii="Calibri" w:hAnsi="Calibri" w:cs="Calibri"/>
          <w:sz w:val="24"/>
          <w:szCs w:val="24"/>
        </w:rPr>
        <w:t>uje udržitelné postupy za konkurenční výhodu nebo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zp</w:t>
      </w:r>
      <w:r w:rsidRPr="00AC7D65">
        <w:rPr>
          <w:rFonts w:ascii="Calibri" w:hAnsi="Calibri" w:cs="Calibri" w:hint="eastAsia"/>
          <w:sz w:val="24"/>
          <w:szCs w:val="24"/>
        </w:rPr>
        <w:t>ů</w:t>
      </w:r>
      <w:r w:rsidRPr="00AC7D65">
        <w:rPr>
          <w:rFonts w:ascii="Calibri" w:hAnsi="Calibri" w:cs="Calibri"/>
          <w:sz w:val="24"/>
          <w:szCs w:val="24"/>
        </w:rPr>
        <w:t>sob, jak se p</w:t>
      </w:r>
      <w:r w:rsidRPr="00AC7D65">
        <w:rPr>
          <w:rFonts w:ascii="Calibri" w:hAnsi="Calibri" w:cs="Calibri" w:hint="eastAsia"/>
          <w:sz w:val="24"/>
          <w:szCs w:val="24"/>
        </w:rPr>
        <w:t>ř</w:t>
      </w:r>
      <w:r w:rsidRPr="00AC7D65">
        <w:rPr>
          <w:rFonts w:ascii="Calibri" w:hAnsi="Calibri" w:cs="Calibri"/>
          <w:sz w:val="24"/>
          <w:szCs w:val="24"/>
        </w:rPr>
        <w:t xml:space="preserve">ipravit na přísnější regulace. </w:t>
      </w:r>
    </w:p>
    <w:p w14:paraId="7163F341" w14:textId="54B6ED45" w:rsidR="00AC7D65" w:rsidRDefault="00AC7D65" w:rsidP="00AC7D65">
      <w:pPr>
        <w:rPr>
          <w:rFonts w:ascii="Calibri" w:hAnsi="Calibri" w:cs="Calibri"/>
          <w:sz w:val="24"/>
          <w:szCs w:val="24"/>
        </w:rPr>
      </w:pPr>
      <w:r w:rsidRPr="00AC7D65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 zahraničí </w:t>
      </w:r>
      <w:r w:rsidRPr="00AC7D65">
        <w:rPr>
          <w:rFonts w:ascii="Calibri" w:hAnsi="Calibri" w:cs="Calibri"/>
          <w:sz w:val="24"/>
          <w:szCs w:val="24"/>
        </w:rPr>
        <w:t xml:space="preserve">je situace odlišná </w:t>
      </w:r>
      <w:r w:rsidRPr="00AC7D65">
        <w:rPr>
          <w:rFonts w:ascii="Calibri" w:hAnsi="Calibri" w:cs="Calibri" w:hint="eastAsia"/>
          <w:sz w:val="24"/>
          <w:szCs w:val="24"/>
        </w:rPr>
        <w:t>–</w:t>
      </w:r>
      <w:r w:rsidRPr="00AC7D65">
        <w:rPr>
          <w:rFonts w:ascii="Calibri" w:hAnsi="Calibri" w:cs="Calibri"/>
          <w:sz w:val="24"/>
          <w:szCs w:val="24"/>
        </w:rPr>
        <w:t xml:space="preserve"> například ve Velké Británii ji</w:t>
      </w:r>
      <w:r w:rsidRPr="00AC7D65">
        <w:rPr>
          <w:rFonts w:ascii="Calibri" w:hAnsi="Calibri" w:cs="Calibri" w:hint="eastAsia"/>
          <w:sz w:val="24"/>
          <w:szCs w:val="24"/>
        </w:rPr>
        <w:t>ž</w:t>
      </w:r>
      <w:r w:rsidRPr="00AC7D65">
        <w:rPr>
          <w:rFonts w:ascii="Calibri" w:hAnsi="Calibri" w:cs="Calibri"/>
          <w:sz w:val="24"/>
          <w:szCs w:val="24"/>
        </w:rPr>
        <w:t xml:space="preserve"> 60 %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stavebních firem zavedlo dekarbonizační strategii, nebo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na n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 xml:space="preserve"> pracuje. Tento rozdíl lze vysv</w:t>
      </w:r>
      <w:r w:rsidRPr="00AC7D65">
        <w:rPr>
          <w:rFonts w:ascii="Calibri" w:hAnsi="Calibri" w:cs="Calibri" w:hint="eastAsia"/>
          <w:sz w:val="24"/>
          <w:szCs w:val="24"/>
        </w:rPr>
        <w:t>ě</w:t>
      </w:r>
      <w:r w:rsidRPr="00AC7D65">
        <w:rPr>
          <w:rFonts w:ascii="Calibri" w:hAnsi="Calibri" w:cs="Calibri"/>
          <w:sz w:val="24"/>
          <w:szCs w:val="24"/>
        </w:rPr>
        <w:t xml:space="preserve">tlit </w:t>
      </w:r>
      <w:r w:rsidR="000567BA">
        <w:rPr>
          <w:rFonts w:ascii="Calibri" w:hAnsi="Calibri" w:cs="Calibri"/>
          <w:sz w:val="24"/>
          <w:szCs w:val="24"/>
        </w:rPr>
        <w:t xml:space="preserve">větší </w:t>
      </w:r>
      <w:r w:rsidRPr="00AC7D65">
        <w:rPr>
          <w:rFonts w:ascii="Calibri" w:hAnsi="Calibri" w:cs="Calibri"/>
          <w:sz w:val="24"/>
          <w:szCs w:val="24"/>
        </w:rPr>
        <w:t>legislativní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podporou a lepšími finančními pobídkami pro udr</w:t>
      </w:r>
      <w:r w:rsidRPr="00AC7D65">
        <w:rPr>
          <w:rFonts w:ascii="Calibri" w:hAnsi="Calibri" w:cs="Calibri" w:hint="eastAsia"/>
          <w:sz w:val="24"/>
          <w:szCs w:val="24"/>
        </w:rPr>
        <w:t>ž</w:t>
      </w:r>
      <w:r w:rsidRPr="00AC7D65">
        <w:rPr>
          <w:rFonts w:ascii="Calibri" w:hAnsi="Calibri" w:cs="Calibri"/>
          <w:sz w:val="24"/>
          <w:szCs w:val="24"/>
        </w:rPr>
        <w:t>itelnost.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V některých evropských zemích, jako je Nizozemsko, dokonce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existuj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 xml:space="preserve"> přísné normy, které vy</w:t>
      </w:r>
      <w:r w:rsidRPr="00AC7D65">
        <w:rPr>
          <w:rFonts w:ascii="Calibri" w:hAnsi="Calibri" w:cs="Calibri" w:hint="eastAsia"/>
          <w:sz w:val="24"/>
          <w:szCs w:val="24"/>
        </w:rPr>
        <w:t>ž</w:t>
      </w:r>
      <w:r w:rsidRPr="00AC7D65">
        <w:rPr>
          <w:rFonts w:ascii="Calibri" w:hAnsi="Calibri" w:cs="Calibri"/>
          <w:sz w:val="24"/>
          <w:szCs w:val="24"/>
        </w:rPr>
        <w:t>aduj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>, aby nov</w:t>
      </w:r>
      <w:r>
        <w:rPr>
          <w:rFonts w:ascii="Calibri" w:hAnsi="Calibri" w:cs="Calibri"/>
          <w:sz w:val="24"/>
          <w:szCs w:val="24"/>
        </w:rPr>
        <w:t>é</w:t>
      </w:r>
      <w:r w:rsidRPr="00AC7D65">
        <w:rPr>
          <w:rFonts w:ascii="Calibri" w:hAnsi="Calibri" w:cs="Calibri"/>
          <w:sz w:val="24"/>
          <w:szCs w:val="24"/>
        </w:rPr>
        <w:t xml:space="preserve"> budovy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spl</w:t>
      </w:r>
      <w:r w:rsidRPr="00AC7D65">
        <w:rPr>
          <w:rFonts w:ascii="Calibri" w:hAnsi="Calibri" w:cs="Calibri" w:hint="eastAsia"/>
          <w:sz w:val="24"/>
          <w:szCs w:val="24"/>
        </w:rPr>
        <w:t>ň</w:t>
      </w:r>
      <w:r w:rsidRPr="00AC7D65">
        <w:rPr>
          <w:rFonts w:ascii="Calibri" w:hAnsi="Calibri" w:cs="Calibri"/>
          <w:sz w:val="24"/>
          <w:szCs w:val="24"/>
        </w:rPr>
        <w:t>ovaly vysoké standardy energetické účinnosti a nízkých</w:t>
      </w:r>
      <w:r>
        <w:rPr>
          <w:rFonts w:ascii="Calibri" w:hAnsi="Calibri" w:cs="Calibri"/>
          <w:sz w:val="24"/>
          <w:szCs w:val="24"/>
        </w:rPr>
        <w:t xml:space="preserve"> </w:t>
      </w:r>
      <w:r w:rsidRPr="00AC7D65">
        <w:rPr>
          <w:rFonts w:ascii="Calibri" w:hAnsi="Calibri" w:cs="Calibri"/>
          <w:sz w:val="24"/>
          <w:szCs w:val="24"/>
        </w:rPr>
        <w:t>emis</w:t>
      </w:r>
      <w:r>
        <w:rPr>
          <w:rFonts w:ascii="Calibri" w:hAnsi="Calibri" w:cs="Calibri"/>
          <w:sz w:val="24"/>
          <w:szCs w:val="24"/>
        </w:rPr>
        <w:t>í</w:t>
      </w:r>
      <w:r w:rsidRPr="00AC7D65">
        <w:rPr>
          <w:rFonts w:ascii="Calibri" w:hAnsi="Calibri" w:cs="Calibri"/>
          <w:sz w:val="24"/>
          <w:szCs w:val="24"/>
        </w:rPr>
        <w:t>. Tento p</w:t>
      </w:r>
      <w:r w:rsidRPr="00AC7D65">
        <w:rPr>
          <w:rFonts w:ascii="Calibri" w:hAnsi="Calibri" w:cs="Calibri" w:hint="eastAsia"/>
          <w:sz w:val="24"/>
          <w:szCs w:val="24"/>
        </w:rPr>
        <w:t>ř</w:t>
      </w:r>
      <w:r w:rsidRPr="00AC7D65">
        <w:rPr>
          <w:rFonts w:ascii="Calibri" w:hAnsi="Calibri" w:cs="Calibri"/>
          <w:sz w:val="24"/>
          <w:szCs w:val="24"/>
        </w:rPr>
        <w:t>istup ukazuje, jak mohou regulace a finan</w:t>
      </w:r>
      <w:r w:rsidRPr="00AC7D65">
        <w:rPr>
          <w:rFonts w:ascii="Calibri" w:hAnsi="Calibri" w:cs="Calibri" w:hint="eastAsia"/>
          <w:sz w:val="24"/>
          <w:szCs w:val="24"/>
        </w:rPr>
        <w:t>č</w:t>
      </w:r>
      <w:r w:rsidRPr="00AC7D65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í </w:t>
      </w:r>
      <w:r w:rsidRPr="00AC7D65">
        <w:rPr>
          <w:rFonts w:ascii="Calibri" w:hAnsi="Calibri" w:cs="Calibri"/>
          <w:sz w:val="24"/>
          <w:szCs w:val="24"/>
        </w:rPr>
        <w:t>podpora urychlit zavádění dekarbonizačních strategi</w:t>
      </w:r>
      <w:r>
        <w:rPr>
          <w:rFonts w:ascii="Calibri" w:hAnsi="Calibri" w:cs="Calibri"/>
          <w:sz w:val="24"/>
          <w:szCs w:val="24"/>
        </w:rPr>
        <w:t>í v celém odvětví.</w:t>
      </w:r>
    </w:p>
    <w:p w14:paraId="48ED4897" w14:textId="22E62A00" w:rsidR="000567BA" w:rsidRDefault="000567BA" w:rsidP="000567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„</w:t>
      </w:r>
      <w:r w:rsidRPr="000567BA">
        <w:rPr>
          <w:rFonts w:ascii="Calibri" w:hAnsi="Calibri" w:cs="Calibri"/>
          <w:i/>
          <w:iCs/>
          <w:sz w:val="24"/>
          <w:szCs w:val="24"/>
        </w:rPr>
        <w:t>Z hlediska snižování uhlíkové stopy v budovách jsou zatím poř</w:t>
      </w:r>
      <w:r>
        <w:rPr>
          <w:rFonts w:ascii="Calibri" w:hAnsi="Calibri" w:cs="Calibri"/>
          <w:i/>
          <w:iCs/>
          <w:sz w:val="24"/>
          <w:szCs w:val="24"/>
        </w:rPr>
        <w:t>á</w:t>
      </w:r>
      <w:r w:rsidRPr="000567BA">
        <w:rPr>
          <w:rFonts w:ascii="Calibri" w:hAnsi="Calibri" w:cs="Calibri"/>
          <w:i/>
          <w:iCs/>
          <w:sz w:val="24"/>
          <w:szCs w:val="24"/>
        </w:rPr>
        <w:t>d důležitější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>provozn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emise, což je například svícení či vytápění, které představuj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36 %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>veškerých emis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v České republice, zatímco emise zabudované ve stavbě tvoř</w:t>
      </w:r>
      <w:r>
        <w:rPr>
          <w:rFonts w:ascii="Calibri" w:hAnsi="Calibri" w:cs="Calibri"/>
          <w:i/>
          <w:iCs/>
          <w:sz w:val="24"/>
          <w:szCs w:val="24"/>
        </w:rPr>
        <w:t xml:space="preserve">í </w:t>
      </w:r>
      <w:r w:rsidRPr="000567BA">
        <w:rPr>
          <w:rFonts w:ascii="Calibri" w:hAnsi="Calibri" w:cs="Calibri"/>
          <w:i/>
          <w:iCs/>
          <w:sz w:val="24"/>
          <w:szCs w:val="24"/>
        </w:rPr>
        <w:t>5–7 %. Proto je nyní pro snižování emis</w:t>
      </w:r>
      <w:r>
        <w:rPr>
          <w:rFonts w:ascii="Calibri" w:hAnsi="Calibri" w:cs="Calibri"/>
          <w:i/>
          <w:iCs/>
          <w:sz w:val="24"/>
          <w:szCs w:val="24"/>
        </w:rPr>
        <w:t xml:space="preserve">í </w:t>
      </w:r>
      <w:r w:rsidRPr="000567BA">
        <w:rPr>
          <w:rFonts w:ascii="Calibri" w:hAnsi="Calibri" w:cs="Calibri"/>
          <w:i/>
          <w:iCs/>
          <w:sz w:val="24"/>
          <w:szCs w:val="24"/>
        </w:rPr>
        <w:t>významnější zateplovat a renovovat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>domy, což Ministerstvo životního prostřed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významně podporuje například z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>programu Nov</w:t>
      </w:r>
      <w:r>
        <w:rPr>
          <w:rFonts w:ascii="Calibri" w:hAnsi="Calibri" w:cs="Calibri"/>
          <w:i/>
          <w:iCs/>
          <w:sz w:val="24"/>
          <w:szCs w:val="24"/>
        </w:rPr>
        <w:t>á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zelen</w:t>
      </w:r>
      <w:r>
        <w:rPr>
          <w:rFonts w:ascii="Calibri" w:hAnsi="Calibri" w:cs="Calibri"/>
          <w:i/>
          <w:iCs/>
          <w:sz w:val="24"/>
          <w:szCs w:val="24"/>
        </w:rPr>
        <w:t>á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úsporám nebo úspěšného programu Oprav dům po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>babičce. S přibývající provozní úsporností budov bude nabývat na důležitosti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potřeba </w:t>
      </w:r>
      <w:r>
        <w:rPr>
          <w:rFonts w:ascii="Calibri" w:hAnsi="Calibri" w:cs="Calibri"/>
          <w:i/>
          <w:iCs/>
          <w:sz w:val="24"/>
          <w:szCs w:val="24"/>
        </w:rPr>
        <w:t>s</w:t>
      </w:r>
      <w:r w:rsidRPr="000567BA">
        <w:rPr>
          <w:rFonts w:ascii="Calibri" w:hAnsi="Calibri" w:cs="Calibri"/>
          <w:i/>
          <w:iCs/>
          <w:sz w:val="24"/>
          <w:szCs w:val="24"/>
        </w:rPr>
        <w:t>nižovat také zabudované emise. Už teď částečně v rámci dotac</w:t>
      </w:r>
      <w:r>
        <w:rPr>
          <w:rFonts w:ascii="Calibri" w:hAnsi="Calibri" w:cs="Calibri"/>
          <w:i/>
          <w:iCs/>
          <w:sz w:val="24"/>
          <w:szCs w:val="24"/>
        </w:rPr>
        <w:t xml:space="preserve">í </w:t>
      </w:r>
      <w:r w:rsidRPr="000567BA">
        <w:rPr>
          <w:rFonts w:ascii="Calibri" w:hAnsi="Calibri" w:cs="Calibri"/>
          <w:i/>
          <w:iCs/>
          <w:sz w:val="24"/>
          <w:szCs w:val="24"/>
        </w:rPr>
        <w:t>zvýhodňujeme renovace, novostavby či projekty, které zohledňuj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0567BA">
        <w:rPr>
          <w:rFonts w:ascii="Calibri" w:hAnsi="Calibri" w:cs="Calibri"/>
          <w:i/>
          <w:iCs/>
          <w:sz w:val="24"/>
          <w:szCs w:val="24"/>
        </w:rPr>
        <w:t xml:space="preserve"> i výběr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67BA">
        <w:rPr>
          <w:rFonts w:ascii="Calibri" w:hAnsi="Calibri" w:cs="Calibri"/>
          <w:i/>
          <w:iCs/>
          <w:sz w:val="24"/>
          <w:szCs w:val="24"/>
        </w:rPr>
        <w:t>materiálů šetrných k životnímu prostředí a celoživotní cyklus výrobku</w:t>
      </w:r>
      <w:r>
        <w:rPr>
          <w:rFonts w:ascii="Calibri" w:hAnsi="Calibri" w:cs="Calibri"/>
          <w:i/>
          <w:iCs/>
          <w:sz w:val="24"/>
          <w:szCs w:val="24"/>
        </w:rPr>
        <w:t xml:space="preserve">,“ </w:t>
      </w:r>
      <w:r>
        <w:rPr>
          <w:rFonts w:ascii="Calibri" w:hAnsi="Calibri" w:cs="Calibri"/>
          <w:sz w:val="24"/>
          <w:szCs w:val="24"/>
        </w:rPr>
        <w:t xml:space="preserve">říká k podpoře udržitelné výstavby ministr životního prostředí </w:t>
      </w:r>
      <w:r w:rsidRPr="000567BA">
        <w:rPr>
          <w:rFonts w:ascii="Calibri" w:hAnsi="Calibri" w:cs="Calibri"/>
          <w:b/>
          <w:bCs/>
          <w:sz w:val="24"/>
          <w:szCs w:val="24"/>
        </w:rPr>
        <w:t>Petr Hladík</w:t>
      </w:r>
      <w:r>
        <w:rPr>
          <w:rFonts w:ascii="Calibri" w:hAnsi="Calibri" w:cs="Calibri"/>
          <w:sz w:val="24"/>
          <w:szCs w:val="24"/>
        </w:rPr>
        <w:t>.</w:t>
      </w:r>
    </w:p>
    <w:p w14:paraId="46204EFF" w14:textId="50579A64" w:rsidR="00A640CC" w:rsidRPr="00A640CC" w:rsidRDefault="00A640CC" w:rsidP="00A640CC">
      <w:pPr>
        <w:rPr>
          <w:rFonts w:ascii="Calibri" w:hAnsi="Calibri" w:cs="Calibri"/>
          <w:sz w:val="24"/>
          <w:szCs w:val="24"/>
        </w:rPr>
      </w:pPr>
      <w:r w:rsidRPr="00A640CC">
        <w:rPr>
          <w:rFonts w:ascii="Calibri" w:hAnsi="Calibri" w:cs="Calibri"/>
          <w:sz w:val="24"/>
          <w:szCs w:val="24"/>
        </w:rPr>
        <w:lastRenderedPageBreak/>
        <w:t>Pro udržitelné stavebnictví je zcela zásadní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navrhovat domy tak, aby nosná konstrukce měla co nejdelší životnost.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Trvanlivějš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 xml:space="preserve"> stavby nevyžaduj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 xml:space="preserve"> časté stavební zásahy spojené s</w:t>
      </w:r>
      <w:r>
        <w:rPr>
          <w:rFonts w:ascii="Calibri" w:hAnsi="Calibri" w:cs="Calibri"/>
          <w:sz w:val="24"/>
          <w:szCs w:val="24"/>
        </w:rPr>
        <w:t> </w:t>
      </w:r>
      <w:r w:rsidRPr="00A640CC">
        <w:rPr>
          <w:rFonts w:ascii="Calibri" w:hAnsi="Calibri" w:cs="Calibri"/>
          <w:sz w:val="24"/>
          <w:szCs w:val="24"/>
        </w:rPr>
        <w:t>technickým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opotřebením konstrukce. Méně rekonstrukc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>, oprav a celkově nižší spotřeba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zdrojů v průběhu jejich životnosti snižuje celkový dopad na životn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 xml:space="preserve"> prostředí.</w:t>
      </w:r>
    </w:p>
    <w:p w14:paraId="295618DF" w14:textId="239EF28A" w:rsidR="00B5386D" w:rsidRDefault="00A640CC" w:rsidP="00653A73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Tím se řídí i společnost </w:t>
      </w:r>
      <w:proofErr w:type="spellStart"/>
      <w:r>
        <w:rPr>
          <w:rFonts w:ascii="Calibri" w:hAnsi="Calibri" w:cs="Calibri"/>
          <w:sz w:val="24"/>
          <w:szCs w:val="24"/>
        </w:rPr>
        <w:t>Wienerberger</w:t>
      </w:r>
      <w:proofErr w:type="spellEnd"/>
      <w:r>
        <w:rPr>
          <w:rFonts w:ascii="Calibri" w:hAnsi="Calibri" w:cs="Calibri"/>
          <w:sz w:val="24"/>
          <w:szCs w:val="24"/>
        </w:rPr>
        <w:t xml:space="preserve"> a její g</w:t>
      </w:r>
      <w:r w:rsidR="00653A73">
        <w:rPr>
          <w:rFonts w:ascii="Calibri" w:hAnsi="Calibri" w:cs="Calibri"/>
          <w:sz w:val="24"/>
          <w:szCs w:val="24"/>
        </w:rPr>
        <w:t xml:space="preserve">enerální ředitel a jednatel, </w:t>
      </w:r>
      <w:r w:rsidR="00653A73" w:rsidRPr="00653A73">
        <w:rPr>
          <w:rFonts w:ascii="Calibri" w:hAnsi="Calibri" w:cs="Calibri"/>
          <w:b/>
          <w:bCs/>
          <w:sz w:val="24"/>
          <w:szCs w:val="24"/>
        </w:rPr>
        <w:t>Kamil Jeřábek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říká</w:t>
      </w:r>
      <w:r w:rsidR="00653A73">
        <w:rPr>
          <w:rFonts w:ascii="Calibri" w:hAnsi="Calibri" w:cs="Calibri"/>
          <w:sz w:val="24"/>
          <w:szCs w:val="24"/>
        </w:rPr>
        <w:t xml:space="preserve">: </w:t>
      </w:r>
      <w:r w:rsidR="00653A73">
        <w:rPr>
          <w:rFonts w:ascii="Calibri" w:hAnsi="Calibri" w:cs="Calibri"/>
          <w:i/>
          <w:iCs/>
          <w:sz w:val="24"/>
          <w:szCs w:val="24"/>
        </w:rPr>
        <w:t>„</w:t>
      </w:r>
      <w:proofErr w:type="spellStart"/>
      <w:r w:rsidR="00653A73" w:rsidRPr="00653A73">
        <w:rPr>
          <w:rFonts w:ascii="Calibri" w:hAnsi="Calibri" w:cs="Calibri"/>
          <w:i/>
          <w:iCs/>
          <w:sz w:val="24"/>
          <w:szCs w:val="24"/>
        </w:rPr>
        <w:t>Wienerberger</w:t>
      </w:r>
      <w:proofErr w:type="spellEnd"/>
      <w:r w:rsidR="00653A73" w:rsidRPr="00653A73">
        <w:rPr>
          <w:rFonts w:ascii="Calibri" w:hAnsi="Calibri" w:cs="Calibri"/>
          <w:i/>
          <w:iCs/>
          <w:sz w:val="24"/>
          <w:szCs w:val="24"/>
        </w:rPr>
        <w:t xml:space="preserve"> na trh dodává komplexní portfolio inovativních a udržitelných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řešen</w:t>
      </w:r>
      <w:r w:rsidR="00653A73">
        <w:rPr>
          <w:rFonts w:ascii="Calibri" w:hAnsi="Calibri" w:cs="Calibri"/>
          <w:i/>
          <w:iCs/>
          <w:sz w:val="24"/>
          <w:szCs w:val="24"/>
        </w:rPr>
        <w:t>í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.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Udržitelnost našich stavebních materiálů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se snažíme podporovat inovativními projekty v oblasti cirkulární ekonomiky.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Proto jsme se zavázali, že nově vyvinuté produkty budou recyklovatelné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nebo znovupoužitelné. Tímto způsobem zajišťujeme dlouhodobou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dostupnost surovin. Jde o příspěvek naš</w:t>
      </w:r>
      <w:r w:rsidR="00653A73">
        <w:rPr>
          <w:rFonts w:ascii="Calibri" w:hAnsi="Calibri" w:cs="Calibri"/>
          <w:i/>
          <w:iCs/>
          <w:sz w:val="24"/>
          <w:szCs w:val="24"/>
        </w:rPr>
        <w:t>í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 xml:space="preserve"> společnosti k tomu, aby se suroviny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nespotřebovávaly</w:t>
      </w:r>
      <w:r w:rsidR="00653A7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53A73" w:rsidRPr="00653A73">
        <w:rPr>
          <w:rFonts w:ascii="Calibri" w:hAnsi="Calibri" w:cs="Calibri"/>
          <w:i/>
          <w:iCs/>
          <w:sz w:val="24"/>
          <w:szCs w:val="24"/>
        </w:rPr>
        <w:t>donekonečna, ale aby se vracely přírodě</w:t>
      </w:r>
      <w:r w:rsidR="00653A73">
        <w:rPr>
          <w:rFonts w:ascii="Calibri" w:hAnsi="Calibri" w:cs="Calibri"/>
          <w:i/>
          <w:iCs/>
          <w:sz w:val="24"/>
          <w:szCs w:val="24"/>
        </w:rPr>
        <w:t>.“</w:t>
      </w:r>
    </w:p>
    <w:p w14:paraId="4D67A012" w14:textId="77777777" w:rsidR="00A640CC" w:rsidRPr="00653A73" w:rsidRDefault="00A640CC" w:rsidP="00653A73">
      <w:pPr>
        <w:rPr>
          <w:rFonts w:ascii="Calibri" w:hAnsi="Calibri" w:cs="Calibri"/>
          <w:i/>
          <w:iCs/>
          <w:sz w:val="24"/>
          <w:szCs w:val="24"/>
        </w:rPr>
      </w:pPr>
    </w:p>
    <w:p w14:paraId="10BC87FC" w14:textId="62645F7B" w:rsidR="00B5386D" w:rsidRPr="00B5386D" w:rsidRDefault="00B5386D" w:rsidP="000567BA">
      <w:pPr>
        <w:rPr>
          <w:rFonts w:ascii="Calibri" w:hAnsi="Calibri" w:cs="Calibri"/>
          <w:sz w:val="24"/>
          <w:szCs w:val="24"/>
        </w:rPr>
      </w:pPr>
      <w:r w:rsidRPr="00B5386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FAFD869" wp14:editId="6FE9E2E5">
            <wp:extent cx="5760720" cy="1892300"/>
            <wp:effectExtent l="0" t="0" r="0" b="0"/>
            <wp:docPr id="638313329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13329" name="Obrázek 1" descr="Obsah obrázku text, snímek obrazovky, Písmo, log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3676" w14:textId="77777777" w:rsidR="00F56FEE" w:rsidRDefault="00F56FEE" w:rsidP="00F56FEE">
      <w:pPr>
        <w:rPr>
          <w:rFonts w:ascii="Calibri" w:hAnsi="Calibri" w:cs="Calibri"/>
          <w:sz w:val="24"/>
          <w:szCs w:val="24"/>
        </w:rPr>
      </w:pPr>
      <w:r w:rsidRPr="00A640CC">
        <w:rPr>
          <w:rFonts w:ascii="Calibri" w:hAnsi="Calibri" w:cs="Calibri"/>
          <w:sz w:val="24"/>
          <w:szCs w:val="24"/>
        </w:rPr>
        <w:t>Celkem 72 % dotázaných stavebních spole</w:t>
      </w:r>
      <w:r w:rsidRPr="00A640CC">
        <w:rPr>
          <w:rFonts w:ascii="Calibri" w:hAnsi="Calibri" w:cs="Calibri" w:hint="eastAsia"/>
          <w:sz w:val="24"/>
          <w:szCs w:val="24"/>
        </w:rPr>
        <w:t>č</w:t>
      </w:r>
      <w:r w:rsidRPr="00A640CC">
        <w:rPr>
          <w:rFonts w:ascii="Calibri" w:hAnsi="Calibri" w:cs="Calibri"/>
          <w:sz w:val="24"/>
          <w:szCs w:val="24"/>
        </w:rPr>
        <w:t>nost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 xml:space="preserve"> neprovádí nefinanční reporting. V Evrop</w:t>
      </w:r>
      <w:r w:rsidRPr="00A640CC">
        <w:rPr>
          <w:rFonts w:ascii="Calibri" w:hAnsi="Calibri" w:cs="Calibri" w:hint="eastAsia"/>
          <w:sz w:val="24"/>
          <w:szCs w:val="24"/>
        </w:rPr>
        <w:t>ě</w:t>
      </w:r>
      <w:r w:rsidRPr="00A640CC">
        <w:rPr>
          <w:rFonts w:ascii="Calibri" w:hAnsi="Calibri" w:cs="Calibri"/>
          <w:sz w:val="24"/>
          <w:szCs w:val="24"/>
        </w:rPr>
        <w:t>, zejména v rámci EU, se ale tato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 xml:space="preserve">praxe stává stále </w:t>
      </w:r>
      <w:r w:rsidRPr="00A640CC">
        <w:rPr>
          <w:rFonts w:ascii="Calibri" w:hAnsi="Calibri" w:cs="Calibri" w:hint="eastAsia"/>
          <w:sz w:val="24"/>
          <w:szCs w:val="24"/>
        </w:rPr>
        <w:t>č</w:t>
      </w:r>
      <w:r w:rsidRPr="00A640CC">
        <w:rPr>
          <w:rFonts w:ascii="Calibri" w:hAnsi="Calibri" w:cs="Calibri"/>
          <w:sz w:val="24"/>
          <w:szCs w:val="24"/>
        </w:rPr>
        <w:t>ast</w:t>
      </w:r>
      <w:r w:rsidRPr="00A640CC">
        <w:rPr>
          <w:rFonts w:ascii="Calibri" w:hAnsi="Calibri" w:cs="Calibri" w:hint="eastAsia"/>
          <w:sz w:val="24"/>
          <w:szCs w:val="24"/>
        </w:rPr>
        <w:t>ě</w:t>
      </w:r>
      <w:r w:rsidRPr="00A640CC">
        <w:rPr>
          <w:rFonts w:ascii="Calibri" w:hAnsi="Calibri" w:cs="Calibri"/>
          <w:sz w:val="24"/>
          <w:szCs w:val="24"/>
        </w:rPr>
        <w:t xml:space="preserve">ji povinnou. </w:t>
      </w:r>
      <w:r w:rsidRPr="00A640CC">
        <w:rPr>
          <w:rFonts w:ascii="Calibri" w:hAnsi="Calibri" w:cs="Calibri"/>
          <w:b/>
          <w:bCs/>
          <w:sz w:val="24"/>
          <w:szCs w:val="24"/>
        </w:rPr>
        <w:t xml:space="preserve">Od roku 2025 budou </w:t>
      </w:r>
      <w:r w:rsidRPr="00E71486">
        <w:rPr>
          <w:rFonts w:ascii="Calibri" w:hAnsi="Calibri" w:cs="Calibri"/>
          <w:b/>
          <w:bCs/>
          <w:sz w:val="24"/>
          <w:szCs w:val="24"/>
        </w:rPr>
        <w:t>velké</w:t>
      </w:r>
      <w:r w:rsidRPr="00A640CC">
        <w:rPr>
          <w:rFonts w:ascii="Calibri" w:hAnsi="Calibri" w:cs="Calibri"/>
          <w:b/>
          <w:bCs/>
          <w:sz w:val="24"/>
          <w:szCs w:val="24"/>
        </w:rPr>
        <w:t xml:space="preserve"> firmy v EU muset dodr</w:t>
      </w:r>
      <w:r w:rsidRPr="00A640CC">
        <w:rPr>
          <w:rFonts w:ascii="Calibri" w:hAnsi="Calibri" w:cs="Calibri" w:hint="eastAsia"/>
          <w:b/>
          <w:bCs/>
          <w:sz w:val="24"/>
          <w:szCs w:val="24"/>
        </w:rPr>
        <w:t>ž</w:t>
      </w:r>
      <w:r w:rsidRPr="00A640CC">
        <w:rPr>
          <w:rFonts w:ascii="Calibri" w:hAnsi="Calibri" w:cs="Calibri"/>
          <w:b/>
          <w:bCs/>
          <w:sz w:val="24"/>
          <w:szCs w:val="24"/>
        </w:rPr>
        <w:t>ovat sm</w:t>
      </w:r>
      <w:r w:rsidRPr="00A640CC">
        <w:rPr>
          <w:rFonts w:ascii="Calibri" w:hAnsi="Calibri" w:cs="Calibri" w:hint="eastAsia"/>
          <w:b/>
          <w:bCs/>
          <w:sz w:val="24"/>
          <w:szCs w:val="24"/>
        </w:rPr>
        <w:t>ě</w:t>
      </w:r>
      <w:r w:rsidRPr="00A640CC">
        <w:rPr>
          <w:rFonts w:ascii="Calibri" w:hAnsi="Calibri" w:cs="Calibri"/>
          <w:b/>
          <w:bCs/>
          <w:sz w:val="24"/>
          <w:szCs w:val="24"/>
        </w:rPr>
        <w:t xml:space="preserve">rnici </w:t>
      </w:r>
      <w:proofErr w:type="spellStart"/>
      <w:r w:rsidRPr="00A640CC">
        <w:rPr>
          <w:rFonts w:ascii="Calibri" w:hAnsi="Calibri" w:cs="Calibri"/>
          <w:b/>
          <w:bCs/>
          <w:sz w:val="24"/>
          <w:szCs w:val="24"/>
        </w:rPr>
        <w:t>Corporate</w:t>
      </w:r>
      <w:proofErr w:type="spellEnd"/>
      <w:r w:rsidRPr="00A640C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640CC">
        <w:rPr>
          <w:rFonts w:ascii="Calibri" w:hAnsi="Calibri" w:cs="Calibri"/>
          <w:b/>
          <w:bCs/>
          <w:sz w:val="24"/>
          <w:szCs w:val="24"/>
        </w:rPr>
        <w:t>Sustainability</w:t>
      </w:r>
      <w:proofErr w:type="spellEnd"/>
      <w:r w:rsidRPr="00E714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640CC">
        <w:rPr>
          <w:rFonts w:ascii="Calibri" w:hAnsi="Calibri" w:cs="Calibri"/>
          <w:b/>
          <w:bCs/>
          <w:sz w:val="24"/>
          <w:szCs w:val="24"/>
        </w:rPr>
        <w:t xml:space="preserve">Reporting </w:t>
      </w:r>
      <w:proofErr w:type="spellStart"/>
      <w:r w:rsidRPr="00A640CC">
        <w:rPr>
          <w:rFonts w:ascii="Calibri" w:hAnsi="Calibri" w:cs="Calibri"/>
          <w:b/>
          <w:bCs/>
          <w:sz w:val="24"/>
          <w:szCs w:val="24"/>
        </w:rPr>
        <w:t>Directive</w:t>
      </w:r>
      <w:proofErr w:type="spellEnd"/>
      <w:r w:rsidRPr="00A640CC">
        <w:rPr>
          <w:rFonts w:ascii="Calibri" w:hAnsi="Calibri" w:cs="Calibri"/>
          <w:b/>
          <w:bCs/>
          <w:sz w:val="24"/>
          <w:szCs w:val="24"/>
        </w:rPr>
        <w:t xml:space="preserve"> (CSRD)</w:t>
      </w:r>
      <w:r w:rsidRPr="00A640CC">
        <w:rPr>
          <w:rFonts w:ascii="Calibri" w:hAnsi="Calibri" w:cs="Calibri"/>
          <w:sz w:val="24"/>
          <w:szCs w:val="24"/>
        </w:rPr>
        <w:t>, která roz</w:t>
      </w:r>
      <w:r w:rsidRPr="00A640CC">
        <w:rPr>
          <w:rFonts w:ascii="Calibri" w:hAnsi="Calibri" w:cs="Calibri" w:hint="eastAsia"/>
          <w:sz w:val="24"/>
          <w:szCs w:val="24"/>
        </w:rPr>
        <w:t>š</w:t>
      </w:r>
      <w:r w:rsidRPr="00A640CC">
        <w:rPr>
          <w:rFonts w:ascii="Calibri" w:hAnsi="Calibri" w:cs="Calibri"/>
          <w:sz w:val="24"/>
          <w:szCs w:val="24"/>
        </w:rPr>
        <w:t>i</w:t>
      </w:r>
      <w:r w:rsidRPr="00A640CC">
        <w:rPr>
          <w:rFonts w:ascii="Calibri" w:hAnsi="Calibri" w:cs="Calibri" w:hint="eastAsia"/>
          <w:sz w:val="24"/>
          <w:szCs w:val="24"/>
        </w:rPr>
        <w:t>ř</w:t>
      </w:r>
      <w:r w:rsidRPr="00A640CC">
        <w:rPr>
          <w:rFonts w:ascii="Calibri" w:hAnsi="Calibri" w:cs="Calibri"/>
          <w:sz w:val="24"/>
          <w:szCs w:val="24"/>
        </w:rPr>
        <w:t>uje po</w:t>
      </w:r>
      <w:r w:rsidRPr="00A640CC">
        <w:rPr>
          <w:rFonts w:ascii="Calibri" w:hAnsi="Calibri" w:cs="Calibri" w:hint="eastAsia"/>
          <w:sz w:val="24"/>
          <w:szCs w:val="24"/>
        </w:rPr>
        <w:t>ž</w:t>
      </w:r>
      <w:r w:rsidRPr="00A640CC">
        <w:rPr>
          <w:rFonts w:ascii="Calibri" w:hAnsi="Calibri" w:cs="Calibri"/>
          <w:sz w:val="24"/>
          <w:szCs w:val="24"/>
        </w:rPr>
        <w:t>adavky na reporting a zahrnuje nejen ekologické, ale i sociální a správní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 xml:space="preserve">aspekty. Firmy budou muset poskytovat informace o svém vlivu na </w:t>
      </w:r>
      <w:r w:rsidRPr="00A640CC">
        <w:rPr>
          <w:rFonts w:ascii="Calibri" w:hAnsi="Calibri" w:cs="Calibri" w:hint="eastAsia"/>
          <w:sz w:val="24"/>
          <w:szCs w:val="24"/>
        </w:rPr>
        <w:t>ž</w:t>
      </w:r>
      <w:r w:rsidRPr="00A640CC">
        <w:rPr>
          <w:rFonts w:ascii="Calibri" w:hAnsi="Calibri" w:cs="Calibri"/>
          <w:sz w:val="24"/>
          <w:szCs w:val="24"/>
        </w:rPr>
        <w:t>ivotn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 xml:space="preserve"> prostředí,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spot</w:t>
      </w:r>
      <w:r w:rsidRPr="00A640CC">
        <w:rPr>
          <w:rFonts w:ascii="Calibri" w:hAnsi="Calibri" w:cs="Calibri" w:hint="eastAsia"/>
          <w:sz w:val="24"/>
          <w:szCs w:val="24"/>
        </w:rPr>
        <w:t>ř</w:t>
      </w:r>
      <w:r w:rsidRPr="00A640CC">
        <w:rPr>
          <w:rFonts w:ascii="Calibri" w:hAnsi="Calibri" w:cs="Calibri"/>
          <w:sz w:val="24"/>
          <w:szCs w:val="24"/>
        </w:rPr>
        <w:t>eb</w:t>
      </w:r>
      <w:r w:rsidRPr="00A640CC">
        <w:rPr>
          <w:rFonts w:ascii="Calibri" w:hAnsi="Calibri" w:cs="Calibri" w:hint="eastAsia"/>
          <w:sz w:val="24"/>
          <w:szCs w:val="24"/>
        </w:rPr>
        <w:t>ě</w:t>
      </w:r>
      <w:r w:rsidRPr="00A640CC">
        <w:rPr>
          <w:rFonts w:ascii="Calibri" w:hAnsi="Calibri" w:cs="Calibri"/>
          <w:sz w:val="24"/>
          <w:szCs w:val="24"/>
        </w:rPr>
        <w:t xml:space="preserve"> energie, emisích a dalších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faktorech udr</w:t>
      </w:r>
      <w:r w:rsidRPr="00A640CC">
        <w:rPr>
          <w:rFonts w:ascii="Calibri" w:hAnsi="Calibri" w:cs="Calibri" w:hint="eastAsia"/>
          <w:sz w:val="24"/>
          <w:szCs w:val="24"/>
        </w:rPr>
        <w:t>ž</w:t>
      </w:r>
      <w:r w:rsidRPr="00A640CC">
        <w:rPr>
          <w:rFonts w:ascii="Calibri" w:hAnsi="Calibri" w:cs="Calibri"/>
          <w:sz w:val="24"/>
          <w:szCs w:val="24"/>
        </w:rPr>
        <w:t>itelnosti. Pro stavební firmy, které se rozhodnou zavést nefinanční reporting, to m</w:t>
      </w:r>
      <w:r w:rsidRPr="00A640CC">
        <w:rPr>
          <w:rFonts w:ascii="Calibri" w:hAnsi="Calibri" w:cs="Calibri" w:hint="eastAsia"/>
          <w:sz w:val="24"/>
          <w:szCs w:val="24"/>
        </w:rPr>
        <w:t>ůž</w:t>
      </w:r>
      <w:r w:rsidRPr="00A640CC">
        <w:rPr>
          <w:rFonts w:ascii="Calibri" w:hAnsi="Calibri" w:cs="Calibri"/>
          <w:sz w:val="24"/>
          <w:szCs w:val="24"/>
        </w:rPr>
        <w:t xml:space="preserve">e přinést </w:t>
      </w:r>
      <w:r w:rsidRPr="00A640CC">
        <w:rPr>
          <w:rFonts w:ascii="Calibri" w:hAnsi="Calibri" w:cs="Calibri" w:hint="eastAsia"/>
          <w:sz w:val="24"/>
          <w:szCs w:val="24"/>
        </w:rPr>
        <w:t>ř</w:t>
      </w:r>
      <w:r w:rsidRPr="00A640CC">
        <w:rPr>
          <w:rFonts w:ascii="Calibri" w:hAnsi="Calibri" w:cs="Calibri"/>
          <w:sz w:val="24"/>
          <w:szCs w:val="24"/>
        </w:rPr>
        <w:t>adu výhod.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>Zlep</w:t>
      </w:r>
      <w:r w:rsidRPr="00A640CC">
        <w:rPr>
          <w:rFonts w:ascii="Calibri" w:hAnsi="Calibri" w:cs="Calibri" w:hint="eastAsia"/>
          <w:sz w:val="24"/>
          <w:szCs w:val="24"/>
        </w:rPr>
        <w:t>š</w:t>
      </w:r>
      <w:r w:rsidRPr="00A640CC"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í</w:t>
      </w:r>
      <w:r w:rsidRPr="00A640CC">
        <w:rPr>
          <w:rFonts w:ascii="Calibri" w:hAnsi="Calibri" w:cs="Calibri"/>
          <w:sz w:val="24"/>
          <w:szCs w:val="24"/>
        </w:rPr>
        <w:t xml:space="preserve"> transparentnosti v oblasti udr</w:t>
      </w:r>
      <w:r w:rsidRPr="00A640CC">
        <w:rPr>
          <w:rFonts w:ascii="Calibri" w:hAnsi="Calibri" w:cs="Calibri" w:hint="eastAsia"/>
          <w:sz w:val="24"/>
          <w:szCs w:val="24"/>
        </w:rPr>
        <w:t>ž</w:t>
      </w:r>
      <w:r w:rsidRPr="00A640CC">
        <w:rPr>
          <w:rFonts w:ascii="Calibri" w:hAnsi="Calibri" w:cs="Calibri"/>
          <w:sz w:val="24"/>
          <w:szCs w:val="24"/>
        </w:rPr>
        <w:t>itelnosti m</w:t>
      </w:r>
      <w:r w:rsidRPr="00A640CC">
        <w:rPr>
          <w:rFonts w:ascii="Calibri" w:hAnsi="Calibri" w:cs="Calibri" w:hint="eastAsia"/>
          <w:sz w:val="24"/>
          <w:szCs w:val="24"/>
        </w:rPr>
        <w:t>ůž</w:t>
      </w:r>
      <w:r w:rsidRPr="00A640CC">
        <w:rPr>
          <w:rFonts w:ascii="Calibri" w:hAnsi="Calibri" w:cs="Calibri"/>
          <w:sz w:val="24"/>
          <w:szCs w:val="24"/>
        </w:rPr>
        <w:t>e zlep</w:t>
      </w:r>
      <w:r w:rsidRPr="00A640CC">
        <w:rPr>
          <w:rFonts w:ascii="Calibri" w:hAnsi="Calibri" w:cs="Calibri" w:hint="eastAsia"/>
          <w:sz w:val="24"/>
          <w:szCs w:val="24"/>
        </w:rPr>
        <w:t>š</w:t>
      </w:r>
      <w:r w:rsidRPr="00A640CC">
        <w:rPr>
          <w:rFonts w:ascii="Calibri" w:hAnsi="Calibri" w:cs="Calibri"/>
          <w:sz w:val="24"/>
          <w:szCs w:val="24"/>
        </w:rPr>
        <w:t>it jejich reputaci a přilákat investory zaměřené na ESG faktory</w:t>
      </w:r>
      <w:r>
        <w:rPr>
          <w:rFonts w:ascii="Calibri" w:hAnsi="Calibri" w:cs="Calibri"/>
          <w:sz w:val="24"/>
          <w:szCs w:val="24"/>
        </w:rPr>
        <w:t xml:space="preserve"> </w:t>
      </w:r>
      <w:r w:rsidRPr="00A640CC">
        <w:rPr>
          <w:rFonts w:ascii="Calibri" w:hAnsi="Calibri" w:cs="Calibri"/>
          <w:sz w:val="24"/>
          <w:szCs w:val="24"/>
        </w:rPr>
        <w:t xml:space="preserve">(environmentální, sociální a správní). </w:t>
      </w:r>
    </w:p>
    <w:p w14:paraId="18AA9F58" w14:textId="6BDFD721" w:rsidR="000567BA" w:rsidRDefault="003F463B" w:rsidP="003F463B">
      <w:pPr>
        <w:rPr>
          <w:rFonts w:ascii="Calibri" w:hAnsi="Calibri" w:cs="Calibri"/>
          <w:sz w:val="24"/>
          <w:szCs w:val="24"/>
        </w:rPr>
      </w:pPr>
      <w:r w:rsidRPr="003F463B">
        <w:rPr>
          <w:rFonts w:ascii="Calibri" w:hAnsi="Calibri" w:cs="Calibri"/>
          <w:sz w:val="24"/>
          <w:szCs w:val="24"/>
        </w:rPr>
        <w:t>Nízký po</w:t>
      </w:r>
      <w:r w:rsidRPr="003F463B">
        <w:rPr>
          <w:rFonts w:ascii="Calibri" w:hAnsi="Calibri" w:cs="Calibri" w:hint="eastAsia"/>
          <w:sz w:val="24"/>
          <w:szCs w:val="24"/>
        </w:rPr>
        <w:t>č</w:t>
      </w:r>
      <w:r w:rsidRPr="003F463B">
        <w:rPr>
          <w:rFonts w:ascii="Calibri" w:hAnsi="Calibri" w:cs="Calibri"/>
          <w:sz w:val="24"/>
          <w:szCs w:val="24"/>
        </w:rPr>
        <w:t>et firem se zavedenou dekarbonizační strategi</w:t>
      </w:r>
      <w:r>
        <w:rPr>
          <w:rFonts w:ascii="Calibri" w:hAnsi="Calibri" w:cs="Calibri"/>
          <w:sz w:val="24"/>
          <w:szCs w:val="24"/>
        </w:rPr>
        <w:t>í</w:t>
      </w:r>
      <w:r w:rsidRPr="003F463B">
        <w:rPr>
          <w:rFonts w:ascii="Calibri" w:hAnsi="Calibri" w:cs="Calibri"/>
          <w:sz w:val="24"/>
          <w:szCs w:val="24"/>
        </w:rPr>
        <w:t xml:space="preserve"> souvisí s tím, </w:t>
      </w:r>
      <w:r w:rsidRPr="003F463B">
        <w:rPr>
          <w:rFonts w:ascii="Calibri" w:hAnsi="Calibri" w:cs="Calibri" w:hint="eastAsia"/>
          <w:sz w:val="24"/>
          <w:szCs w:val="24"/>
        </w:rPr>
        <w:t>ž</w:t>
      </w:r>
      <w:r w:rsidRPr="003F463B">
        <w:rPr>
          <w:rFonts w:ascii="Calibri" w:hAnsi="Calibri" w:cs="Calibri"/>
          <w:sz w:val="24"/>
          <w:szCs w:val="24"/>
        </w:rPr>
        <w:t>e jen 14 % dotázaných m</w:t>
      </w:r>
      <w:r>
        <w:rPr>
          <w:rFonts w:ascii="Calibri" w:hAnsi="Calibri" w:cs="Calibri"/>
          <w:sz w:val="24"/>
          <w:szCs w:val="24"/>
        </w:rPr>
        <w:t>á na to</w:t>
      </w:r>
      <w:r w:rsidRPr="003F463B">
        <w:rPr>
          <w:rFonts w:ascii="Calibri" w:hAnsi="Calibri" w:cs="Calibri"/>
          <w:sz w:val="24"/>
          <w:szCs w:val="24"/>
        </w:rPr>
        <w:t xml:space="preserve"> dostatek personálních</w:t>
      </w:r>
      <w:r>
        <w:rPr>
          <w:rFonts w:ascii="Calibri" w:hAnsi="Calibri" w:cs="Calibri"/>
          <w:sz w:val="24"/>
          <w:szCs w:val="24"/>
        </w:rPr>
        <w:t xml:space="preserve"> </w:t>
      </w:r>
      <w:r w:rsidRPr="003F463B">
        <w:rPr>
          <w:rFonts w:ascii="Calibri" w:hAnsi="Calibri" w:cs="Calibri"/>
          <w:sz w:val="24"/>
          <w:szCs w:val="24"/>
        </w:rPr>
        <w:t>kapacit</w:t>
      </w:r>
      <w:r>
        <w:rPr>
          <w:rFonts w:ascii="Calibri" w:hAnsi="Calibri" w:cs="Calibri"/>
          <w:sz w:val="24"/>
          <w:szCs w:val="24"/>
        </w:rPr>
        <w:t xml:space="preserve">. </w:t>
      </w:r>
      <w:r w:rsidRPr="003F463B">
        <w:rPr>
          <w:rFonts w:ascii="Calibri" w:hAnsi="Calibri" w:cs="Calibri"/>
          <w:sz w:val="24"/>
          <w:szCs w:val="24"/>
        </w:rPr>
        <w:t>Dalších 25 % firem spolupracuje s externími dodavateli, kteří se specializuj</w:t>
      </w:r>
      <w:r>
        <w:rPr>
          <w:rFonts w:ascii="Calibri" w:hAnsi="Calibri" w:cs="Calibri"/>
          <w:sz w:val="24"/>
          <w:szCs w:val="24"/>
        </w:rPr>
        <w:t>í</w:t>
      </w:r>
      <w:r w:rsidRPr="003F463B">
        <w:rPr>
          <w:rFonts w:ascii="Calibri" w:hAnsi="Calibri" w:cs="Calibri"/>
          <w:sz w:val="24"/>
          <w:szCs w:val="24"/>
        </w:rPr>
        <w:t xml:space="preserve"> na dekarbonizaci</w:t>
      </w:r>
      <w:r>
        <w:rPr>
          <w:rFonts w:ascii="Calibri" w:hAnsi="Calibri" w:cs="Calibri"/>
          <w:sz w:val="24"/>
          <w:szCs w:val="24"/>
        </w:rPr>
        <w:t xml:space="preserve"> </w:t>
      </w:r>
      <w:r w:rsidRPr="003F463B">
        <w:rPr>
          <w:rFonts w:ascii="Calibri" w:hAnsi="Calibri" w:cs="Calibri"/>
          <w:sz w:val="24"/>
          <w:szCs w:val="24"/>
        </w:rPr>
        <w:t>budov. Tato spolupráce m</w:t>
      </w:r>
      <w:r w:rsidRPr="003F463B">
        <w:rPr>
          <w:rFonts w:ascii="Calibri" w:hAnsi="Calibri" w:cs="Calibri" w:hint="eastAsia"/>
          <w:sz w:val="24"/>
          <w:szCs w:val="24"/>
        </w:rPr>
        <w:t>ůž</w:t>
      </w:r>
      <w:r w:rsidRPr="003F463B">
        <w:rPr>
          <w:rFonts w:ascii="Calibri" w:hAnsi="Calibri" w:cs="Calibri"/>
          <w:sz w:val="24"/>
          <w:szCs w:val="24"/>
        </w:rPr>
        <w:t>e firmám přinést konkurenční výhodu, proto</w:t>
      </w:r>
      <w:r w:rsidRPr="003F463B">
        <w:rPr>
          <w:rFonts w:ascii="Calibri" w:hAnsi="Calibri" w:cs="Calibri" w:hint="eastAsia"/>
          <w:sz w:val="24"/>
          <w:szCs w:val="24"/>
        </w:rPr>
        <w:t>ž</w:t>
      </w:r>
      <w:r w:rsidRPr="003F463B">
        <w:rPr>
          <w:rFonts w:ascii="Calibri" w:hAnsi="Calibri" w:cs="Calibri"/>
          <w:sz w:val="24"/>
          <w:szCs w:val="24"/>
        </w:rPr>
        <w:t>e externí odborn</w:t>
      </w:r>
      <w:r>
        <w:rPr>
          <w:rFonts w:ascii="Calibri" w:hAnsi="Calibri" w:cs="Calibri"/>
          <w:sz w:val="24"/>
          <w:szCs w:val="24"/>
        </w:rPr>
        <w:t>í</w:t>
      </w:r>
      <w:r w:rsidRPr="003F463B">
        <w:rPr>
          <w:rFonts w:ascii="Calibri" w:hAnsi="Calibri" w:cs="Calibri"/>
          <w:sz w:val="24"/>
          <w:szCs w:val="24"/>
        </w:rPr>
        <w:t>ci mají zku</w:t>
      </w:r>
      <w:r w:rsidRPr="003F463B">
        <w:rPr>
          <w:rFonts w:ascii="Calibri" w:hAnsi="Calibri" w:cs="Calibri" w:hint="eastAsia"/>
          <w:sz w:val="24"/>
          <w:szCs w:val="24"/>
        </w:rPr>
        <w:t>š</w:t>
      </w:r>
      <w:r w:rsidRPr="003F463B">
        <w:rPr>
          <w:rFonts w:ascii="Calibri" w:hAnsi="Calibri" w:cs="Calibri"/>
          <w:sz w:val="24"/>
          <w:szCs w:val="24"/>
        </w:rPr>
        <w:t>enosti s</w:t>
      </w:r>
      <w:r>
        <w:rPr>
          <w:rFonts w:ascii="Calibri" w:hAnsi="Calibri" w:cs="Calibri"/>
          <w:sz w:val="24"/>
          <w:szCs w:val="24"/>
        </w:rPr>
        <w:t> </w:t>
      </w:r>
      <w:r w:rsidRPr="003F463B">
        <w:rPr>
          <w:rFonts w:ascii="Calibri" w:hAnsi="Calibri" w:cs="Calibri"/>
          <w:sz w:val="24"/>
          <w:szCs w:val="24"/>
        </w:rPr>
        <w:t>nejnovějšími</w:t>
      </w:r>
      <w:r>
        <w:rPr>
          <w:rFonts w:ascii="Calibri" w:hAnsi="Calibri" w:cs="Calibri"/>
          <w:sz w:val="24"/>
          <w:szCs w:val="24"/>
        </w:rPr>
        <w:t xml:space="preserve"> </w:t>
      </w:r>
      <w:r w:rsidRPr="003F463B">
        <w:rPr>
          <w:rFonts w:ascii="Calibri" w:hAnsi="Calibri" w:cs="Calibri"/>
          <w:sz w:val="24"/>
          <w:szCs w:val="24"/>
        </w:rPr>
        <w:t xml:space="preserve">technologiemi. Na druhou stranu by firmám pomohla dlouhodobá strategie, která by zahrnovala </w:t>
      </w:r>
      <w:r w:rsidRPr="003F463B">
        <w:rPr>
          <w:rFonts w:ascii="Calibri" w:hAnsi="Calibri" w:cs="Calibri" w:hint="eastAsia"/>
          <w:sz w:val="24"/>
          <w:szCs w:val="24"/>
        </w:rPr>
        <w:t>š</w:t>
      </w:r>
      <w:r w:rsidRPr="003F463B">
        <w:rPr>
          <w:rFonts w:ascii="Calibri" w:hAnsi="Calibri" w:cs="Calibri"/>
          <w:sz w:val="24"/>
          <w:szCs w:val="24"/>
        </w:rPr>
        <w:t>kolen</w:t>
      </w:r>
      <w:r>
        <w:rPr>
          <w:rFonts w:ascii="Calibri" w:hAnsi="Calibri" w:cs="Calibri"/>
          <w:sz w:val="24"/>
          <w:szCs w:val="24"/>
        </w:rPr>
        <w:t>í</w:t>
      </w:r>
      <w:r w:rsidRPr="003F463B">
        <w:rPr>
          <w:rFonts w:ascii="Calibri" w:hAnsi="Calibri" w:cs="Calibri"/>
          <w:sz w:val="24"/>
          <w:szCs w:val="24"/>
        </w:rPr>
        <w:t xml:space="preserve"> a rozvoj interních</w:t>
      </w:r>
      <w:r>
        <w:rPr>
          <w:rFonts w:ascii="Calibri" w:hAnsi="Calibri" w:cs="Calibri"/>
          <w:sz w:val="24"/>
          <w:szCs w:val="24"/>
        </w:rPr>
        <w:t xml:space="preserve"> </w:t>
      </w:r>
      <w:r w:rsidRPr="003F463B">
        <w:rPr>
          <w:rFonts w:ascii="Calibri" w:hAnsi="Calibri" w:cs="Calibri"/>
          <w:sz w:val="24"/>
          <w:szCs w:val="24"/>
        </w:rPr>
        <w:t>kapacit</w:t>
      </w:r>
      <w:r>
        <w:rPr>
          <w:rFonts w:ascii="Calibri" w:hAnsi="Calibri" w:cs="Calibri"/>
          <w:sz w:val="24"/>
          <w:szCs w:val="24"/>
        </w:rPr>
        <w:t xml:space="preserve">, což by </w:t>
      </w:r>
      <w:r w:rsidRPr="003F463B">
        <w:rPr>
          <w:rFonts w:ascii="Calibri" w:hAnsi="Calibri" w:cs="Calibri"/>
          <w:sz w:val="24"/>
          <w:szCs w:val="24"/>
        </w:rPr>
        <w:t>snížilo jejich závislost na externích dodavatelích</w:t>
      </w:r>
      <w:r>
        <w:rPr>
          <w:rFonts w:ascii="Calibri" w:hAnsi="Calibri" w:cs="Calibri"/>
          <w:sz w:val="24"/>
          <w:szCs w:val="24"/>
        </w:rPr>
        <w:t>.</w:t>
      </w:r>
      <w:r w:rsidRPr="003F463B">
        <w:rPr>
          <w:rFonts w:ascii="Calibri" w:hAnsi="Calibri" w:cs="Calibri"/>
          <w:sz w:val="24"/>
          <w:szCs w:val="24"/>
        </w:rPr>
        <w:t xml:space="preserve"> </w:t>
      </w:r>
    </w:p>
    <w:p w14:paraId="665EF2E6" w14:textId="7DF8DAEC" w:rsidR="00A640CC" w:rsidRDefault="00A640CC" w:rsidP="003F463B">
      <w:pPr>
        <w:rPr>
          <w:rFonts w:ascii="Calibri" w:hAnsi="Calibri" w:cs="Calibri"/>
          <w:sz w:val="24"/>
          <w:szCs w:val="24"/>
        </w:rPr>
      </w:pPr>
      <w:r w:rsidRPr="00A640CC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EF3988E" wp14:editId="420C117B">
            <wp:extent cx="5387807" cy="2712955"/>
            <wp:effectExtent l="0" t="0" r="3810" b="0"/>
            <wp:docPr id="1827413308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13308" name="Obrázek 1" descr="Obsah obrázku text, snímek obrazovky, Písmo, log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271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11CF" w14:textId="77777777" w:rsidR="0063061C" w:rsidRDefault="00504C29" w:rsidP="00504C2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 průzkumu CEEC Research vyplývá, že </w:t>
      </w:r>
      <w:r w:rsidRPr="00504C29">
        <w:rPr>
          <w:rFonts w:ascii="Calibri" w:hAnsi="Calibri" w:cs="Calibri"/>
          <w:sz w:val="24"/>
          <w:szCs w:val="24"/>
        </w:rPr>
        <w:t xml:space="preserve">vlastnictví energeticky účinných budov </w:t>
      </w:r>
      <w:r>
        <w:rPr>
          <w:rFonts w:ascii="Calibri" w:hAnsi="Calibri" w:cs="Calibri"/>
          <w:sz w:val="24"/>
          <w:szCs w:val="24"/>
        </w:rPr>
        <w:t xml:space="preserve">řadí </w:t>
      </w:r>
      <w:r w:rsidRPr="00504C29">
        <w:rPr>
          <w:rFonts w:ascii="Calibri" w:hAnsi="Calibri" w:cs="Calibri"/>
          <w:sz w:val="24"/>
          <w:szCs w:val="24"/>
        </w:rPr>
        <w:t>stavební firmy</w:t>
      </w:r>
      <w:r>
        <w:rPr>
          <w:rFonts w:ascii="Calibri" w:hAnsi="Calibri" w:cs="Calibri"/>
          <w:sz w:val="24"/>
          <w:szCs w:val="24"/>
        </w:rPr>
        <w:t xml:space="preserve"> mezi nejvýraznější výhody</w:t>
      </w:r>
      <w:r w:rsidRPr="00504C29">
        <w:rPr>
          <w:rFonts w:ascii="Calibri" w:hAnsi="Calibri" w:cs="Calibri"/>
          <w:sz w:val="24"/>
          <w:szCs w:val="24"/>
        </w:rPr>
        <w:t xml:space="preserve">. Nejvíce firem (75 %) uvedlo, </w:t>
      </w:r>
      <w:r w:rsidRPr="00504C29">
        <w:rPr>
          <w:rFonts w:ascii="Calibri" w:hAnsi="Calibri" w:cs="Calibri" w:hint="eastAsia"/>
          <w:sz w:val="24"/>
          <w:szCs w:val="24"/>
        </w:rPr>
        <w:t>ž</w:t>
      </w:r>
      <w:r w:rsidRPr="00504C29">
        <w:rPr>
          <w:rFonts w:ascii="Calibri" w:hAnsi="Calibri" w:cs="Calibri"/>
          <w:sz w:val="24"/>
          <w:szCs w:val="24"/>
        </w:rPr>
        <w:t>e tímto</w:t>
      </w:r>
      <w:r>
        <w:rPr>
          <w:rFonts w:ascii="Calibri" w:hAnsi="Calibri" w:cs="Calibri"/>
          <w:sz w:val="24"/>
          <w:szCs w:val="24"/>
        </w:rPr>
        <w:t xml:space="preserve"> </w:t>
      </w:r>
      <w:r w:rsidRPr="00504C29">
        <w:rPr>
          <w:rFonts w:ascii="Calibri" w:hAnsi="Calibri" w:cs="Calibri"/>
          <w:sz w:val="24"/>
          <w:szCs w:val="24"/>
        </w:rPr>
        <w:t>zp</w:t>
      </w:r>
      <w:r w:rsidRPr="00504C29">
        <w:rPr>
          <w:rFonts w:ascii="Calibri" w:hAnsi="Calibri" w:cs="Calibri" w:hint="eastAsia"/>
          <w:sz w:val="24"/>
          <w:szCs w:val="24"/>
        </w:rPr>
        <w:t>ů</w:t>
      </w:r>
      <w:r w:rsidRPr="00504C29">
        <w:rPr>
          <w:rFonts w:ascii="Calibri" w:hAnsi="Calibri" w:cs="Calibri"/>
          <w:sz w:val="24"/>
          <w:szCs w:val="24"/>
        </w:rPr>
        <w:t>sobem sni</w:t>
      </w:r>
      <w:r w:rsidRPr="00504C29">
        <w:rPr>
          <w:rFonts w:ascii="Calibri" w:hAnsi="Calibri" w:cs="Calibri" w:hint="eastAsia"/>
          <w:sz w:val="24"/>
          <w:szCs w:val="24"/>
        </w:rPr>
        <w:t>ž</w:t>
      </w:r>
      <w:r w:rsidRPr="00504C29">
        <w:rPr>
          <w:rFonts w:ascii="Calibri" w:hAnsi="Calibri" w:cs="Calibri"/>
          <w:sz w:val="24"/>
          <w:szCs w:val="24"/>
        </w:rPr>
        <w:t>uj</w:t>
      </w:r>
      <w:r>
        <w:rPr>
          <w:rFonts w:ascii="Calibri" w:hAnsi="Calibri" w:cs="Calibri"/>
          <w:sz w:val="24"/>
          <w:szCs w:val="24"/>
        </w:rPr>
        <w:t>í</w:t>
      </w:r>
      <w:r w:rsidRPr="00504C29">
        <w:rPr>
          <w:rFonts w:ascii="Calibri" w:hAnsi="Calibri" w:cs="Calibri"/>
          <w:sz w:val="24"/>
          <w:szCs w:val="24"/>
        </w:rPr>
        <w:t xml:space="preserve"> provozní náklady a 39 % z nich ocenilo zlep</w:t>
      </w:r>
      <w:r w:rsidRPr="00504C29">
        <w:rPr>
          <w:rFonts w:ascii="Calibri" w:hAnsi="Calibri" w:cs="Calibri" w:hint="eastAsia"/>
          <w:sz w:val="24"/>
          <w:szCs w:val="24"/>
        </w:rPr>
        <w:t>š</w:t>
      </w:r>
      <w:r w:rsidRPr="00504C29"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í</w:t>
      </w:r>
      <w:r w:rsidRPr="00504C29">
        <w:rPr>
          <w:rFonts w:ascii="Calibri" w:hAnsi="Calibri" w:cs="Calibri"/>
          <w:sz w:val="24"/>
          <w:szCs w:val="24"/>
        </w:rPr>
        <w:t xml:space="preserve"> image spole</w:t>
      </w:r>
      <w:r w:rsidRPr="00504C29">
        <w:rPr>
          <w:rFonts w:ascii="Calibri" w:hAnsi="Calibri" w:cs="Calibri" w:hint="eastAsia"/>
          <w:sz w:val="24"/>
          <w:szCs w:val="24"/>
        </w:rPr>
        <w:t>č</w:t>
      </w:r>
      <w:r w:rsidRPr="00504C29">
        <w:rPr>
          <w:rFonts w:ascii="Calibri" w:hAnsi="Calibri" w:cs="Calibri"/>
          <w:sz w:val="24"/>
          <w:szCs w:val="24"/>
        </w:rPr>
        <w:t>nosti v oblasti udr</w:t>
      </w:r>
      <w:r w:rsidRPr="00504C29">
        <w:rPr>
          <w:rFonts w:ascii="Calibri" w:hAnsi="Calibri" w:cs="Calibri" w:hint="eastAsia"/>
          <w:sz w:val="24"/>
          <w:szCs w:val="24"/>
        </w:rPr>
        <w:t>ž</w:t>
      </w:r>
      <w:r w:rsidRPr="00504C29">
        <w:rPr>
          <w:rFonts w:ascii="Calibri" w:hAnsi="Calibri" w:cs="Calibri"/>
          <w:sz w:val="24"/>
          <w:szCs w:val="24"/>
        </w:rPr>
        <w:t xml:space="preserve">itelnosti. </w:t>
      </w:r>
      <w:r w:rsidR="0063061C">
        <w:rPr>
          <w:rFonts w:ascii="Calibri" w:hAnsi="Calibri" w:cs="Calibri"/>
          <w:sz w:val="24"/>
          <w:szCs w:val="24"/>
        </w:rPr>
        <w:t xml:space="preserve"> </w:t>
      </w:r>
      <w:r w:rsidR="00F56FEE">
        <w:rPr>
          <w:rFonts w:ascii="Calibri" w:hAnsi="Calibri" w:cs="Calibri"/>
          <w:sz w:val="24"/>
          <w:szCs w:val="24"/>
        </w:rPr>
        <w:t xml:space="preserve">Další výhodou je zvýšení hodnoty aktiv firmy, tedy budov a strojů (31 %) a </w:t>
      </w:r>
      <w:r w:rsidR="008E18E1">
        <w:rPr>
          <w:rFonts w:ascii="Calibri" w:hAnsi="Calibri" w:cs="Calibri"/>
          <w:sz w:val="24"/>
          <w:szCs w:val="24"/>
        </w:rPr>
        <w:t xml:space="preserve">zlepšení pracovního prostředí zaměstnanců (24 %). </w:t>
      </w:r>
      <w:r w:rsidR="0063061C">
        <w:rPr>
          <w:rFonts w:ascii="Calibri" w:hAnsi="Calibri" w:cs="Calibri"/>
          <w:sz w:val="24"/>
          <w:szCs w:val="24"/>
        </w:rPr>
        <w:t xml:space="preserve">Pouze 12 % dotázaných firem nevidí v energeticky účinných budovách žádné výrazné výhody. </w:t>
      </w:r>
    </w:p>
    <w:p w14:paraId="637F8AFF" w14:textId="066A042E" w:rsidR="00504C29" w:rsidRPr="00504C29" w:rsidRDefault="00504C29" w:rsidP="00504C29">
      <w:pPr>
        <w:rPr>
          <w:rFonts w:ascii="Calibri" w:hAnsi="Calibri" w:cs="Calibri"/>
          <w:sz w:val="24"/>
          <w:szCs w:val="24"/>
        </w:rPr>
      </w:pPr>
      <w:r w:rsidRPr="00504C29">
        <w:rPr>
          <w:rFonts w:ascii="Calibri" w:hAnsi="Calibri" w:cs="Calibri"/>
          <w:sz w:val="24"/>
          <w:szCs w:val="24"/>
        </w:rPr>
        <w:t>Podobné trendy</w:t>
      </w:r>
      <w:r>
        <w:rPr>
          <w:rFonts w:ascii="Calibri" w:hAnsi="Calibri" w:cs="Calibri"/>
          <w:sz w:val="24"/>
          <w:szCs w:val="24"/>
        </w:rPr>
        <w:t xml:space="preserve"> </w:t>
      </w:r>
      <w:r w:rsidRPr="00504C29">
        <w:rPr>
          <w:rFonts w:ascii="Calibri" w:hAnsi="Calibri" w:cs="Calibri"/>
          <w:sz w:val="24"/>
          <w:szCs w:val="24"/>
        </w:rPr>
        <w:t>jsou i v zahrani</w:t>
      </w:r>
      <w:r w:rsidRPr="00504C29">
        <w:rPr>
          <w:rFonts w:ascii="Calibri" w:hAnsi="Calibri" w:cs="Calibri" w:hint="eastAsia"/>
          <w:sz w:val="24"/>
          <w:szCs w:val="24"/>
        </w:rPr>
        <w:t>č</w:t>
      </w:r>
      <w:r>
        <w:rPr>
          <w:rFonts w:ascii="Calibri" w:hAnsi="Calibri" w:cs="Calibri"/>
          <w:sz w:val="24"/>
          <w:szCs w:val="24"/>
        </w:rPr>
        <w:t>í</w:t>
      </w:r>
      <w:r w:rsidRPr="00504C29">
        <w:rPr>
          <w:rFonts w:ascii="Calibri" w:hAnsi="Calibri" w:cs="Calibri"/>
          <w:sz w:val="24"/>
          <w:szCs w:val="24"/>
        </w:rPr>
        <w:t xml:space="preserve"> </w:t>
      </w:r>
      <w:r w:rsidRPr="00504C29">
        <w:rPr>
          <w:rFonts w:ascii="Calibri" w:hAnsi="Calibri" w:cs="Calibri" w:hint="eastAsia"/>
          <w:sz w:val="24"/>
          <w:szCs w:val="24"/>
        </w:rPr>
        <w:t>–</w:t>
      </w:r>
      <w:r w:rsidRPr="00504C29">
        <w:rPr>
          <w:rFonts w:ascii="Calibri" w:hAnsi="Calibri" w:cs="Calibri"/>
          <w:sz w:val="24"/>
          <w:szCs w:val="24"/>
        </w:rPr>
        <w:t xml:space="preserve"> studie U.S. Green </w:t>
      </w:r>
      <w:proofErr w:type="spellStart"/>
      <w:r w:rsidRPr="00504C29">
        <w:rPr>
          <w:rFonts w:ascii="Calibri" w:hAnsi="Calibri" w:cs="Calibri"/>
          <w:sz w:val="24"/>
          <w:szCs w:val="24"/>
        </w:rPr>
        <w:t>Building</w:t>
      </w:r>
      <w:proofErr w:type="spellEnd"/>
      <w:r w:rsidRPr="00504C2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4C29">
        <w:rPr>
          <w:rFonts w:ascii="Calibri" w:hAnsi="Calibri" w:cs="Calibri"/>
          <w:sz w:val="24"/>
          <w:szCs w:val="24"/>
        </w:rPr>
        <w:t>Council</w:t>
      </w:r>
      <w:proofErr w:type="spellEnd"/>
      <w:r w:rsidRPr="00504C29">
        <w:rPr>
          <w:rFonts w:ascii="Calibri" w:hAnsi="Calibri" w:cs="Calibri"/>
          <w:sz w:val="24"/>
          <w:szCs w:val="24"/>
        </w:rPr>
        <w:t xml:space="preserve"> ukázala, </w:t>
      </w:r>
      <w:r w:rsidRPr="00504C29">
        <w:rPr>
          <w:rFonts w:ascii="Calibri" w:hAnsi="Calibri" w:cs="Calibri" w:hint="eastAsia"/>
          <w:sz w:val="24"/>
          <w:szCs w:val="24"/>
        </w:rPr>
        <w:t>ž</w:t>
      </w:r>
      <w:r w:rsidRPr="00504C29">
        <w:rPr>
          <w:rFonts w:ascii="Calibri" w:hAnsi="Calibri" w:cs="Calibri"/>
          <w:sz w:val="24"/>
          <w:szCs w:val="24"/>
        </w:rPr>
        <w:t xml:space="preserve">e firmy s certifikovanými </w:t>
      </w:r>
      <w:r w:rsidRPr="00504C29">
        <w:rPr>
          <w:rFonts w:ascii="Calibri" w:hAnsi="Calibri" w:cs="Calibri" w:hint="eastAsia"/>
          <w:sz w:val="24"/>
          <w:szCs w:val="24"/>
        </w:rPr>
        <w:t>„</w:t>
      </w:r>
      <w:r w:rsidRPr="00504C29">
        <w:rPr>
          <w:rFonts w:ascii="Calibri" w:hAnsi="Calibri" w:cs="Calibri"/>
          <w:sz w:val="24"/>
          <w:szCs w:val="24"/>
        </w:rPr>
        <w:t>zelenými</w:t>
      </w:r>
      <w:r>
        <w:rPr>
          <w:rFonts w:ascii="Calibri" w:hAnsi="Calibri" w:cs="Calibri"/>
          <w:sz w:val="24"/>
          <w:szCs w:val="24"/>
        </w:rPr>
        <w:t>“</w:t>
      </w:r>
      <w:r w:rsidRPr="00504C29">
        <w:rPr>
          <w:rFonts w:ascii="Calibri" w:hAnsi="Calibri" w:cs="Calibri"/>
          <w:sz w:val="24"/>
          <w:szCs w:val="24"/>
        </w:rPr>
        <w:t xml:space="preserve"> budovami nejen </w:t>
      </w:r>
      <w:r>
        <w:rPr>
          <w:rFonts w:ascii="Calibri" w:hAnsi="Calibri" w:cs="Calibri"/>
          <w:sz w:val="24"/>
          <w:szCs w:val="24"/>
        </w:rPr>
        <w:t>u</w:t>
      </w:r>
      <w:r w:rsidRPr="00504C29">
        <w:rPr>
          <w:rFonts w:ascii="Calibri" w:hAnsi="Calibri" w:cs="Calibri" w:hint="eastAsia"/>
          <w:sz w:val="24"/>
          <w:szCs w:val="24"/>
        </w:rPr>
        <w:t>š</w:t>
      </w:r>
      <w:r w:rsidRPr="00504C29">
        <w:rPr>
          <w:rFonts w:ascii="Calibri" w:hAnsi="Calibri" w:cs="Calibri"/>
          <w:sz w:val="24"/>
          <w:szCs w:val="24"/>
        </w:rPr>
        <w:t>et</w:t>
      </w:r>
      <w:r w:rsidRPr="00504C29">
        <w:rPr>
          <w:rFonts w:ascii="Calibri" w:hAnsi="Calibri" w:cs="Calibri" w:hint="eastAsia"/>
          <w:sz w:val="24"/>
          <w:szCs w:val="24"/>
        </w:rPr>
        <w:t>ř</w:t>
      </w:r>
      <w:r>
        <w:rPr>
          <w:rFonts w:ascii="Calibri" w:hAnsi="Calibri" w:cs="Calibri"/>
          <w:sz w:val="24"/>
          <w:szCs w:val="24"/>
        </w:rPr>
        <w:t>í</w:t>
      </w:r>
      <w:r w:rsidRPr="00504C29">
        <w:rPr>
          <w:rFonts w:ascii="Calibri" w:hAnsi="Calibri" w:cs="Calibri"/>
          <w:sz w:val="24"/>
          <w:szCs w:val="24"/>
        </w:rPr>
        <w:t xml:space="preserve"> a</w:t>
      </w:r>
      <w:r w:rsidRPr="00504C29">
        <w:rPr>
          <w:rFonts w:ascii="Calibri" w:hAnsi="Calibri" w:cs="Calibri" w:hint="eastAsia"/>
          <w:sz w:val="24"/>
          <w:szCs w:val="24"/>
        </w:rPr>
        <w:t>ž</w:t>
      </w:r>
      <w:r>
        <w:rPr>
          <w:rFonts w:ascii="Calibri" w:hAnsi="Calibri" w:cs="Calibri"/>
          <w:sz w:val="24"/>
          <w:szCs w:val="24"/>
        </w:rPr>
        <w:t xml:space="preserve"> </w:t>
      </w:r>
      <w:r w:rsidRPr="00504C29">
        <w:rPr>
          <w:rFonts w:ascii="Calibri" w:hAnsi="Calibri" w:cs="Calibri"/>
          <w:sz w:val="24"/>
          <w:szCs w:val="24"/>
        </w:rPr>
        <w:t>30 % na provozních nákladech, ale také mají spokojenější zam</w:t>
      </w:r>
      <w:r w:rsidRPr="00504C29">
        <w:rPr>
          <w:rFonts w:ascii="Calibri" w:hAnsi="Calibri" w:cs="Calibri" w:hint="eastAsia"/>
          <w:sz w:val="24"/>
          <w:szCs w:val="24"/>
        </w:rPr>
        <w:t>ě</w:t>
      </w:r>
      <w:r w:rsidRPr="00504C29">
        <w:rPr>
          <w:rFonts w:ascii="Calibri" w:hAnsi="Calibri" w:cs="Calibri"/>
          <w:sz w:val="24"/>
          <w:szCs w:val="24"/>
        </w:rPr>
        <w:t>stnance a nižší fluktuaci. Tyto firmy jsou navíc atraktivnější pro</w:t>
      </w:r>
      <w:r>
        <w:rPr>
          <w:rFonts w:ascii="Calibri" w:hAnsi="Calibri" w:cs="Calibri"/>
          <w:sz w:val="24"/>
          <w:szCs w:val="24"/>
        </w:rPr>
        <w:t xml:space="preserve"> </w:t>
      </w:r>
      <w:r w:rsidRPr="00504C29">
        <w:rPr>
          <w:rFonts w:ascii="Calibri" w:hAnsi="Calibri" w:cs="Calibri"/>
          <w:sz w:val="24"/>
          <w:szCs w:val="24"/>
        </w:rPr>
        <w:t xml:space="preserve">investory zaměřené na </w:t>
      </w:r>
      <w:r>
        <w:rPr>
          <w:rFonts w:ascii="Calibri" w:hAnsi="Calibri" w:cs="Calibri"/>
          <w:sz w:val="24"/>
          <w:szCs w:val="24"/>
        </w:rPr>
        <w:t xml:space="preserve">ESG </w:t>
      </w:r>
      <w:r w:rsidRPr="00504C29">
        <w:rPr>
          <w:rFonts w:ascii="Calibri" w:hAnsi="Calibri" w:cs="Calibri"/>
          <w:sz w:val="24"/>
          <w:szCs w:val="24"/>
        </w:rPr>
        <w:t>faktory, co</w:t>
      </w:r>
      <w:r w:rsidRPr="00504C29">
        <w:rPr>
          <w:rFonts w:ascii="Calibri" w:hAnsi="Calibri" w:cs="Calibri" w:hint="eastAsia"/>
          <w:sz w:val="24"/>
          <w:szCs w:val="24"/>
        </w:rPr>
        <w:t>ž</w:t>
      </w:r>
      <w:r w:rsidRPr="00504C29">
        <w:rPr>
          <w:rFonts w:ascii="Calibri" w:hAnsi="Calibri" w:cs="Calibri"/>
          <w:sz w:val="24"/>
          <w:szCs w:val="24"/>
        </w:rPr>
        <w:t xml:space="preserve"> m</w:t>
      </w:r>
      <w:r w:rsidRPr="00504C29">
        <w:rPr>
          <w:rFonts w:ascii="Calibri" w:hAnsi="Calibri" w:cs="Calibri" w:hint="eastAsia"/>
          <w:sz w:val="24"/>
          <w:szCs w:val="24"/>
        </w:rPr>
        <w:t>ůž</w:t>
      </w:r>
      <w:r w:rsidRPr="00504C29">
        <w:rPr>
          <w:rFonts w:ascii="Calibri" w:hAnsi="Calibri" w:cs="Calibri"/>
          <w:sz w:val="24"/>
          <w:szCs w:val="24"/>
        </w:rPr>
        <w:t>e přinést lep</w:t>
      </w:r>
      <w:r w:rsidRPr="00504C29">
        <w:rPr>
          <w:rFonts w:ascii="Calibri" w:hAnsi="Calibri" w:cs="Calibri" w:hint="eastAsia"/>
          <w:sz w:val="24"/>
          <w:szCs w:val="24"/>
        </w:rPr>
        <w:t>š</w:t>
      </w:r>
      <w:r>
        <w:rPr>
          <w:rFonts w:ascii="Calibri" w:hAnsi="Calibri" w:cs="Calibri"/>
          <w:sz w:val="24"/>
          <w:szCs w:val="24"/>
        </w:rPr>
        <w:t>í</w:t>
      </w:r>
      <w:r w:rsidRPr="00504C29">
        <w:rPr>
          <w:rFonts w:ascii="Calibri" w:hAnsi="Calibri" w:cs="Calibri"/>
          <w:sz w:val="24"/>
          <w:szCs w:val="24"/>
        </w:rPr>
        <w:t xml:space="preserve"> podmínky pro financov</w:t>
      </w:r>
      <w:r>
        <w:rPr>
          <w:rFonts w:ascii="Calibri" w:hAnsi="Calibri" w:cs="Calibri"/>
          <w:sz w:val="24"/>
          <w:szCs w:val="24"/>
        </w:rPr>
        <w:t>á</w:t>
      </w:r>
      <w:r w:rsidRPr="00504C29">
        <w:rPr>
          <w:rFonts w:ascii="Calibri" w:hAnsi="Calibri" w:cs="Calibri"/>
          <w:sz w:val="24"/>
          <w:szCs w:val="24"/>
        </w:rPr>
        <w:t>ní.</w:t>
      </w:r>
    </w:p>
    <w:p w14:paraId="161DBE7D" w14:textId="6A177E8F" w:rsidR="003F463B" w:rsidRDefault="00504C29" w:rsidP="00504C29">
      <w:pPr>
        <w:rPr>
          <w:rFonts w:ascii="Calibri" w:hAnsi="Calibri" w:cs="Calibri"/>
          <w:sz w:val="24"/>
          <w:szCs w:val="24"/>
        </w:rPr>
      </w:pPr>
      <w:r w:rsidRPr="00504C29">
        <w:rPr>
          <w:rFonts w:ascii="Calibri" w:hAnsi="Calibri" w:cs="Calibri"/>
          <w:sz w:val="24"/>
          <w:szCs w:val="24"/>
        </w:rPr>
        <w:t>Investice do energeticky účinných budov se tak ukazuj</w:t>
      </w:r>
      <w:r>
        <w:rPr>
          <w:rFonts w:ascii="Calibri" w:hAnsi="Calibri" w:cs="Calibri"/>
          <w:sz w:val="24"/>
          <w:szCs w:val="24"/>
        </w:rPr>
        <w:t>í</w:t>
      </w:r>
      <w:r w:rsidRPr="00504C29">
        <w:rPr>
          <w:rFonts w:ascii="Calibri" w:hAnsi="Calibri" w:cs="Calibri"/>
          <w:sz w:val="24"/>
          <w:szCs w:val="24"/>
        </w:rPr>
        <w:t xml:space="preserve"> jako strategick</w:t>
      </w:r>
      <w:r>
        <w:rPr>
          <w:rFonts w:ascii="Calibri" w:hAnsi="Calibri" w:cs="Calibri"/>
          <w:sz w:val="24"/>
          <w:szCs w:val="24"/>
        </w:rPr>
        <w:t>ý</w:t>
      </w:r>
      <w:r w:rsidRPr="00504C29">
        <w:rPr>
          <w:rFonts w:ascii="Calibri" w:hAnsi="Calibri" w:cs="Calibri"/>
          <w:sz w:val="24"/>
          <w:szCs w:val="24"/>
        </w:rPr>
        <w:t xml:space="preserve"> krok, který zlep</w:t>
      </w:r>
      <w:r w:rsidRPr="00504C29">
        <w:rPr>
          <w:rFonts w:ascii="Calibri" w:hAnsi="Calibri" w:cs="Calibri" w:hint="eastAsia"/>
          <w:sz w:val="24"/>
          <w:szCs w:val="24"/>
        </w:rPr>
        <w:t>š</w:t>
      </w:r>
      <w:r w:rsidRPr="00504C29">
        <w:rPr>
          <w:rFonts w:ascii="Calibri" w:hAnsi="Calibri" w:cs="Calibri"/>
          <w:sz w:val="24"/>
          <w:szCs w:val="24"/>
        </w:rPr>
        <w:t>uje nejen finanční výsledky a image</w:t>
      </w:r>
      <w:r>
        <w:rPr>
          <w:rFonts w:ascii="Calibri" w:hAnsi="Calibri" w:cs="Calibri"/>
          <w:sz w:val="24"/>
          <w:szCs w:val="24"/>
        </w:rPr>
        <w:t xml:space="preserve"> </w:t>
      </w:r>
      <w:r w:rsidRPr="00504C29">
        <w:rPr>
          <w:rFonts w:ascii="Calibri" w:hAnsi="Calibri" w:cs="Calibri"/>
          <w:sz w:val="24"/>
          <w:szCs w:val="24"/>
        </w:rPr>
        <w:t>firmy, ale také zvy</w:t>
      </w:r>
      <w:r w:rsidRPr="00504C29">
        <w:rPr>
          <w:rFonts w:ascii="Calibri" w:hAnsi="Calibri" w:cs="Calibri" w:hint="eastAsia"/>
          <w:sz w:val="24"/>
          <w:szCs w:val="24"/>
        </w:rPr>
        <w:t>š</w:t>
      </w:r>
      <w:r w:rsidRPr="00504C29">
        <w:rPr>
          <w:rFonts w:ascii="Calibri" w:hAnsi="Calibri" w:cs="Calibri"/>
          <w:sz w:val="24"/>
          <w:szCs w:val="24"/>
        </w:rPr>
        <w:t>uje její atraktivitu pro zam</w:t>
      </w:r>
      <w:r w:rsidRPr="00504C29">
        <w:rPr>
          <w:rFonts w:ascii="Calibri" w:hAnsi="Calibri" w:cs="Calibri" w:hint="eastAsia"/>
          <w:sz w:val="24"/>
          <w:szCs w:val="24"/>
        </w:rPr>
        <w:t>ě</w:t>
      </w:r>
      <w:r w:rsidRPr="00504C29">
        <w:rPr>
          <w:rFonts w:ascii="Calibri" w:hAnsi="Calibri" w:cs="Calibri"/>
          <w:sz w:val="24"/>
          <w:szCs w:val="24"/>
        </w:rPr>
        <w:t>stnance a investory.</w:t>
      </w:r>
    </w:p>
    <w:p w14:paraId="3599BCFF" w14:textId="126C6289" w:rsidR="00875122" w:rsidRDefault="00875122" w:rsidP="00875122">
      <w:pPr>
        <w:rPr>
          <w:rFonts w:ascii="Calibri" w:hAnsi="Calibri" w:cs="Calibri"/>
          <w:i/>
          <w:iCs/>
          <w:sz w:val="24"/>
          <w:szCs w:val="24"/>
        </w:rPr>
      </w:pPr>
      <w:r w:rsidRPr="00875122">
        <w:rPr>
          <w:rFonts w:ascii="Calibri" w:hAnsi="Calibri" w:cs="Calibri"/>
          <w:b/>
          <w:bCs/>
          <w:sz w:val="24"/>
          <w:szCs w:val="24"/>
        </w:rPr>
        <w:t>Jiří Tesař</w:t>
      </w:r>
      <w:r>
        <w:rPr>
          <w:rFonts w:ascii="Calibri" w:hAnsi="Calibri" w:cs="Calibri"/>
          <w:sz w:val="24"/>
          <w:szCs w:val="24"/>
        </w:rPr>
        <w:t xml:space="preserve">, obchodní ředitel společnosti </w:t>
      </w:r>
      <w:proofErr w:type="spellStart"/>
      <w:r>
        <w:rPr>
          <w:rFonts w:ascii="Calibri" w:hAnsi="Calibri" w:cs="Calibri"/>
          <w:sz w:val="24"/>
          <w:szCs w:val="24"/>
        </w:rPr>
        <w:t>Subterra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„</w:t>
      </w:r>
      <w:r w:rsidRPr="00875122">
        <w:rPr>
          <w:rFonts w:ascii="Calibri" w:hAnsi="Calibri" w:cs="Calibri"/>
          <w:i/>
          <w:iCs/>
          <w:sz w:val="24"/>
          <w:szCs w:val="24"/>
        </w:rPr>
        <w:t>Námi realizované novostavby ve všech segmentech mají výrazný ekologick</w:t>
      </w:r>
      <w:r>
        <w:rPr>
          <w:rFonts w:ascii="Calibri" w:hAnsi="Calibri" w:cs="Calibri"/>
          <w:i/>
          <w:iCs/>
          <w:sz w:val="24"/>
          <w:szCs w:val="24"/>
        </w:rPr>
        <w:t>ý</w:t>
      </w:r>
      <w:r w:rsidRPr="00875122">
        <w:rPr>
          <w:rFonts w:ascii="Calibri" w:hAnsi="Calibri" w:cs="Calibri"/>
          <w:i/>
          <w:iCs/>
          <w:sz w:val="24"/>
          <w:szCs w:val="24"/>
        </w:rPr>
        <w:t xml:space="preserve"> př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75122">
        <w:rPr>
          <w:rFonts w:ascii="Calibri" w:hAnsi="Calibri" w:cs="Calibri"/>
          <w:i/>
          <w:iCs/>
          <w:sz w:val="24"/>
          <w:szCs w:val="24"/>
        </w:rPr>
        <w:t>nos. Je nesporný jak např. v případě dopravních projektů, tak i v</w:t>
      </w:r>
      <w:r>
        <w:rPr>
          <w:rFonts w:ascii="Calibri" w:hAnsi="Calibri" w:cs="Calibri"/>
          <w:i/>
          <w:iCs/>
          <w:sz w:val="24"/>
          <w:szCs w:val="24"/>
        </w:rPr>
        <w:t> </w:t>
      </w:r>
      <w:r w:rsidRPr="00875122">
        <w:rPr>
          <w:rFonts w:ascii="Calibri" w:hAnsi="Calibri" w:cs="Calibri"/>
          <w:i/>
          <w:iCs/>
          <w:sz w:val="24"/>
          <w:szCs w:val="24"/>
        </w:rPr>
        <w:t>případě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75122">
        <w:rPr>
          <w:rFonts w:ascii="Calibri" w:hAnsi="Calibri" w:cs="Calibri"/>
          <w:i/>
          <w:iCs/>
          <w:sz w:val="24"/>
          <w:szCs w:val="24"/>
        </w:rPr>
        <w:t>pozemního stavitelství, kde investoři dnes stále častěji požaduj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75122">
        <w:rPr>
          <w:rFonts w:ascii="Calibri" w:hAnsi="Calibri" w:cs="Calibri"/>
          <w:i/>
          <w:iCs/>
          <w:sz w:val="24"/>
          <w:szCs w:val="24"/>
        </w:rPr>
        <w:t xml:space="preserve"> budovy ve vysokém standardu udržitelnosti dle certifikace BREEAM a LEED</w:t>
      </w:r>
      <w:r>
        <w:rPr>
          <w:rFonts w:ascii="Calibri" w:hAnsi="Calibri" w:cs="Calibri"/>
          <w:i/>
          <w:iCs/>
          <w:sz w:val="24"/>
          <w:szCs w:val="24"/>
        </w:rPr>
        <w:t>.“</w:t>
      </w:r>
    </w:p>
    <w:p w14:paraId="5ADFD2EC" w14:textId="1CDFD21A" w:rsidR="00527981" w:rsidRDefault="00527981" w:rsidP="008751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Ministerstvo průmyslu a obchodu také klade důraz na efektivnost nových technologií a poskytuje poradenství energetických úspor a inovací ve stavebnictví. </w:t>
      </w:r>
    </w:p>
    <w:p w14:paraId="7EAFC7DA" w14:textId="46F31589" w:rsidR="00527981" w:rsidRPr="00527981" w:rsidRDefault="00527981" w:rsidP="00527981">
      <w:pPr>
        <w:rPr>
          <w:rFonts w:ascii="Calibri" w:hAnsi="Calibri" w:cs="Calibri"/>
          <w:i/>
          <w:iCs/>
          <w:sz w:val="24"/>
          <w:szCs w:val="24"/>
        </w:rPr>
      </w:pPr>
      <w:r w:rsidRPr="00527981">
        <w:rPr>
          <w:rFonts w:ascii="Calibri" w:hAnsi="Calibri" w:cs="Calibri"/>
          <w:b/>
          <w:bCs/>
          <w:sz w:val="24"/>
          <w:szCs w:val="24"/>
        </w:rPr>
        <w:t>Lukáš Vlček</w:t>
      </w:r>
      <w:r>
        <w:rPr>
          <w:rFonts w:ascii="Calibri" w:hAnsi="Calibri" w:cs="Calibri"/>
          <w:sz w:val="24"/>
          <w:szCs w:val="24"/>
        </w:rPr>
        <w:t>, ministr průmyslu a obchodu, říká, že: „</w:t>
      </w:r>
      <w:r w:rsidRPr="00527981">
        <w:rPr>
          <w:rFonts w:ascii="Calibri" w:hAnsi="Calibri" w:cs="Calibri"/>
          <w:i/>
          <w:iCs/>
          <w:sz w:val="24"/>
          <w:szCs w:val="24"/>
        </w:rPr>
        <w:t>MPO</w:t>
      </w:r>
      <w:r>
        <w:rPr>
          <w:rFonts w:ascii="Calibri" w:hAnsi="Calibri" w:cs="Calibri"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aktivně podporuje inovace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zaměřené na energetickou účinnost a dekarbonizaci stavebního sektoru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v podobě úsporných opatřen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527981">
        <w:rPr>
          <w:rFonts w:ascii="Calibri" w:hAnsi="Calibri" w:cs="Calibri"/>
          <w:i/>
          <w:iCs/>
          <w:sz w:val="24"/>
          <w:szCs w:val="24"/>
        </w:rPr>
        <w:t xml:space="preserve"> a umožněn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527981">
        <w:rPr>
          <w:rFonts w:ascii="Calibri" w:hAnsi="Calibri" w:cs="Calibri"/>
          <w:i/>
          <w:iCs/>
          <w:sz w:val="24"/>
          <w:szCs w:val="24"/>
        </w:rPr>
        <w:t xml:space="preserve"> většího využív</w:t>
      </w:r>
      <w:r>
        <w:rPr>
          <w:rFonts w:ascii="Calibri" w:hAnsi="Calibri" w:cs="Calibri"/>
          <w:i/>
          <w:iCs/>
          <w:sz w:val="24"/>
          <w:szCs w:val="24"/>
        </w:rPr>
        <w:t>á</w:t>
      </w:r>
      <w:r w:rsidRPr="00527981">
        <w:rPr>
          <w:rFonts w:ascii="Calibri" w:hAnsi="Calibri" w:cs="Calibri"/>
          <w:i/>
          <w:iCs/>
          <w:sz w:val="24"/>
          <w:szCs w:val="24"/>
        </w:rPr>
        <w:t>ní energie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z obnovitelných zdrojů přímo na místě nebo v blízkém okolí budov, což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je klíčové pro rozvoj obnovitelných zdrojů. Ministerstvo nabízí finanční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pobídky a dotační programy, jako je Operační program Technologie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a aplikace pro konkurenceschopnost (OP TAK), Národní plán obnovy (NPO)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27981">
        <w:rPr>
          <w:rFonts w:ascii="Calibri" w:hAnsi="Calibri" w:cs="Calibri"/>
          <w:i/>
          <w:iCs/>
          <w:sz w:val="24"/>
          <w:szCs w:val="24"/>
        </w:rPr>
        <w:t>a program Efekt.</w:t>
      </w:r>
      <w:r>
        <w:rPr>
          <w:rFonts w:ascii="Calibri" w:hAnsi="Calibri" w:cs="Calibri"/>
          <w:i/>
          <w:iCs/>
          <w:sz w:val="24"/>
          <w:szCs w:val="24"/>
        </w:rPr>
        <w:t>“</w:t>
      </w:r>
    </w:p>
    <w:p w14:paraId="50FA6945" w14:textId="2044194E" w:rsidR="008B25FE" w:rsidRDefault="008B25FE" w:rsidP="00875122">
      <w:pPr>
        <w:rPr>
          <w:rFonts w:ascii="Calibri" w:hAnsi="Calibri" w:cs="Calibri"/>
          <w:i/>
          <w:iCs/>
          <w:sz w:val="24"/>
          <w:szCs w:val="24"/>
        </w:rPr>
      </w:pPr>
      <w:r w:rsidRPr="008B25FE">
        <w:rPr>
          <w:rFonts w:ascii="Calibri" w:hAnsi="Calibri" w:cs="Calibri"/>
          <w:i/>
          <w:iCs/>
          <w:noProof/>
          <w:sz w:val="24"/>
          <w:szCs w:val="24"/>
        </w:rPr>
        <w:lastRenderedPageBreak/>
        <w:drawing>
          <wp:inline distT="0" distB="0" distL="0" distR="0" wp14:anchorId="6F8B9821" wp14:editId="24B0DE7C">
            <wp:extent cx="4320914" cy="2484335"/>
            <wp:effectExtent l="0" t="0" r="3810" b="0"/>
            <wp:docPr id="1122899902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99902" name="Obrázek 1" descr="Obsah obrázku text, snímek obrazovky, Písmo, k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1E58" w14:textId="7286EE32" w:rsidR="00875122" w:rsidRDefault="00875122" w:rsidP="00875122">
      <w:pPr>
        <w:rPr>
          <w:rFonts w:ascii="Calibri" w:hAnsi="Calibri" w:cs="Calibri"/>
          <w:i/>
          <w:iCs/>
          <w:sz w:val="24"/>
          <w:szCs w:val="24"/>
        </w:rPr>
      </w:pPr>
      <w:r w:rsidRPr="00875122">
        <w:rPr>
          <w:rFonts w:ascii="Calibri" w:hAnsi="Calibri" w:cs="Calibri"/>
          <w:b/>
          <w:bCs/>
          <w:sz w:val="24"/>
          <w:szCs w:val="24"/>
        </w:rPr>
        <w:t>Tomáš Koranda</w:t>
      </w:r>
      <w:r>
        <w:rPr>
          <w:rFonts w:ascii="Calibri" w:hAnsi="Calibri" w:cs="Calibri"/>
          <w:sz w:val="24"/>
          <w:szCs w:val="24"/>
        </w:rPr>
        <w:t xml:space="preserve">, předseda představenstva </w:t>
      </w:r>
      <w:proofErr w:type="spellStart"/>
      <w:r>
        <w:rPr>
          <w:rFonts w:ascii="Calibri" w:hAnsi="Calibri" w:cs="Calibri"/>
          <w:sz w:val="24"/>
          <w:szCs w:val="24"/>
        </w:rPr>
        <w:t>Hochtief</w:t>
      </w:r>
      <w:proofErr w:type="spellEnd"/>
      <w:r>
        <w:rPr>
          <w:rFonts w:ascii="Calibri" w:hAnsi="Calibri" w:cs="Calibri"/>
          <w:sz w:val="24"/>
          <w:szCs w:val="24"/>
        </w:rPr>
        <w:t xml:space="preserve"> CZ: „</w:t>
      </w:r>
      <w:r w:rsidRPr="00875122">
        <w:rPr>
          <w:rFonts w:ascii="Calibri" w:hAnsi="Calibri" w:cs="Calibri"/>
          <w:i/>
          <w:iCs/>
          <w:sz w:val="24"/>
          <w:szCs w:val="24"/>
        </w:rPr>
        <w:t>Zpřesňujeme informace o spotřebě energii a energetické náročnosti materiálů, výrobků a dodávek našich subdodavatelů. Zároveň identifikujeme vhodná řešen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75122">
        <w:rPr>
          <w:rFonts w:ascii="Calibri" w:hAnsi="Calibri" w:cs="Calibri"/>
          <w:i/>
          <w:iCs/>
          <w:sz w:val="24"/>
          <w:szCs w:val="24"/>
        </w:rPr>
        <w:t xml:space="preserve"> v oblasti alternativních materiálů, zejména druhotných surovin, které se vyznačuj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75122">
        <w:rPr>
          <w:rFonts w:ascii="Calibri" w:hAnsi="Calibri" w:cs="Calibri"/>
          <w:i/>
          <w:iCs/>
          <w:sz w:val="24"/>
          <w:szCs w:val="24"/>
        </w:rPr>
        <w:t xml:space="preserve"> významně menš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75122">
        <w:rPr>
          <w:rFonts w:ascii="Calibri" w:hAnsi="Calibri" w:cs="Calibri"/>
          <w:i/>
          <w:iCs/>
          <w:sz w:val="24"/>
          <w:szCs w:val="24"/>
        </w:rPr>
        <w:t xml:space="preserve"> uhlíkovou stopou než primární zdroje.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75122">
        <w:rPr>
          <w:rFonts w:ascii="Calibri" w:hAnsi="Calibri" w:cs="Calibri"/>
          <w:i/>
          <w:iCs/>
          <w:sz w:val="24"/>
          <w:szCs w:val="24"/>
        </w:rPr>
        <w:t>Snažíme se uplatnit lokální materiály, a to především u staveb dopravní infrastruktury. T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75122">
        <w:rPr>
          <w:rFonts w:ascii="Calibri" w:hAnsi="Calibri" w:cs="Calibri"/>
          <w:i/>
          <w:iCs/>
          <w:sz w:val="24"/>
          <w:szCs w:val="24"/>
        </w:rPr>
        <w:t>m lze snížit uhlíkovou stopu spojenou s</w:t>
      </w:r>
      <w:r w:rsidR="00D050A1">
        <w:rPr>
          <w:rFonts w:ascii="Calibri" w:hAnsi="Calibri" w:cs="Calibri"/>
          <w:i/>
          <w:iCs/>
          <w:sz w:val="24"/>
          <w:szCs w:val="24"/>
        </w:rPr>
        <w:t> </w:t>
      </w:r>
      <w:r w:rsidRPr="00875122">
        <w:rPr>
          <w:rFonts w:ascii="Calibri" w:hAnsi="Calibri" w:cs="Calibri"/>
          <w:i/>
          <w:iCs/>
          <w:sz w:val="24"/>
          <w:szCs w:val="24"/>
        </w:rPr>
        <w:t>přepravou</w:t>
      </w:r>
      <w:r w:rsidR="00D050A1">
        <w:rPr>
          <w:rFonts w:ascii="Calibri" w:hAnsi="Calibri" w:cs="Calibri"/>
          <w:i/>
          <w:iCs/>
          <w:sz w:val="24"/>
          <w:szCs w:val="24"/>
        </w:rPr>
        <w:t>.“</w:t>
      </w:r>
    </w:p>
    <w:p w14:paraId="770370EA" w14:textId="1E689BB4" w:rsidR="0058587D" w:rsidRPr="0058587D" w:rsidRDefault="00F745B7" w:rsidP="0058587D">
      <w:pPr>
        <w:rPr>
          <w:rFonts w:ascii="Calibri" w:hAnsi="Calibri" w:cs="Calibri"/>
          <w:i/>
          <w:iCs/>
          <w:sz w:val="24"/>
          <w:szCs w:val="24"/>
        </w:rPr>
      </w:pPr>
      <w:r w:rsidRPr="00F745B7">
        <w:rPr>
          <w:rFonts w:ascii="Calibri" w:hAnsi="Calibri" w:cs="Calibri"/>
          <w:sz w:val="24"/>
          <w:szCs w:val="24"/>
        </w:rPr>
        <w:t xml:space="preserve">Generální sekretářka Czech BCSD, </w:t>
      </w:r>
      <w:r w:rsidRPr="00F745B7">
        <w:rPr>
          <w:rFonts w:ascii="Calibri" w:hAnsi="Calibri" w:cs="Calibri"/>
          <w:b/>
          <w:bCs/>
          <w:sz w:val="24"/>
          <w:szCs w:val="24"/>
        </w:rPr>
        <w:t>Erika Duchanová</w:t>
      </w:r>
      <w:r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1A795A">
        <w:rPr>
          <w:rFonts w:ascii="Calibri" w:hAnsi="Calibri" w:cs="Calibri"/>
          <w:sz w:val="24"/>
          <w:szCs w:val="24"/>
        </w:rPr>
        <w:t xml:space="preserve">komentovala výsledky analýzy takto: </w:t>
      </w:r>
      <w:r>
        <w:rPr>
          <w:rFonts w:ascii="Calibri" w:hAnsi="Calibri" w:cs="Calibri"/>
          <w:i/>
          <w:iCs/>
          <w:sz w:val="24"/>
          <w:szCs w:val="24"/>
        </w:rPr>
        <w:t>„V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>elice rádi jsme se na přípravě dota</w:t>
      </w:r>
      <w:r>
        <w:rPr>
          <w:rFonts w:ascii="Calibri" w:hAnsi="Calibri" w:cs="Calibri"/>
          <w:i/>
          <w:iCs/>
          <w:sz w:val="24"/>
          <w:szCs w:val="24"/>
        </w:rPr>
        <w:t xml:space="preserve">zování k udržitelnosti 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>ve stavebnictví spolu se C</w:t>
      </w:r>
      <w:r>
        <w:rPr>
          <w:rFonts w:ascii="Calibri" w:hAnsi="Calibri" w:cs="Calibri"/>
          <w:i/>
          <w:iCs/>
          <w:sz w:val="24"/>
          <w:szCs w:val="24"/>
        </w:rPr>
        <w:t>EEC Research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 podíleli. </w:t>
      </w:r>
      <w:r w:rsidR="001A795A">
        <w:rPr>
          <w:rFonts w:ascii="Calibri" w:hAnsi="Calibri" w:cs="Calibri"/>
          <w:i/>
          <w:iCs/>
          <w:sz w:val="24"/>
          <w:szCs w:val="24"/>
        </w:rPr>
        <w:t>Z průzkumu j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e patrné, </w:t>
      </w:r>
      <w:r>
        <w:rPr>
          <w:rFonts w:ascii="Calibri" w:hAnsi="Calibri" w:cs="Calibri"/>
          <w:i/>
          <w:iCs/>
          <w:sz w:val="24"/>
          <w:szCs w:val="24"/>
        </w:rPr>
        <w:t>ž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>e si mnozí dodavatel</w:t>
      </w:r>
      <w:r>
        <w:rPr>
          <w:rFonts w:ascii="Calibri" w:hAnsi="Calibri" w:cs="Calibri"/>
          <w:i/>
          <w:iCs/>
          <w:sz w:val="24"/>
          <w:szCs w:val="24"/>
        </w:rPr>
        <w:t>é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 zatím neuvědomují důležitost strategie dekarbonizace ve s</w:t>
      </w:r>
      <w:r w:rsidR="001A795A">
        <w:rPr>
          <w:rFonts w:ascii="Calibri" w:hAnsi="Calibri" w:cs="Calibri"/>
          <w:i/>
          <w:iCs/>
          <w:sz w:val="24"/>
          <w:szCs w:val="24"/>
        </w:rPr>
        <w:t>tavebním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 oboru</w:t>
      </w:r>
      <w:r>
        <w:rPr>
          <w:rFonts w:ascii="Calibri" w:hAnsi="Calibri" w:cs="Calibri"/>
          <w:i/>
          <w:iCs/>
          <w:sz w:val="24"/>
          <w:szCs w:val="24"/>
        </w:rPr>
        <w:t>. To j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e ale </w:t>
      </w:r>
      <w:r>
        <w:rPr>
          <w:rFonts w:ascii="Calibri" w:hAnsi="Calibri" w:cs="Calibri"/>
          <w:i/>
          <w:iCs/>
          <w:sz w:val="24"/>
          <w:szCs w:val="24"/>
        </w:rPr>
        <w:t xml:space="preserve">třeba 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velice rychle změnit s ohledem na </w:t>
      </w:r>
      <w:r>
        <w:rPr>
          <w:rFonts w:ascii="Calibri" w:hAnsi="Calibri" w:cs="Calibri"/>
          <w:i/>
          <w:iCs/>
          <w:sz w:val="24"/>
          <w:szCs w:val="24"/>
        </w:rPr>
        <w:t>SCOPE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 xml:space="preserve"> 3</w:t>
      </w:r>
      <w:r>
        <w:rPr>
          <w:rFonts w:ascii="Calibri" w:hAnsi="Calibri" w:cs="Calibri"/>
          <w:i/>
          <w:iCs/>
          <w:sz w:val="24"/>
          <w:szCs w:val="24"/>
        </w:rPr>
        <w:t>.“</w:t>
      </w:r>
      <w:r w:rsidR="0058587D" w:rsidRPr="0058587D">
        <w:rPr>
          <w:rFonts w:ascii="Calibri" w:hAnsi="Calibri" w:cs="Calibri"/>
          <w:i/>
          <w:iCs/>
          <w:sz w:val="24"/>
          <w:szCs w:val="24"/>
        </w:rPr>
        <w:t> </w:t>
      </w:r>
    </w:p>
    <w:p w14:paraId="6BB32F4E" w14:textId="1ACBF5E5" w:rsidR="006619ED" w:rsidRPr="003953EE" w:rsidRDefault="006619ED" w:rsidP="006619ED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53EE">
        <w:rPr>
          <w:rFonts w:ascii="Calibri" w:hAnsi="Calibri" w:cs="Calibri"/>
          <w:color w:val="000000"/>
          <w:sz w:val="24"/>
          <w:szCs w:val="24"/>
        </w:rPr>
        <w:t>Údaje vycház</w:t>
      </w:r>
      <w:r>
        <w:rPr>
          <w:rFonts w:ascii="Calibri" w:hAnsi="Calibri" w:cs="Calibri"/>
          <w:color w:val="000000"/>
          <w:sz w:val="24"/>
          <w:szCs w:val="24"/>
        </w:rPr>
        <w:t>ejí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EA29C0">
        <w:rPr>
          <w:rFonts w:ascii="Calibri" w:hAnsi="Calibri" w:cs="Calibri"/>
          <w:b/>
          <w:bCs/>
          <w:color w:val="000000"/>
          <w:sz w:val="24"/>
          <w:szCs w:val="24"/>
        </w:rPr>
        <w:t>Kvartální analýzy českého stavebnictví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A29C0">
        <w:rPr>
          <w:rFonts w:ascii="Calibri" w:hAnsi="Calibri" w:cs="Calibri"/>
          <w:b/>
          <w:bCs/>
          <w:color w:val="000000"/>
          <w:sz w:val="24"/>
          <w:szCs w:val="24"/>
        </w:rPr>
        <w:t>Q</w:t>
      </w:r>
      <w:r w:rsidR="00150552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53EE">
        <w:rPr>
          <w:rFonts w:ascii="Calibri" w:hAnsi="Calibri" w:cs="Calibri"/>
          <w:sz w:val="24"/>
          <w:szCs w:val="24"/>
        </w:rPr>
        <w:t>zpracované analytickou společností CEEC Research, která je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v plném znění zveřejněna na </w:t>
      </w:r>
      <w:hyperlink r:id="rId9">
        <w:r w:rsidRPr="003953EE">
          <w:rPr>
            <w:rFonts w:ascii="Calibri" w:hAnsi="Calibri" w:cs="Calibri"/>
            <w:color w:val="0563C1"/>
            <w:sz w:val="24"/>
            <w:szCs w:val="24"/>
            <w:u w:val="single"/>
          </w:rPr>
          <w:t>www.ceec.eu</w:t>
        </w:r>
      </w:hyperlink>
      <w:r w:rsidRPr="003953EE">
        <w:rPr>
          <w:rFonts w:ascii="Calibri" w:hAnsi="Calibri" w:cs="Calibri"/>
          <w:color w:val="000000"/>
          <w:sz w:val="24"/>
          <w:szCs w:val="24"/>
        </w:rPr>
        <w:t>.</w:t>
      </w:r>
    </w:p>
    <w:p w14:paraId="0CFD47AB" w14:textId="77777777" w:rsidR="006619ED" w:rsidRPr="006619ED" w:rsidRDefault="006619ED" w:rsidP="006619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74BB3E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 w:rsidRPr="006B73AD">
        <w:rPr>
          <w:rFonts w:cstheme="minorHAnsi"/>
        </w:rPr>
        <w:t>MgA. Helena Grofová</w:t>
      </w:r>
    </w:p>
    <w:p w14:paraId="7E40050C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t</w:t>
      </w:r>
      <w:r w:rsidRPr="006B73AD">
        <w:rPr>
          <w:rFonts w:cstheme="minorHAnsi"/>
        </w:rPr>
        <w:t>isková mluvčí CEEC Research</w:t>
      </w:r>
    </w:p>
    <w:p w14:paraId="414968DA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602 303 990</w:t>
      </w:r>
    </w:p>
    <w:p w14:paraId="38484DA2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grofova@ceec.eu</w:t>
      </w:r>
    </w:p>
    <w:p w14:paraId="48D722E8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</w:p>
    <w:p w14:paraId="0062FD12" w14:textId="77777777" w:rsidR="002E01A8" w:rsidRDefault="002E01A8" w:rsidP="002E01A8"/>
    <w:p w14:paraId="0681C10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4B2F8939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77E01E6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03AE8F06" w14:textId="112F1379" w:rsidR="00F34C9F" w:rsidRDefault="00F34C9F" w:rsidP="00B32E5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</w:p>
    <w:sectPr w:rsidR="00F34C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0EE7" w14:textId="77777777" w:rsidR="0043367D" w:rsidRDefault="0043367D" w:rsidP="003E0618">
      <w:pPr>
        <w:spacing w:after="0" w:line="240" w:lineRule="auto"/>
      </w:pPr>
      <w:r>
        <w:separator/>
      </w:r>
    </w:p>
  </w:endnote>
  <w:endnote w:type="continuationSeparator" w:id="0">
    <w:p w14:paraId="73A6AA31" w14:textId="77777777" w:rsidR="0043367D" w:rsidRDefault="0043367D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Variable-Roman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7E45" w14:textId="77777777" w:rsidR="0043367D" w:rsidRDefault="0043367D" w:rsidP="003E0618">
      <w:pPr>
        <w:spacing w:after="0" w:line="240" w:lineRule="auto"/>
      </w:pPr>
      <w:r>
        <w:separator/>
      </w:r>
    </w:p>
  </w:footnote>
  <w:footnote w:type="continuationSeparator" w:id="0">
    <w:p w14:paraId="15BA47DF" w14:textId="77777777" w:rsidR="0043367D" w:rsidRDefault="0043367D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35CE"/>
    <w:rsid w:val="0000561E"/>
    <w:rsid w:val="000073DF"/>
    <w:rsid w:val="00013280"/>
    <w:rsid w:val="00014A70"/>
    <w:rsid w:val="00014D96"/>
    <w:rsid w:val="0001546E"/>
    <w:rsid w:val="000203B3"/>
    <w:rsid w:val="00022B1D"/>
    <w:rsid w:val="000240DA"/>
    <w:rsid w:val="0003358D"/>
    <w:rsid w:val="000428CA"/>
    <w:rsid w:val="0004515E"/>
    <w:rsid w:val="00050048"/>
    <w:rsid w:val="000567BA"/>
    <w:rsid w:val="00057001"/>
    <w:rsid w:val="00060040"/>
    <w:rsid w:val="00061B21"/>
    <w:rsid w:val="00070BD8"/>
    <w:rsid w:val="00080E12"/>
    <w:rsid w:val="00094AE8"/>
    <w:rsid w:val="00095DF1"/>
    <w:rsid w:val="000A23D3"/>
    <w:rsid w:val="000A3207"/>
    <w:rsid w:val="000A44DD"/>
    <w:rsid w:val="000B640B"/>
    <w:rsid w:val="000C02E6"/>
    <w:rsid w:val="000C0FDC"/>
    <w:rsid w:val="000D6AB4"/>
    <w:rsid w:val="000E2C23"/>
    <w:rsid w:val="000E2E42"/>
    <w:rsid w:val="000E2F52"/>
    <w:rsid w:val="000E4A28"/>
    <w:rsid w:val="000F1515"/>
    <w:rsid w:val="000F1F44"/>
    <w:rsid w:val="000F778D"/>
    <w:rsid w:val="001019D7"/>
    <w:rsid w:val="001035BC"/>
    <w:rsid w:val="00107C93"/>
    <w:rsid w:val="00113270"/>
    <w:rsid w:val="00121409"/>
    <w:rsid w:val="00131712"/>
    <w:rsid w:val="00140274"/>
    <w:rsid w:val="00141AA6"/>
    <w:rsid w:val="00150552"/>
    <w:rsid w:val="00150FBD"/>
    <w:rsid w:val="0015108E"/>
    <w:rsid w:val="0016119C"/>
    <w:rsid w:val="00170EAF"/>
    <w:rsid w:val="00171501"/>
    <w:rsid w:val="001768A4"/>
    <w:rsid w:val="00180751"/>
    <w:rsid w:val="00182F82"/>
    <w:rsid w:val="0018568B"/>
    <w:rsid w:val="00186A14"/>
    <w:rsid w:val="00192C4F"/>
    <w:rsid w:val="001A1244"/>
    <w:rsid w:val="001A2CCA"/>
    <w:rsid w:val="001A795A"/>
    <w:rsid w:val="001C48B0"/>
    <w:rsid w:val="001C56F4"/>
    <w:rsid w:val="001E3DDD"/>
    <w:rsid w:val="001E6722"/>
    <w:rsid w:val="001F0A58"/>
    <w:rsid w:val="001F3AEB"/>
    <w:rsid w:val="00203827"/>
    <w:rsid w:val="00211955"/>
    <w:rsid w:val="00221821"/>
    <w:rsid w:val="002276D0"/>
    <w:rsid w:val="002462CF"/>
    <w:rsid w:val="00257C3F"/>
    <w:rsid w:val="002625AB"/>
    <w:rsid w:val="00262A31"/>
    <w:rsid w:val="00267679"/>
    <w:rsid w:val="00275DEB"/>
    <w:rsid w:val="002A2565"/>
    <w:rsid w:val="002B6812"/>
    <w:rsid w:val="002D2DAB"/>
    <w:rsid w:val="002E01A8"/>
    <w:rsid w:val="002F3EB7"/>
    <w:rsid w:val="00302068"/>
    <w:rsid w:val="003151DA"/>
    <w:rsid w:val="00315909"/>
    <w:rsid w:val="003366B3"/>
    <w:rsid w:val="00341E23"/>
    <w:rsid w:val="0034269B"/>
    <w:rsid w:val="00362A83"/>
    <w:rsid w:val="00363C82"/>
    <w:rsid w:val="00364FE1"/>
    <w:rsid w:val="003A72EC"/>
    <w:rsid w:val="003B01CF"/>
    <w:rsid w:val="003B1830"/>
    <w:rsid w:val="003B4C36"/>
    <w:rsid w:val="003B7F79"/>
    <w:rsid w:val="003C26FE"/>
    <w:rsid w:val="003C3C06"/>
    <w:rsid w:val="003C3D77"/>
    <w:rsid w:val="003C6579"/>
    <w:rsid w:val="003D68A7"/>
    <w:rsid w:val="003D6D5D"/>
    <w:rsid w:val="003E0618"/>
    <w:rsid w:val="003E5509"/>
    <w:rsid w:val="003F463B"/>
    <w:rsid w:val="003F6C9F"/>
    <w:rsid w:val="004127F7"/>
    <w:rsid w:val="004150A5"/>
    <w:rsid w:val="0041530B"/>
    <w:rsid w:val="00417531"/>
    <w:rsid w:val="004319E6"/>
    <w:rsid w:val="004322E1"/>
    <w:rsid w:val="0043367D"/>
    <w:rsid w:val="00434C96"/>
    <w:rsid w:val="004425BA"/>
    <w:rsid w:val="00444950"/>
    <w:rsid w:val="00445D22"/>
    <w:rsid w:val="00447555"/>
    <w:rsid w:val="0045182F"/>
    <w:rsid w:val="00451ED7"/>
    <w:rsid w:val="0045772E"/>
    <w:rsid w:val="00467E96"/>
    <w:rsid w:val="004846D8"/>
    <w:rsid w:val="00486416"/>
    <w:rsid w:val="004A1590"/>
    <w:rsid w:val="004C5BF4"/>
    <w:rsid w:val="004D1C5A"/>
    <w:rsid w:val="004D20F6"/>
    <w:rsid w:val="004D427C"/>
    <w:rsid w:val="004E300B"/>
    <w:rsid w:val="004E539C"/>
    <w:rsid w:val="004E6BF7"/>
    <w:rsid w:val="004F419D"/>
    <w:rsid w:val="005013E9"/>
    <w:rsid w:val="00504C29"/>
    <w:rsid w:val="005107E4"/>
    <w:rsid w:val="005116ED"/>
    <w:rsid w:val="00526201"/>
    <w:rsid w:val="00527981"/>
    <w:rsid w:val="00544518"/>
    <w:rsid w:val="00546E8A"/>
    <w:rsid w:val="005522EF"/>
    <w:rsid w:val="0055551B"/>
    <w:rsid w:val="00571615"/>
    <w:rsid w:val="0057197D"/>
    <w:rsid w:val="00584424"/>
    <w:rsid w:val="0058587D"/>
    <w:rsid w:val="00595AE4"/>
    <w:rsid w:val="00596C51"/>
    <w:rsid w:val="005A1209"/>
    <w:rsid w:val="005D029C"/>
    <w:rsid w:val="005D7450"/>
    <w:rsid w:val="005E6133"/>
    <w:rsid w:val="005F28E8"/>
    <w:rsid w:val="005F60A3"/>
    <w:rsid w:val="006059EC"/>
    <w:rsid w:val="0063061C"/>
    <w:rsid w:val="00631D5F"/>
    <w:rsid w:val="00632004"/>
    <w:rsid w:val="00633669"/>
    <w:rsid w:val="006460AD"/>
    <w:rsid w:val="0065261C"/>
    <w:rsid w:val="00653A73"/>
    <w:rsid w:val="00657503"/>
    <w:rsid w:val="00657601"/>
    <w:rsid w:val="006619ED"/>
    <w:rsid w:val="00664A59"/>
    <w:rsid w:val="00665541"/>
    <w:rsid w:val="00665A92"/>
    <w:rsid w:val="00675F9B"/>
    <w:rsid w:val="0067771A"/>
    <w:rsid w:val="006942AF"/>
    <w:rsid w:val="006A30A7"/>
    <w:rsid w:val="006A72F6"/>
    <w:rsid w:val="006A736E"/>
    <w:rsid w:val="006B1E19"/>
    <w:rsid w:val="006B2B70"/>
    <w:rsid w:val="006B6BC7"/>
    <w:rsid w:val="006C461C"/>
    <w:rsid w:val="006C4CFB"/>
    <w:rsid w:val="006D329B"/>
    <w:rsid w:val="006E1F6C"/>
    <w:rsid w:val="00700E49"/>
    <w:rsid w:val="007055DE"/>
    <w:rsid w:val="007066FC"/>
    <w:rsid w:val="00713E6A"/>
    <w:rsid w:val="00730B0D"/>
    <w:rsid w:val="00733B16"/>
    <w:rsid w:val="007511A6"/>
    <w:rsid w:val="0075619C"/>
    <w:rsid w:val="007620F7"/>
    <w:rsid w:val="00762F60"/>
    <w:rsid w:val="00766883"/>
    <w:rsid w:val="007719A1"/>
    <w:rsid w:val="0078628D"/>
    <w:rsid w:val="00786845"/>
    <w:rsid w:val="007A247F"/>
    <w:rsid w:val="007A7873"/>
    <w:rsid w:val="007C0AF5"/>
    <w:rsid w:val="007C1D8B"/>
    <w:rsid w:val="007C6145"/>
    <w:rsid w:val="007E463C"/>
    <w:rsid w:val="00813413"/>
    <w:rsid w:val="00816B62"/>
    <w:rsid w:val="00821248"/>
    <w:rsid w:val="00830ED4"/>
    <w:rsid w:val="0083678D"/>
    <w:rsid w:val="00837BFB"/>
    <w:rsid w:val="00850CB1"/>
    <w:rsid w:val="00852F36"/>
    <w:rsid w:val="008544A0"/>
    <w:rsid w:val="00857E9E"/>
    <w:rsid w:val="00864C08"/>
    <w:rsid w:val="00866FE5"/>
    <w:rsid w:val="008707CC"/>
    <w:rsid w:val="0087186B"/>
    <w:rsid w:val="00875122"/>
    <w:rsid w:val="00883A06"/>
    <w:rsid w:val="0088466F"/>
    <w:rsid w:val="00886DF6"/>
    <w:rsid w:val="008A1DB3"/>
    <w:rsid w:val="008A3946"/>
    <w:rsid w:val="008B25FE"/>
    <w:rsid w:val="008B35E6"/>
    <w:rsid w:val="008C2681"/>
    <w:rsid w:val="008C3519"/>
    <w:rsid w:val="008D1608"/>
    <w:rsid w:val="008D22BD"/>
    <w:rsid w:val="008D24CF"/>
    <w:rsid w:val="008D4804"/>
    <w:rsid w:val="008D4B0B"/>
    <w:rsid w:val="008D5C5E"/>
    <w:rsid w:val="008E18E1"/>
    <w:rsid w:val="00912704"/>
    <w:rsid w:val="00923F4E"/>
    <w:rsid w:val="00926BCF"/>
    <w:rsid w:val="00926ED7"/>
    <w:rsid w:val="009404B3"/>
    <w:rsid w:val="00960C56"/>
    <w:rsid w:val="00966937"/>
    <w:rsid w:val="00973EBC"/>
    <w:rsid w:val="009757DB"/>
    <w:rsid w:val="009823D4"/>
    <w:rsid w:val="009A115D"/>
    <w:rsid w:val="009A7C61"/>
    <w:rsid w:val="009B72A4"/>
    <w:rsid w:val="009C09E6"/>
    <w:rsid w:val="009D2037"/>
    <w:rsid w:val="009D26ED"/>
    <w:rsid w:val="009D2FEF"/>
    <w:rsid w:val="009D485C"/>
    <w:rsid w:val="009D578C"/>
    <w:rsid w:val="009F02E6"/>
    <w:rsid w:val="00A061BA"/>
    <w:rsid w:val="00A2086C"/>
    <w:rsid w:val="00A31F68"/>
    <w:rsid w:val="00A533D0"/>
    <w:rsid w:val="00A540FA"/>
    <w:rsid w:val="00A6043D"/>
    <w:rsid w:val="00A640CC"/>
    <w:rsid w:val="00A67CE1"/>
    <w:rsid w:val="00A67EE5"/>
    <w:rsid w:val="00A827EF"/>
    <w:rsid w:val="00A84146"/>
    <w:rsid w:val="00A85ABF"/>
    <w:rsid w:val="00AA6950"/>
    <w:rsid w:val="00AC1A51"/>
    <w:rsid w:val="00AC7D65"/>
    <w:rsid w:val="00AE0426"/>
    <w:rsid w:val="00AF084A"/>
    <w:rsid w:val="00AF6921"/>
    <w:rsid w:val="00B036F6"/>
    <w:rsid w:val="00B1402A"/>
    <w:rsid w:val="00B15D39"/>
    <w:rsid w:val="00B32E5B"/>
    <w:rsid w:val="00B5386D"/>
    <w:rsid w:val="00B53FEB"/>
    <w:rsid w:val="00B62845"/>
    <w:rsid w:val="00B6301A"/>
    <w:rsid w:val="00B94119"/>
    <w:rsid w:val="00BA10E1"/>
    <w:rsid w:val="00BA2008"/>
    <w:rsid w:val="00BA5061"/>
    <w:rsid w:val="00BB52E7"/>
    <w:rsid w:val="00BB71DB"/>
    <w:rsid w:val="00BC3FFE"/>
    <w:rsid w:val="00BC403E"/>
    <w:rsid w:val="00BD69F3"/>
    <w:rsid w:val="00BE4AC8"/>
    <w:rsid w:val="00BE61DB"/>
    <w:rsid w:val="00BE78A0"/>
    <w:rsid w:val="00BF74B3"/>
    <w:rsid w:val="00C014D6"/>
    <w:rsid w:val="00C04B46"/>
    <w:rsid w:val="00C12FA2"/>
    <w:rsid w:val="00C207A8"/>
    <w:rsid w:val="00C35F92"/>
    <w:rsid w:val="00C36A1A"/>
    <w:rsid w:val="00C527CB"/>
    <w:rsid w:val="00C53637"/>
    <w:rsid w:val="00C543BD"/>
    <w:rsid w:val="00C55CB6"/>
    <w:rsid w:val="00C605AA"/>
    <w:rsid w:val="00C61AE6"/>
    <w:rsid w:val="00C723B6"/>
    <w:rsid w:val="00C73514"/>
    <w:rsid w:val="00C903FC"/>
    <w:rsid w:val="00C90F60"/>
    <w:rsid w:val="00CA18D3"/>
    <w:rsid w:val="00CB6041"/>
    <w:rsid w:val="00CB71F8"/>
    <w:rsid w:val="00CD0243"/>
    <w:rsid w:val="00CE67F4"/>
    <w:rsid w:val="00CF251B"/>
    <w:rsid w:val="00CF42AE"/>
    <w:rsid w:val="00CF4454"/>
    <w:rsid w:val="00CF54A8"/>
    <w:rsid w:val="00D050A1"/>
    <w:rsid w:val="00D06DEA"/>
    <w:rsid w:val="00D137FE"/>
    <w:rsid w:val="00D16AA7"/>
    <w:rsid w:val="00D30DA5"/>
    <w:rsid w:val="00D347F3"/>
    <w:rsid w:val="00D4628F"/>
    <w:rsid w:val="00D63650"/>
    <w:rsid w:val="00D65F8C"/>
    <w:rsid w:val="00DA4F24"/>
    <w:rsid w:val="00DA5329"/>
    <w:rsid w:val="00DB0E21"/>
    <w:rsid w:val="00DB3C6E"/>
    <w:rsid w:val="00DC1A23"/>
    <w:rsid w:val="00DC6CC7"/>
    <w:rsid w:val="00DC7951"/>
    <w:rsid w:val="00DE3188"/>
    <w:rsid w:val="00E01330"/>
    <w:rsid w:val="00E01430"/>
    <w:rsid w:val="00E03566"/>
    <w:rsid w:val="00E060FE"/>
    <w:rsid w:val="00E206F6"/>
    <w:rsid w:val="00E4428A"/>
    <w:rsid w:val="00E657AC"/>
    <w:rsid w:val="00E71486"/>
    <w:rsid w:val="00E714A0"/>
    <w:rsid w:val="00E960C6"/>
    <w:rsid w:val="00EA0FF9"/>
    <w:rsid w:val="00EA29C0"/>
    <w:rsid w:val="00EB0047"/>
    <w:rsid w:val="00EB3F1F"/>
    <w:rsid w:val="00EB5890"/>
    <w:rsid w:val="00ED13B2"/>
    <w:rsid w:val="00ED365E"/>
    <w:rsid w:val="00EE3EDC"/>
    <w:rsid w:val="00F06A1E"/>
    <w:rsid w:val="00F11782"/>
    <w:rsid w:val="00F136B9"/>
    <w:rsid w:val="00F22543"/>
    <w:rsid w:val="00F272AC"/>
    <w:rsid w:val="00F309BC"/>
    <w:rsid w:val="00F337BB"/>
    <w:rsid w:val="00F34454"/>
    <w:rsid w:val="00F344B5"/>
    <w:rsid w:val="00F34C9F"/>
    <w:rsid w:val="00F41F55"/>
    <w:rsid w:val="00F42A4A"/>
    <w:rsid w:val="00F4555C"/>
    <w:rsid w:val="00F53C70"/>
    <w:rsid w:val="00F56FEE"/>
    <w:rsid w:val="00F745B7"/>
    <w:rsid w:val="00F74990"/>
    <w:rsid w:val="00F76612"/>
    <w:rsid w:val="00F76FF6"/>
    <w:rsid w:val="00F90DD8"/>
    <w:rsid w:val="00FA657A"/>
    <w:rsid w:val="00FA7AE7"/>
    <w:rsid w:val="00FA7C92"/>
    <w:rsid w:val="00FB7A5C"/>
    <w:rsid w:val="00FC4640"/>
    <w:rsid w:val="00FD1579"/>
    <w:rsid w:val="00FD7A63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2669A002-87DB-48A3-B273-24075E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eec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2</cp:revision>
  <dcterms:created xsi:type="dcterms:W3CDTF">2024-12-16T07:50:00Z</dcterms:created>
  <dcterms:modified xsi:type="dcterms:W3CDTF">2024-12-16T07:50:00Z</dcterms:modified>
</cp:coreProperties>
</file>