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EEEA" w14:textId="4298C479" w:rsidR="00213EAD" w:rsidRDefault="00213EAD" w:rsidP="002E01A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13EAD">
        <w:rPr>
          <w:rFonts w:ascii="Calibri" w:hAnsi="Calibri" w:cs="Calibri"/>
          <w:b/>
          <w:bCs/>
          <w:sz w:val="28"/>
          <w:szCs w:val="28"/>
        </w:rPr>
        <w:t>TLAČOVÁ SPRÁVA</w:t>
      </w:r>
    </w:p>
    <w:p w14:paraId="1B5BDF50" w14:textId="77777777" w:rsidR="00D470CD" w:rsidRDefault="00D470CD" w:rsidP="002E01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0678BD1" w14:textId="2A51123F" w:rsidR="00D470CD" w:rsidRPr="00D470CD" w:rsidRDefault="00D470CD" w:rsidP="00D470C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470CD">
        <w:rPr>
          <w:rFonts w:ascii="Calibri" w:hAnsi="Calibri" w:cs="Calibri"/>
          <w:b/>
          <w:bCs/>
          <w:sz w:val="28"/>
          <w:szCs w:val="28"/>
        </w:rPr>
        <w:t>DLHODOBÉ ZLYHANIE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470CD">
        <w:rPr>
          <w:rFonts w:ascii="Calibri" w:hAnsi="Calibri" w:cs="Calibri"/>
          <w:b/>
          <w:bCs/>
          <w:sz w:val="28"/>
          <w:szCs w:val="28"/>
        </w:rPr>
        <w:t xml:space="preserve">VYTVORIŤ KONTINUÁLNU STRATÉGIU PRI PRÍPRAVE A VÝSTAVBE KĽÚČOVÝCH </w:t>
      </w:r>
      <w:r w:rsidR="001A487D">
        <w:rPr>
          <w:rFonts w:ascii="Calibri" w:hAnsi="Calibri" w:cs="Calibri"/>
          <w:b/>
          <w:bCs/>
          <w:sz w:val="28"/>
          <w:szCs w:val="28"/>
        </w:rPr>
        <w:t>STAVIEB</w:t>
      </w:r>
    </w:p>
    <w:p w14:paraId="5E364C62" w14:textId="77777777" w:rsidR="00244252" w:rsidRDefault="00244252" w:rsidP="002E01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241F050" w14:textId="7D8B343B" w:rsidR="00D470CD" w:rsidRPr="00D470CD" w:rsidRDefault="003B7721" w:rsidP="00D470C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</w:t>
      </w:r>
      <w:r w:rsidR="00244252" w:rsidRPr="00371969">
        <w:rPr>
          <w:rFonts w:ascii="Calibri" w:hAnsi="Calibri" w:cs="Calibri"/>
          <w:b/>
          <w:bCs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novembra</w:t>
      </w:r>
      <w:proofErr w:type="spellEnd"/>
      <w:r w:rsidR="00244252" w:rsidRPr="00371969">
        <w:rPr>
          <w:rFonts w:ascii="Calibri" w:hAnsi="Calibri" w:cs="Calibri"/>
          <w:b/>
          <w:bCs/>
          <w:sz w:val="24"/>
          <w:szCs w:val="24"/>
        </w:rPr>
        <w:t xml:space="preserve"> 2024, Bratislava </w:t>
      </w:r>
      <w:r w:rsidR="00B7454D" w:rsidRPr="00D470CD">
        <w:rPr>
          <w:rFonts w:ascii="Calibri" w:hAnsi="Calibri" w:cs="Calibri"/>
          <w:b/>
          <w:bCs/>
          <w:sz w:val="24"/>
          <w:szCs w:val="24"/>
        </w:rPr>
        <w:t>–</w:t>
      </w:r>
      <w:r w:rsidR="00244252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Stavebné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spoločnosti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na Slovensku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očakávajú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v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budúcom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roku pokles trhu o 1,8 %. Slovensku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dlhodobo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nedarí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vytvoriť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kontinuálnu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stratégiu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v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príprave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a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výstavbe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kľúčových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stavieb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. Kým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domáci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trh klesá, stavebné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spoločnosti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pôsobiace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v zahraničí zaznamenali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medziročný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rast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produkcie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o 10,7 %. V roku 2025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očakávajú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stavebné firmy na Slovensku pokles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tržieb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o 0,6 % a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mierne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zníži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aj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využitie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kapacít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stavebných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firiem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. Tržby v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nasledujúcom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roku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porastú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až o 2,0 % a v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prípade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inžinierskych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spoločností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až o 4 %.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Vyplýva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to z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prieskumu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ktorý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v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októbri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uskutočnila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spoločnosť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CEEC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Research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medzi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stavebnými a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inžinierskymi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470CD" w:rsidRPr="00D470CD">
        <w:rPr>
          <w:rFonts w:ascii="Calibri" w:hAnsi="Calibri" w:cs="Calibri"/>
          <w:b/>
          <w:bCs/>
          <w:sz w:val="24"/>
          <w:szCs w:val="24"/>
        </w:rPr>
        <w:t>spoločnosťami</w:t>
      </w:r>
      <w:proofErr w:type="spellEnd"/>
      <w:r w:rsidR="00D470CD" w:rsidRPr="00D470CD">
        <w:rPr>
          <w:rFonts w:ascii="Calibri" w:hAnsi="Calibri" w:cs="Calibri"/>
          <w:b/>
          <w:bCs/>
          <w:sz w:val="24"/>
          <w:szCs w:val="24"/>
        </w:rPr>
        <w:t>.</w:t>
      </w:r>
    </w:p>
    <w:p w14:paraId="71D78BD0" w14:textId="43D94633" w:rsidR="00047758" w:rsidRPr="00047758" w:rsidRDefault="007A725F" w:rsidP="00047758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sz w:val="24"/>
          <w:szCs w:val="24"/>
        </w:rPr>
      </w:pPr>
      <w:r w:rsidRPr="00371969">
        <w:rPr>
          <w:rFonts w:ascii="Calibri" w:hAnsi="Calibri" w:cs="Calibri"/>
          <w:i/>
          <w:iCs/>
          <w:sz w:val="24"/>
          <w:szCs w:val="24"/>
        </w:rPr>
        <w:t>„</w:t>
      </w:r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Rok 2024 bol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pre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slovenské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stavebníctvo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náročný a výsledky sú toho jasným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dôkazom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. Sektor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očakáva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pokles,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čo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je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dôsledkom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útlmu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nových stavebných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projektov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,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ako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aj výrazného poklesu v oblasti údržby a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opráv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. Výrazný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prepad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zaznamenali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predovšetkým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inžinierske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stavby,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ako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sú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diaľnice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a mosty.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Pre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rok 2025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predpokladáme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mierny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pokles trhu o 1,8 % s možným oživením na úrovni 0,9 % v roku 2026.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Ďalší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vývoj bude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závisieť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od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stabilizácie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ekonomického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prostredia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a návratu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dôvery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047758" w:rsidRPr="00047758">
        <w:rPr>
          <w:rFonts w:ascii="Calibri" w:hAnsi="Calibri" w:cs="Calibri"/>
          <w:i/>
          <w:iCs/>
          <w:sz w:val="24"/>
          <w:szCs w:val="24"/>
        </w:rPr>
        <w:t>investorov</w:t>
      </w:r>
      <w:proofErr w:type="spellEnd"/>
      <w:r w:rsidR="00047758" w:rsidRPr="00047758">
        <w:rPr>
          <w:rFonts w:ascii="Calibri" w:hAnsi="Calibri" w:cs="Calibri"/>
          <w:i/>
          <w:iCs/>
          <w:sz w:val="24"/>
          <w:szCs w:val="24"/>
        </w:rPr>
        <w:t xml:space="preserve"> do slovenského trhu</w:t>
      </w:r>
      <w:r w:rsidR="00240A46">
        <w:rPr>
          <w:rFonts w:ascii="Calibri" w:hAnsi="Calibri" w:cs="Calibri"/>
          <w:i/>
          <w:iCs/>
          <w:sz w:val="24"/>
          <w:szCs w:val="24"/>
        </w:rPr>
        <w:t>,“</w:t>
      </w:r>
    </w:p>
    <w:p w14:paraId="171DEB4A" w14:textId="4C3A7F49" w:rsidR="007A725F" w:rsidRPr="00240A46" w:rsidRDefault="00986744" w:rsidP="00986744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sz w:val="24"/>
          <w:szCs w:val="24"/>
        </w:rPr>
      </w:pPr>
      <w:proofErr w:type="spellStart"/>
      <w:r w:rsidRPr="00240A46">
        <w:rPr>
          <w:rFonts w:ascii="Calibri" w:hAnsi="Calibri" w:cs="Calibri"/>
          <w:sz w:val="24"/>
          <w:szCs w:val="24"/>
        </w:rPr>
        <w:t>hovorí</w:t>
      </w:r>
      <w:proofErr w:type="spellEnd"/>
      <w:r w:rsidRPr="00240A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0A46">
        <w:rPr>
          <w:rFonts w:ascii="Calibri" w:hAnsi="Calibri" w:cs="Calibri"/>
          <w:b/>
          <w:bCs/>
          <w:sz w:val="24"/>
          <w:szCs w:val="24"/>
        </w:rPr>
        <w:t>riaditeľ</w:t>
      </w:r>
      <w:proofErr w:type="spellEnd"/>
      <w:r w:rsidRPr="00240A46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240A46">
        <w:rPr>
          <w:rFonts w:ascii="Calibri" w:hAnsi="Calibri" w:cs="Calibri"/>
          <w:b/>
          <w:bCs/>
          <w:i/>
          <w:iCs/>
          <w:sz w:val="24"/>
          <w:szCs w:val="24"/>
        </w:rPr>
        <w:t>spoločnosti</w:t>
      </w:r>
      <w:proofErr w:type="spellEnd"/>
      <w:r w:rsidRPr="00240A4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7A725F" w:rsidRPr="00240A46">
        <w:rPr>
          <w:rFonts w:ascii="Calibri" w:hAnsi="Calibri" w:cs="Calibri"/>
          <w:b/>
          <w:bCs/>
          <w:sz w:val="24"/>
          <w:szCs w:val="24"/>
        </w:rPr>
        <w:t xml:space="preserve">CEEC </w:t>
      </w:r>
      <w:proofErr w:type="spellStart"/>
      <w:r w:rsidR="007A725F" w:rsidRPr="00240A46">
        <w:rPr>
          <w:rFonts w:ascii="Calibri" w:hAnsi="Calibri" w:cs="Calibri"/>
          <w:b/>
          <w:bCs/>
          <w:sz w:val="24"/>
          <w:szCs w:val="24"/>
        </w:rPr>
        <w:t>Research</w:t>
      </w:r>
      <w:proofErr w:type="spellEnd"/>
      <w:r w:rsidR="007A725F" w:rsidRPr="00240A46">
        <w:rPr>
          <w:rFonts w:ascii="Calibri" w:hAnsi="Calibri" w:cs="Calibri"/>
          <w:b/>
          <w:bCs/>
          <w:sz w:val="24"/>
          <w:szCs w:val="24"/>
        </w:rPr>
        <w:t xml:space="preserve"> Michal Vacek.</w:t>
      </w:r>
    </w:p>
    <w:p w14:paraId="59DD5EF7" w14:textId="77777777" w:rsidR="0085041F" w:rsidRPr="00240A46" w:rsidRDefault="0085041F" w:rsidP="007A7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8AF0784" w14:textId="63DB5069" w:rsidR="0085041F" w:rsidRPr="001C623C" w:rsidRDefault="0085041F" w:rsidP="00850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C623C">
        <w:rPr>
          <w:rFonts w:ascii="Calibri" w:hAnsi="Calibri" w:cs="Calibri"/>
          <w:b/>
          <w:bCs/>
          <w:sz w:val="24"/>
          <w:szCs w:val="24"/>
        </w:rPr>
        <w:t xml:space="preserve">Stavebný trh v </w:t>
      </w:r>
      <w:proofErr w:type="spellStart"/>
      <w:r w:rsidRPr="001C623C">
        <w:rPr>
          <w:rFonts w:ascii="Calibri" w:hAnsi="Calibri" w:cs="Calibri"/>
          <w:b/>
          <w:bCs/>
          <w:sz w:val="24"/>
          <w:szCs w:val="24"/>
        </w:rPr>
        <w:t>budúcom</w:t>
      </w:r>
      <w:proofErr w:type="spellEnd"/>
      <w:r w:rsidRPr="001C623C">
        <w:rPr>
          <w:rFonts w:ascii="Calibri" w:hAnsi="Calibri" w:cs="Calibri"/>
          <w:b/>
          <w:bCs/>
          <w:sz w:val="24"/>
          <w:szCs w:val="24"/>
        </w:rPr>
        <w:t xml:space="preserve"> roku po</w:t>
      </w:r>
      <w:r w:rsidR="00971335" w:rsidRPr="001C623C">
        <w:rPr>
          <w:rFonts w:ascii="Calibri" w:hAnsi="Calibri" w:cs="Calibri"/>
          <w:b/>
          <w:bCs/>
          <w:sz w:val="24"/>
          <w:szCs w:val="24"/>
        </w:rPr>
        <w:t>klesne</w:t>
      </w:r>
    </w:p>
    <w:p w14:paraId="6CDE7B13" w14:textId="77777777" w:rsidR="00971335" w:rsidRPr="001C623C" w:rsidRDefault="00971335" w:rsidP="00850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94CF089" w14:textId="76B58C21" w:rsidR="00D470CD" w:rsidRPr="007040AD" w:rsidRDefault="00D470CD" w:rsidP="00D470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40AD">
        <w:rPr>
          <w:rFonts w:ascii="Calibri" w:hAnsi="Calibri" w:cs="Calibri"/>
          <w:sz w:val="24"/>
          <w:szCs w:val="24"/>
        </w:rPr>
        <w:t xml:space="preserve">Stavebné </w:t>
      </w:r>
      <w:proofErr w:type="spellStart"/>
      <w:r w:rsidRPr="007040AD">
        <w:rPr>
          <w:rFonts w:ascii="Calibri" w:hAnsi="Calibri" w:cs="Calibri"/>
          <w:sz w:val="24"/>
          <w:szCs w:val="24"/>
        </w:rPr>
        <w:t>spoločnosti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očakávajú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, že stavebný trh v </w:t>
      </w:r>
      <w:proofErr w:type="spellStart"/>
      <w:r w:rsidRPr="007040AD">
        <w:rPr>
          <w:rFonts w:ascii="Calibri" w:hAnsi="Calibri" w:cs="Calibri"/>
          <w:sz w:val="24"/>
          <w:szCs w:val="24"/>
        </w:rPr>
        <w:t>budúcom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roku klesne o 1,8 %, a to </w:t>
      </w:r>
      <w:proofErr w:type="spellStart"/>
      <w:r w:rsidRPr="007040AD">
        <w:rPr>
          <w:rFonts w:ascii="Calibri" w:hAnsi="Calibri" w:cs="Calibri"/>
          <w:sz w:val="24"/>
          <w:szCs w:val="24"/>
        </w:rPr>
        <w:t>najmä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Pr="007040AD">
        <w:rPr>
          <w:rFonts w:ascii="Calibri" w:hAnsi="Calibri" w:cs="Calibri"/>
          <w:sz w:val="24"/>
          <w:szCs w:val="24"/>
        </w:rPr>
        <w:t>dôsledku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poklesu </w:t>
      </w:r>
      <w:proofErr w:type="spellStart"/>
      <w:r w:rsidRPr="007040AD">
        <w:rPr>
          <w:rFonts w:ascii="Calibri" w:hAnsi="Calibri" w:cs="Calibri"/>
          <w:sz w:val="24"/>
          <w:szCs w:val="24"/>
        </w:rPr>
        <w:t>novej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výstavby (-5,7 %) a výrazného poklesu </w:t>
      </w:r>
      <w:proofErr w:type="spellStart"/>
      <w:r w:rsidRPr="007040AD">
        <w:rPr>
          <w:rFonts w:ascii="Calibri" w:hAnsi="Calibri" w:cs="Calibri"/>
          <w:sz w:val="24"/>
          <w:szCs w:val="24"/>
        </w:rPr>
        <w:t>opráv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a údržby (-15,4 %). </w:t>
      </w:r>
      <w:proofErr w:type="spellStart"/>
      <w:r w:rsidRPr="007040AD">
        <w:rPr>
          <w:rFonts w:ascii="Calibri" w:hAnsi="Calibri" w:cs="Calibri"/>
          <w:sz w:val="24"/>
          <w:szCs w:val="24"/>
        </w:rPr>
        <w:t>Najväčší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pokles zaznamenali </w:t>
      </w:r>
      <w:proofErr w:type="spellStart"/>
      <w:r w:rsidRPr="007040AD">
        <w:rPr>
          <w:rFonts w:ascii="Calibri" w:hAnsi="Calibri" w:cs="Calibri"/>
          <w:sz w:val="24"/>
          <w:szCs w:val="24"/>
        </w:rPr>
        <w:t>inžinierske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stavby, </w:t>
      </w:r>
      <w:proofErr w:type="spellStart"/>
      <w:r w:rsidRPr="007040AD">
        <w:rPr>
          <w:rFonts w:ascii="Calibri" w:hAnsi="Calibri" w:cs="Calibri"/>
          <w:sz w:val="24"/>
          <w:szCs w:val="24"/>
        </w:rPr>
        <w:t>ako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sú </w:t>
      </w:r>
      <w:proofErr w:type="spellStart"/>
      <w:r w:rsidRPr="007040AD">
        <w:rPr>
          <w:rFonts w:ascii="Calibri" w:hAnsi="Calibri" w:cs="Calibri"/>
          <w:sz w:val="24"/>
          <w:szCs w:val="24"/>
        </w:rPr>
        <w:t>diaľnice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a mosty, </w:t>
      </w:r>
      <w:proofErr w:type="spellStart"/>
      <w:r w:rsidRPr="007040AD">
        <w:rPr>
          <w:rFonts w:ascii="Calibri" w:hAnsi="Calibri" w:cs="Calibri"/>
          <w:sz w:val="24"/>
          <w:szCs w:val="24"/>
        </w:rPr>
        <w:t>ktoré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zaznamenali pokles až o 15 %. </w:t>
      </w:r>
      <w:proofErr w:type="spellStart"/>
      <w:r w:rsidRPr="007040AD">
        <w:rPr>
          <w:rFonts w:ascii="Calibri" w:hAnsi="Calibri" w:cs="Calibri"/>
          <w:sz w:val="24"/>
          <w:szCs w:val="24"/>
        </w:rPr>
        <w:t>Zatiaľ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čo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domáci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trh klesá, stavebné firmy </w:t>
      </w:r>
      <w:proofErr w:type="spellStart"/>
      <w:r w:rsidRPr="007040AD">
        <w:rPr>
          <w:rFonts w:ascii="Calibri" w:hAnsi="Calibri" w:cs="Calibri"/>
          <w:sz w:val="24"/>
          <w:szCs w:val="24"/>
        </w:rPr>
        <w:t>pôsobiace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v zahraničí zaznamenali rast </w:t>
      </w:r>
      <w:proofErr w:type="spellStart"/>
      <w:r w:rsidRPr="007040AD">
        <w:rPr>
          <w:rFonts w:ascii="Calibri" w:hAnsi="Calibri" w:cs="Calibri"/>
          <w:sz w:val="24"/>
          <w:szCs w:val="24"/>
        </w:rPr>
        <w:t>produkcie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o 10,7 %. To </w:t>
      </w:r>
      <w:proofErr w:type="spellStart"/>
      <w:r w:rsidRPr="007040AD">
        <w:rPr>
          <w:rFonts w:ascii="Calibri" w:hAnsi="Calibri" w:cs="Calibri"/>
          <w:sz w:val="24"/>
          <w:szCs w:val="24"/>
        </w:rPr>
        <w:t>svedčí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o tom, že firmy </w:t>
      </w:r>
      <w:proofErr w:type="spellStart"/>
      <w:r w:rsidRPr="007040AD">
        <w:rPr>
          <w:rFonts w:ascii="Calibri" w:hAnsi="Calibri" w:cs="Calibri"/>
          <w:sz w:val="24"/>
          <w:szCs w:val="24"/>
        </w:rPr>
        <w:t>expandujúce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7040AD">
        <w:rPr>
          <w:rFonts w:ascii="Calibri" w:hAnsi="Calibri" w:cs="Calibri"/>
          <w:sz w:val="24"/>
          <w:szCs w:val="24"/>
        </w:rPr>
        <w:t>zahraničia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nachádzajú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lepšie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podmienky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7040AD">
        <w:rPr>
          <w:rFonts w:ascii="Calibri" w:hAnsi="Calibri" w:cs="Calibri"/>
          <w:sz w:val="24"/>
          <w:szCs w:val="24"/>
        </w:rPr>
        <w:t>príležitosti</w:t>
      </w:r>
      <w:proofErr w:type="spellEnd"/>
      <w:r w:rsidRPr="007040AD">
        <w:rPr>
          <w:rFonts w:ascii="Calibri" w:hAnsi="Calibri" w:cs="Calibri"/>
          <w:sz w:val="24"/>
          <w:szCs w:val="24"/>
        </w:rPr>
        <w:t>.</w:t>
      </w:r>
    </w:p>
    <w:p w14:paraId="77B4A769" w14:textId="77777777" w:rsidR="00D470CD" w:rsidRPr="007040AD" w:rsidRDefault="00D470CD" w:rsidP="00D470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40AD">
        <w:rPr>
          <w:rFonts w:ascii="Calibri" w:hAnsi="Calibri" w:cs="Calibri"/>
          <w:sz w:val="24"/>
          <w:szCs w:val="24"/>
        </w:rPr>
        <w:t xml:space="preserve">V sektore </w:t>
      </w:r>
      <w:proofErr w:type="spellStart"/>
      <w:r w:rsidRPr="007040AD">
        <w:rPr>
          <w:rFonts w:ascii="Calibri" w:hAnsi="Calibri" w:cs="Calibri"/>
          <w:sz w:val="24"/>
          <w:szCs w:val="24"/>
        </w:rPr>
        <w:t>inžinierskeho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staviteľstva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sa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očakáva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, že k rastu </w:t>
      </w:r>
      <w:proofErr w:type="spellStart"/>
      <w:r w:rsidRPr="007040AD">
        <w:rPr>
          <w:rFonts w:ascii="Calibri" w:hAnsi="Calibri" w:cs="Calibri"/>
          <w:sz w:val="24"/>
          <w:szCs w:val="24"/>
        </w:rPr>
        <w:t>tohto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segmentu trhu v </w:t>
      </w:r>
      <w:proofErr w:type="spellStart"/>
      <w:r w:rsidRPr="007040AD">
        <w:rPr>
          <w:rFonts w:ascii="Calibri" w:hAnsi="Calibri" w:cs="Calibri"/>
          <w:sz w:val="24"/>
          <w:szCs w:val="24"/>
        </w:rPr>
        <w:t>rokoch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2025 a 2026 </w:t>
      </w:r>
      <w:proofErr w:type="spellStart"/>
      <w:r w:rsidRPr="007040AD">
        <w:rPr>
          <w:rFonts w:ascii="Calibri" w:hAnsi="Calibri" w:cs="Calibri"/>
          <w:sz w:val="24"/>
          <w:szCs w:val="24"/>
        </w:rPr>
        <w:t>prispeje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viac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projektov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dopravnej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7040AD">
        <w:rPr>
          <w:rFonts w:ascii="Calibri" w:hAnsi="Calibri" w:cs="Calibri"/>
          <w:sz w:val="24"/>
          <w:szCs w:val="24"/>
        </w:rPr>
        <w:t>energetickej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infraštruktúry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040AD">
        <w:rPr>
          <w:rFonts w:ascii="Calibri" w:hAnsi="Calibri" w:cs="Calibri"/>
          <w:sz w:val="24"/>
          <w:szCs w:val="24"/>
        </w:rPr>
        <w:t>Inžinierske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staviteľstvo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je </w:t>
      </w:r>
      <w:proofErr w:type="spellStart"/>
      <w:r w:rsidRPr="007040AD">
        <w:rPr>
          <w:rFonts w:ascii="Calibri" w:hAnsi="Calibri" w:cs="Calibri"/>
          <w:sz w:val="24"/>
          <w:szCs w:val="24"/>
        </w:rPr>
        <w:t>významne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financované z </w:t>
      </w:r>
      <w:proofErr w:type="spellStart"/>
      <w:r w:rsidRPr="007040AD">
        <w:rPr>
          <w:rFonts w:ascii="Calibri" w:hAnsi="Calibri" w:cs="Calibri"/>
          <w:sz w:val="24"/>
          <w:szCs w:val="24"/>
        </w:rPr>
        <w:t>fondov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EÚ, </w:t>
      </w:r>
      <w:proofErr w:type="spellStart"/>
      <w:r w:rsidRPr="007040AD">
        <w:rPr>
          <w:rFonts w:ascii="Calibri" w:hAnsi="Calibri" w:cs="Calibri"/>
          <w:sz w:val="24"/>
          <w:szCs w:val="24"/>
        </w:rPr>
        <w:t>čo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podporuje rast celého </w:t>
      </w:r>
      <w:proofErr w:type="spellStart"/>
      <w:r w:rsidRPr="007040AD">
        <w:rPr>
          <w:rFonts w:ascii="Calibri" w:hAnsi="Calibri" w:cs="Calibri"/>
          <w:sz w:val="24"/>
          <w:szCs w:val="24"/>
        </w:rPr>
        <w:t>sektora</w:t>
      </w:r>
      <w:proofErr w:type="spellEnd"/>
      <w:r w:rsidRPr="007040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sz w:val="24"/>
          <w:szCs w:val="24"/>
        </w:rPr>
        <w:t>stavebníctva</w:t>
      </w:r>
      <w:proofErr w:type="spellEnd"/>
      <w:r w:rsidRPr="007040AD">
        <w:rPr>
          <w:rFonts w:ascii="Calibri" w:hAnsi="Calibri" w:cs="Calibri"/>
          <w:sz w:val="24"/>
          <w:szCs w:val="24"/>
        </w:rPr>
        <w:t>.</w:t>
      </w:r>
    </w:p>
    <w:p w14:paraId="2478C0DF" w14:textId="77777777" w:rsidR="005A4312" w:rsidRPr="001C623C" w:rsidRDefault="005A4312" w:rsidP="00850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7870689E" w14:textId="0F5C390B" w:rsidR="00D470CD" w:rsidRPr="00D470CD" w:rsidRDefault="002D7C9B" w:rsidP="00D470CD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„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Veľké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percento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slovenských projektových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kapacít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,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predovšetkým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v segmente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dopravnej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infraštruktúry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pracuje na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zakázkach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do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susedných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štátov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,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predovšetkým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ČR</w:t>
      </w:r>
      <w:r w:rsidR="00DA3037">
        <w:rPr>
          <w:rFonts w:ascii="Calibri" w:hAnsi="Calibri" w:cs="Calibri"/>
          <w:i/>
          <w:iCs/>
          <w:sz w:val="24"/>
          <w:szCs w:val="24"/>
        </w:rPr>
        <w:t>,</w:t>
      </w:r>
      <w:r w:rsidRPr="002D7C9B">
        <w:rPr>
          <w:rFonts w:ascii="Calibri" w:hAnsi="Calibri" w:cs="Calibri"/>
          <w:i/>
          <w:iCs/>
          <w:sz w:val="24"/>
          <w:szCs w:val="24"/>
        </w:rPr>
        <w:t xml:space="preserve"> a to z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dôvodu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nedostatku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objednávok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zo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strany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štátu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. Tento stav už trvá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niekoľko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rokov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a ku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zlepšeniu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nedošlo,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čo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považujem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za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veľkú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chybu,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nakoľko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aj to málo odborných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kapacít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,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ktoré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máme k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dispozícii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nevyužívame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pre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prípravu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projektov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na Slovensku. Aj to je jeden z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dôvodov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,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prečo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2D7C9B">
        <w:rPr>
          <w:rFonts w:ascii="Calibri" w:hAnsi="Calibri" w:cs="Calibri"/>
          <w:i/>
          <w:iCs/>
          <w:sz w:val="24"/>
          <w:szCs w:val="24"/>
        </w:rPr>
        <w:lastRenderedPageBreak/>
        <w:t xml:space="preserve">máme na Slovenku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akútny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nedostatok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dobre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pripravených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infraštruktúrnych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projektov</w:t>
      </w:r>
      <w:proofErr w:type="spellEnd"/>
      <w:r w:rsidRPr="002D7C9B">
        <w:rPr>
          <w:rFonts w:ascii="Calibri" w:hAnsi="Calibri" w:cs="Calibri"/>
          <w:i/>
          <w:iCs/>
          <w:sz w:val="24"/>
          <w:szCs w:val="24"/>
        </w:rPr>
        <w:t xml:space="preserve"> do </w:t>
      </w:r>
      <w:proofErr w:type="spellStart"/>
      <w:r w:rsidRPr="002D7C9B">
        <w:rPr>
          <w:rFonts w:ascii="Calibri" w:hAnsi="Calibri" w:cs="Calibri"/>
          <w:i/>
          <w:iCs/>
          <w:sz w:val="24"/>
          <w:szCs w:val="24"/>
        </w:rPr>
        <w:t>realizácie</w:t>
      </w:r>
      <w:proofErr w:type="spellEnd"/>
      <w:r w:rsidR="00816D39">
        <w:rPr>
          <w:rFonts w:ascii="Calibri" w:hAnsi="Calibri" w:cs="Calibri"/>
          <w:i/>
          <w:iCs/>
          <w:sz w:val="24"/>
          <w:szCs w:val="24"/>
        </w:rPr>
        <w:t>,</w:t>
      </w:r>
      <w:r>
        <w:rPr>
          <w:rFonts w:ascii="Calibri" w:hAnsi="Calibri" w:cs="Calibri"/>
          <w:i/>
          <w:iCs/>
          <w:sz w:val="24"/>
          <w:szCs w:val="24"/>
        </w:rPr>
        <w:t>“</w:t>
      </w:r>
      <w:r w:rsidR="00D470CD" w:rsidRPr="00D470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470CD" w:rsidRPr="00D470CD">
        <w:rPr>
          <w:rFonts w:ascii="Calibri" w:hAnsi="Calibri" w:cs="Calibri"/>
          <w:i/>
          <w:iCs/>
          <w:sz w:val="24"/>
          <w:szCs w:val="24"/>
        </w:rPr>
        <w:t>povedal</w:t>
      </w:r>
      <w:proofErr w:type="spellEnd"/>
      <w:r w:rsidR="00D470CD" w:rsidRPr="00D470C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470CD" w:rsidRPr="00D470CD">
        <w:rPr>
          <w:rFonts w:ascii="Calibri" w:hAnsi="Calibri" w:cs="Calibri"/>
          <w:b/>
          <w:bCs/>
          <w:i/>
          <w:iCs/>
          <w:sz w:val="24"/>
          <w:szCs w:val="24"/>
        </w:rPr>
        <w:t xml:space="preserve">Pavol Kováčik, prezident </w:t>
      </w:r>
      <w:proofErr w:type="spellStart"/>
      <w:r w:rsidR="00D470CD" w:rsidRPr="00D470CD">
        <w:rPr>
          <w:rFonts w:ascii="Calibri" w:hAnsi="Calibri" w:cs="Calibri"/>
          <w:b/>
          <w:bCs/>
          <w:i/>
          <w:iCs/>
          <w:sz w:val="24"/>
          <w:szCs w:val="24"/>
        </w:rPr>
        <w:t>Zväzu</w:t>
      </w:r>
      <w:proofErr w:type="spellEnd"/>
      <w:r w:rsidR="00D470CD" w:rsidRPr="00D470CD">
        <w:rPr>
          <w:rFonts w:ascii="Calibri" w:hAnsi="Calibri" w:cs="Calibri"/>
          <w:b/>
          <w:bCs/>
          <w:i/>
          <w:iCs/>
          <w:sz w:val="24"/>
          <w:szCs w:val="24"/>
        </w:rPr>
        <w:t xml:space="preserve"> stavebných </w:t>
      </w:r>
      <w:proofErr w:type="spellStart"/>
      <w:r w:rsidR="00D470CD" w:rsidRPr="00D470CD">
        <w:rPr>
          <w:rFonts w:ascii="Calibri" w:hAnsi="Calibri" w:cs="Calibri"/>
          <w:b/>
          <w:bCs/>
          <w:i/>
          <w:iCs/>
          <w:sz w:val="24"/>
          <w:szCs w:val="24"/>
        </w:rPr>
        <w:t>podnikateľov</w:t>
      </w:r>
      <w:proofErr w:type="spellEnd"/>
      <w:r w:rsidR="00D470CD" w:rsidRPr="00D470CD">
        <w:rPr>
          <w:rFonts w:ascii="Calibri" w:hAnsi="Calibri" w:cs="Calibri"/>
          <w:b/>
          <w:bCs/>
          <w:i/>
          <w:iCs/>
          <w:sz w:val="24"/>
          <w:szCs w:val="24"/>
        </w:rPr>
        <w:t xml:space="preserve"> Slovenska.</w:t>
      </w:r>
    </w:p>
    <w:p w14:paraId="15A183CE" w14:textId="0B6A7D79" w:rsidR="00905C0B" w:rsidRPr="002D7C9B" w:rsidRDefault="00905C0B" w:rsidP="00905C0B">
      <w:pPr>
        <w:rPr>
          <w:rFonts w:ascii="Calibri" w:hAnsi="Calibri" w:cs="Calibri"/>
          <w:b/>
          <w:bCs/>
          <w:sz w:val="24"/>
          <w:szCs w:val="24"/>
        </w:rPr>
      </w:pPr>
    </w:p>
    <w:p w14:paraId="7A5627FD" w14:textId="704A2197" w:rsidR="00D57804" w:rsidRPr="00905C0B" w:rsidRDefault="00D57804" w:rsidP="00850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D04152" w14:textId="77777777" w:rsidR="00D57804" w:rsidRDefault="00D57804" w:rsidP="00850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64679146" w14:textId="0E89DC30" w:rsidR="007A725F" w:rsidRDefault="00EF1E23" w:rsidP="00B7454D">
      <w:pPr>
        <w:pStyle w:val="Normlnweb"/>
        <w:shd w:val="clear" w:color="auto" w:fill="FFFFFF"/>
        <w:spacing w:before="300" w:after="0"/>
        <w:jc w:val="both"/>
        <w:rPr>
          <w:rFonts w:asciiTheme="majorHAnsi" w:hAnsiTheme="majorHAnsi" w:cstheme="majorHAnsi"/>
          <w:sz w:val="28"/>
          <w:szCs w:val="28"/>
        </w:rPr>
      </w:pPr>
      <w:r w:rsidRPr="00EF1E23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9D0DAA7" wp14:editId="755D1C62">
            <wp:extent cx="4671465" cy="3680779"/>
            <wp:effectExtent l="0" t="0" r="0" b="0"/>
            <wp:docPr id="717720784" name="Obrázek 1" descr="Obsah obrázku text, snímek obrazovky, Písmo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20784" name="Obrázek 1" descr="Obsah obrázku text, snímek obrazovky, Písmo, diagram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1465" cy="368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99C5E" w14:textId="2945FA8B" w:rsidR="00BF466E" w:rsidRPr="003F0D23" w:rsidRDefault="000C1521" w:rsidP="00BF466E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4"/>
          <w:szCs w:val="24"/>
        </w:rPr>
        <w:t>K</w:t>
      </w:r>
      <w:r w:rsidR="0085041F" w:rsidRPr="0085041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5041F" w:rsidRPr="0085041F">
        <w:rPr>
          <w:rFonts w:ascii="Calibri" w:hAnsi="Calibri" w:cs="Calibri"/>
          <w:sz w:val="24"/>
          <w:szCs w:val="24"/>
        </w:rPr>
        <w:t>vývoju</w:t>
      </w:r>
      <w:proofErr w:type="spellEnd"/>
      <w:r w:rsidR="0085041F" w:rsidRPr="0085041F">
        <w:rPr>
          <w:rFonts w:ascii="Calibri" w:hAnsi="Calibri" w:cs="Calibri"/>
          <w:sz w:val="24"/>
          <w:szCs w:val="24"/>
        </w:rPr>
        <w:t xml:space="preserve"> slovenského </w:t>
      </w:r>
      <w:proofErr w:type="spellStart"/>
      <w:r w:rsidR="0085041F" w:rsidRPr="0085041F">
        <w:rPr>
          <w:rFonts w:ascii="Calibri" w:hAnsi="Calibri" w:cs="Calibri"/>
          <w:sz w:val="24"/>
          <w:szCs w:val="24"/>
        </w:rPr>
        <w:t>stavebníctva</w:t>
      </w:r>
      <w:proofErr w:type="spellEnd"/>
      <w:r w:rsidR="0085041F" w:rsidRPr="0085041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5041F" w:rsidRPr="0085041F">
        <w:rPr>
          <w:rFonts w:ascii="Calibri" w:hAnsi="Calibri" w:cs="Calibri"/>
          <w:sz w:val="24"/>
          <w:szCs w:val="24"/>
        </w:rPr>
        <w:t>sa</w:t>
      </w:r>
      <w:proofErr w:type="spellEnd"/>
      <w:r w:rsidR="0085041F" w:rsidRPr="0085041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5041F" w:rsidRPr="0085041F">
        <w:rPr>
          <w:rFonts w:ascii="Calibri" w:hAnsi="Calibri" w:cs="Calibri"/>
          <w:sz w:val="24"/>
          <w:szCs w:val="24"/>
        </w:rPr>
        <w:t>vyjadril</w:t>
      </w:r>
      <w:proofErr w:type="spellEnd"/>
      <w:r w:rsidR="0085041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F0D23" w:rsidRPr="003F0D23">
        <w:rPr>
          <w:rFonts w:ascii="Calibri" w:hAnsi="Calibri" w:cs="Calibri"/>
          <w:b/>
          <w:bCs/>
        </w:rPr>
        <w:t xml:space="preserve">Filip Macháček, </w:t>
      </w:r>
      <w:proofErr w:type="spellStart"/>
      <w:r w:rsidR="003F0D23" w:rsidRPr="003F0D23">
        <w:rPr>
          <w:rFonts w:ascii="Calibri" w:hAnsi="Calibri" w:cs="Calibri"/>
          <w:b/>
          <w:bCs/>
        </w:rPr>
        <w:t>predseda</w:t>
      </w:r>
      <w:proofErr w:type="spellEnd"/>
      <w:r w:rsidR="003F0D23" w:rsidRPr="003F0D23">
        <w:rPr>
          <w:rFonts w:ascii="Calibri" w:hAnsi="Calibri" w:cs="Calibri"/>
          <w:b/>
          <w:bCs/>
        </w:rPr>
        <w:t xml:space="preserve"> </w:t>
      </w:r>
      <w:proofErr w:type="spellStart"/>
      <w:r w:rsidR="003F0D23" w:rsidRPr="003F0D23">
        <w:rPr>
          <w:rFonts w:ascii="Calibri" w:hAnsi="Calibri" w:cs="Calibri"/>
          <w:b/>
          <w:bCs/>
        </w:rPr>
        <w:t>predstavenstva</w:t>
      </w:r>
      <w:proofErr w:type="spellEnd"/>
      <w:r w:rsidR="003F0D23" w:rsidRPr="003F0D23">
        <w:rPr>
          <w:rFonts w:ascii="Calibri" w:hAnsi="Calibri" w:cs="Calibri"/>
          <w:b/>
          <w:bCs/>
        </w:rPr>
        <w:t xml:space="preserve"> a </w:t>
      </w:r>
      <w:proofErr w:type="spellStart"/>
      <w:r w:rsidR="003F0D23" w:rsidRPr="003F0D23">
        <w:rPr>
          <w:rFonts w:ascii="Calibri" w:hAnsi="Calibri" w:cs="Calibri"/>
          <w:b/>
          <w:bCs/>
        </w:rPr>
        <w:t>generálny</w:t>
      </w:r>
      <w:proofErr w:type="spellEnd"/>
      <w:r w:rsidR="003F0D23" w:rsidRPr="003F0D23">
        <w:rPr>
          <w:rFonts w:ascii="Calibri" w:hAnsi="Calibri" w:cs="Calibri"/>
          <w:b/>
          <w:bCs/>
        </w:rPr>
        <w:t xml:space="preserve"> </w:t>
      </w:r>
      <w:proofErr w:type="spellStart"/>
      <w:r w:rsidR="003F0D23" w:rsidRPr="003F0D23">
        <w:rPr>
          <w:rFonts w:ascii="Calibri" w:hAnsi="Calibri" w:cs="Calibri"/>
          <w:b/>
          <w:bCs/>
        </w:rPr>
        <w:t>riaditeľ</w:t>
      </w:r>
      <w:proofErr w:type="spellEnd"/>
      <w:r w:rsidR="003F0D23" w:rsidRPr="003F0D23">
        <w:rPr>
          <w:rFonts w:ascii="Calibri" w:hAnsi="Calibri" w:cs="Calibri"/>
          <w:b/>
          <w:bCs/>
        </w:rPr>
        <w:t xml:space="preserve"> </w:t>
      </w:r>
      <w:proofErr w:type="spellStart"/>
      <w:r w:rsidR="003F0D23" w:rsidRPr="003F0D23">
        <w:rPr>
          <w:rFonts w:ascii="Calibri" w:hAnsi="Calibri" w:cs="Calibri"/>
          <w:b/>
          <w:bCs/>
        </w:rPr>
        <w:t>Národnej</w:t>
      </w:r>
      <w:proofErr w:type="spellEnd"/>
      <w:r w:rsidR="003F0D23" w:rsidRPr="003F0D23">
        <w:rPr>
          <w:rFonts w:ascii="Calibri" w:hAnsi="Calibri" w:cs="Calibri"/>
          <w:b/>
          <w:bCs/>
        </w:rPr>
        <w:t xml:space="preserve"> </w:t>
      </w:r>
      <w:proofErr w:type="spellStart"/>
      <w:r w:rsidR="003F0D23" w:rsidRPr="003F0D23">
        <w:rPr>
          <w:rFonts w:ascii="Calibri" w:hAnsi="Calibri" w:cs="Calibri"/>
          <w:b/>
          <w:bCs/>
        </w:rPr>
        <w:t>diaľničnej</w:t>
      </w:r>
      <w:proofErr w:type="spellEnd"/>
      <w:r w:rsidR="003F0D23" w:rsidRPr="003F0D23">
        <w:rPr>
          <w:rFonts w:ascii="Calibri" w:hAnsi="Calibri" w:cs="Calibri"/>
          <w:b/>
          <w:bCs/>
        </w:rPr>
        <w:t xml:space="preserve"> </w:t>
      </w:r>
      <w:proofErr w:type="spellStart"/>
      <w:r w:rsidR="003F0D23" w:rsidRPr="003F0D23">
        <w:rPr>
          <w:rFonts w:ascii="Calibri" w:hAnsi="Calibri" w:cs="Calibri"/>
          <w:b/>
          <w:bCs/>
        </w:rPr>
        <w:t>spoločnosti</w:t>
      </w:r>
      <w:proofErr w:type="spellEnd"/>
      <w:r w:rsidR="003F0D23" w:rsidRPr="003F0D23">
        <w:rPr>
          <w:rFonts w:ascii="Calibri" w:hAnsi="Calibri" w:cs="Calibri"/>
          <w:b/>
          <w:bCs/>
        </w:rPr>
        <w:t>:</w:t>
      </w:r>
      <w:r w:rsidR="003F0D23">
        <w:rPr>
          <w:rFonts w:ascii="Calibri" w:hAnsi="Calibri" w:cs="Calibri"/>
          <w:b/>
          <w:bCs/>
        </w:rPr>
        <w:t xml:space="preserve"> </w:t>
      </w:r>
      <w:r w:rsidR="00916441" w:rsidRPr="00916441">
        <w:rPr>
          <w:rFonts w:ascii="Calibri" w:hAnsi="Calibri" w:cs="Calibri"/>
          <w:i/>
          <w:iCs/>
          <w:sz w:val="24"/>
          <w:szCs w:val="24"/>
        </w:rPr>
        <w:t>„</w:t>
      </w:r>
      <w:r w:rsidR="00BF466E" w:rsidRPr="00916441">
        <w:rPr>
          <w:rFonts w:ascii="Calibri" w:hAnsi="Calibri" w:cs="Calibri"/>
          <w:i/>
          <w:iCs/>
          <w:sz w:val="24"/>
          <w:szCs w:val="24"/>
          <w:lang w:val="sk-SK"/>
        </w:rPr>
        <w:t>Rok 2024 zďaleka nebol pre stavebný sektor najpriaznivejší. Údaje štatistického úradu za prvý polrok hovoria o medziročnom poklese stavebnej produkcie o takmer 5 percent. Verím, že sa tento trend v roku 2025 začne lámať. Za NDS môžem povedať, že sme výrazne posilnili prípravu nových projektov. Pri rozpracovaných projektoch sme sa v zrýchlenom režime posunuli z prípravnej fázy do fázy obstarávacej. Hovorím napríklad o dlho očakávaných úsekoch Turany-Hubová alebo o kysuckej D3. Verím, že tohtoročné posilnenie prípravy sa v budúcom roku podpíše aj na stavebnej produkcii.</w:t>
      </w:r>
      <w:r w:rsidR="00916441">
        <w:rPr>
          <w:rFonts w:ascii="Calibri" w:hAnsi="Calibri" w:cs="Calibri"/>
          <w:i/>
          <w:iCs/>
          <w:sz w:val="24"/>
          <w:szCs w:val="24"/>
          <w:lang w:val="sk-SK"/>
        </w:rPr>
        <w:t>“</w:t>
      </w:r>
    </w:p>
    <w:p w14:paraId="07415B41" w14:textId="442BD65D" w:rsidR="001E4A50" w:rsidRDefault="00720BFC" w:rsidP="001E4A50">
      <w:pPr>
        <w:rPr>
          <w:rFonts w:ascii="Calibri" w:hAnsi="Calibri" w:cs="Calibri"/>
          <w:i/>
          <w:iCs/>
          <w:sz w:val="24"/>
          <w:szCs w:val="24"/>
        </w:rPr>
      </w:pPr>
      <w:proofErr w:type="spellStart"/>
      <w:r w:rsidRPr="00720BFC">
        <w:rPr>
          <w:rFonts w:ascii="Calibri" w:hAnsi="Calibri" w:cs="Calibri"/>
          <w:sz w:val="24"/>
          <w:szCs w:val="24"/>
        </w:rPr>
        <w:t>Podobne</w:t>
      </w:r>
      <w:proofErr w:type="spellEnd"/>
      <w:r w:rsidRPr="00720BFC">
        <w:rPr>
          <w:rFonts w:ascii="Calibri" w:hAnsi="Calibri" w:cs="Calibri"/>
          <w:sz w:val="24"/>
          <w:szCs w:val="24"/>
        </w:rPr>
        <w:t xml:space="preserve"> vidí </w:t>
      </w:r>
      <w:proofErr w:type="spellStart"/>
      <w:r w:rsidRPr="00720BFC">
        <w:rPr>
          <w:rFonts w:ascii="Calibri" w:hAnsi="Calibri" w:cs="Calibri"/>
          <w:sz w:val="24"/>
          <w:szCs w:val="24"/>
        </w:rPr>
        <w:t>situáciu</w:t>
      </w:r>
      <w:proofErr w:type="spellEnd"/>
      <w:r w:rsidRPr="00720BFC">
        <w:rPr>
          <w:rFonts w:ascii="Calibri" w:hAnsi="Calibri" w:cs="Calibri"/>
          <w:sz w:val="24"/>
          <w:szCs w:val="24"/>
        </w:rPr>
        <w:t xml:space="preserve"> aj </w:t>
      </w:r>
      <w:r w:rsidRPr="00720BFC">
        <w:rPr>
          <w:rFonts w:ascii="Calibri" w:hAnsi="Calibri" w:cs="Calibri"/>
          <w:b/>
          <w:bCs/>
          <w:sz w:val="24"/>
          <w:szCs w:val="24"/>
        </w:rPr>
        <w:t>Branislav Lukáč</w:t>
      </w:r>
      <w:r w:rsidRPr="00720BFC">
        <w:rPr>
          <w:rFonts w:ascii="Calibri" w:hAnsi="Calibri" w:cs="Calibri"/>
          <w:sz w:val="24"/>
          <w:szCs w:val="24"/>
        </w:rPr>
        <w:t xml:space="preserve">, </w:t>
      </w:r>
      <w:r w:rsidRPr="00720BFC">
        <w:rPr>
          <w:rFonts w:ascii="Calibri" w:hAnsi="Calibri" w:cs="Calibri"/>
          <w:b/>
          <w:bCs/>
          <w:sz w:val="24"/>
          <w:szCs w:val="24"/>
        </w:rPr>
        <w:t xml:space="preserve">technický </w:t>
      </w:r>
      <w:proofErr w:type="spellStart"/>
      <w:r w:rsidRPr="00720BFC">
        <w:rPr>
          <w:rFonts w:ascii="Calibri" w:hAnsi="Calibri" w:cs="Calibri"/>
          <w:b/>
          <w:bCs/>
          <w:sz w:val="24"/>
          <w:szCs w:val="24"/>
        </w:rPr>
        <w:t>riaditeľ</w:t>
      </w:r>
      <w:proofErr w:type="spellEnd"/>
      <w:r w:rsidRPr="00720BFC">
        <w:rPr>
          <w:rFonts w:ascii="Calibri" w:hAnsi="Calibri" w:cs="Calibri"/>
          <w:b/>
          <w:bCs/>
          <w:sz w:val="24"/>
          <w:szCs w:val="24"/>
        </w:rPr>
        <w:t xml:space="preserve"> a </w:t>
      </w:r>
      <w:proofErr w:type="spellStart"/>
      <w:r w:rsidRPr="00720BFC">
        <w:rPr>
          <w:rFonts w:ascii="Calibri" w:hAnsi="Calibri" w:cs="Calibri"/>
          <w:b/>
          <w:bCs/>
          <w:sz w:val="24"/>
          <w:szCs w:val="24"/>
        </w:rPr>
        <w:t>konateľ</w:t>
      </w:r>
      <w:proofErr w:type="spellEnd"/>
      <w:r w:rsidRPr="00720BF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20BFC">
        <w:rPr>
          <w:rFonts w:ascii="Calibri" w:hAnsi="Calibri" w:cs="Calibri"/>
          <w:b/>
          <w:bCs/>
          <w:sz w:val="24"/>
          <w:szCs w:val="24"/>
        </w:rPr>
        <w:t>spoločnosti</w:t>
      </w:r>
      <w:proofErr w:type="spellEnd"/>
      <w:r w:rsidRPr="00720BFC">
        <w:rPr>
          <w:rFonts w:ascii="Calibri" w:hAnsi="Calibri" w:cs="Calibri"/>
          <w:b/>
          <w:bCs/>
          <w:sz w:val="24"/>
          <w:szCs w:val="24"/>
        </w:rPr>
        <w:t xml:space="preserve"> STRABAG </w:t>
      </w:r>
      <w:proofErr w:type="spellStart"/>
      <w:r w:rsidRPr="00720BFC">
        <w:rPr>
          <w:rFonts w:ascii="Calibri" w:hAnsi="Calibri" w:cs="Calibri"/>
          <w:b/>
          <w:bCs/>
          <w:sz w:val="24"/>
          <w:szCs w:val="24"/>
        </w:rPr>
        <w:t>Ground</w:t>
      </w:r>
      <w:proofErr w:type="spellEnd"/>
      <w:r w:rsidRPr="00720BFC">
        <w:rPr>
          <w:rFonts w:ascii="Calibri" w:hAnsi="Calibri" w:cs="Calibri"/>
          <w:b/>
          <w:bCs/>
          <w:sz w:val="24"/>
          <w:szCs w:val="24"/>
        </w:rPr>
        <w:t xml:space="preserve"> Construction</w:t>
      </w:r>
      <w:r w:rsidR="001E4A50">
        <w:rPr>
          <w:rFonts w:ascii="Calibri" w:hAnsi="Calibri" w:cs="Calibri"/>
          <w:sz w:val="24"/>
          <w:szCs w:val="24"/>
        </w:rPr>
        <w:t>:</w:t>
      </w:r>
      <w:r w:rsidR="00065573">
        <w:rPr>
          <w:rFonts w:ascii="Calibri" w:hAnsi="Calibri" w:cs="Calibri"/>
          <w:sz w:val="24"/>
          <w:szCs w:val="24"/>
        </w:rPr>
        <w:t xml:space="preserve"> </w:t>
      </w:r>
      <w:r w:rsidR="001E4A50" w:rsidRPr="00065573">
        <w:rPr>
          <w:rFonts w:ascii="Calibri" w:hAnsi="Calibri" w:cs="Calibri"/>
          <w:i/>
          <w:iCs/>
          <w:sz w:val="24"/>
          <w:szCs w:val="24"/>
        </w:rPr>
        <w:t>„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Vzhľadom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na to, že v tomto roku už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prebieha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viacero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verejných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obstarávaní na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veľké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infraštruktúrne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projekty,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ako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napr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.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Priemyselný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park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Valaliky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, D1 Turany-Hubová či D3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Oščadnica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-Čadca Bukov, a v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príprave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sú aj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ďalšie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dva úseky D3,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predpokladáme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, že v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budúcom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roku už zaznamenáme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mierny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nárast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stavebných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prác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.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Samozrejme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, za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predpokladu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, že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súťaže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sa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úspešne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vyhodnotia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a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dôjde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k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uzavretiu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zmlúv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so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lastRenderedPageBreak/>
        <w:t>zhotoviteľmi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.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Výraznejší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objem stavebných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prác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v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cestnom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staviteľstve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však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očakávame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až v </w:t>
      </w:r>
      <w:proofErr w:type="spellStart"/>
      <w:r w:rsidR="001E4A50" w:rsidRPr="00065573">
        <w:rPr>
          <w:rFonts w:ascii="Calibri" w:hAnsi="Calibri" w:cs="Calibri"/>
          <w:i/>
          <w:iCs/>
          <w:sz w:val="24"/>
          <w:szCs w:val="24"/>
        </w:rPr>
        <w:t>rokoch</w:t>
      </w:r>
      <w:proofErr w:type="spellEnd"/>
      <w:r w:rsidR="001E4A50" w:rsidRPr="00065573">
        <w:rPr>
          <w:rFonts w:ascii="Calibri" w:hAnsi="Calibri" w:cs="Calibri"/>
          <w:i/>
          <w:iCs/>
          <w:sz w:val="24"/>
          <w:szCs w:val="24"/>
        </w:rPr>
        <w:t xml:space="preserve"> 2026, 2027.“</w:t>
      </w:r>
    </w:p>
    <w:p w14:paraId="0AF78F47" w14:textId="2A57AE14" w:rsidR="00CF1E47" w:rsidRPr="007040AD" w:rsidRDefault="00CF1E47" w:rsidP="00CF1E47">
      <w:pPr>
        <w:rPr>
          <w:rFonts w:ascii="Calibri" w:hAnsi="Calibri" w:cs="Calibri"/>
          <w:b/>
          <w:bCs/>
          <w:sz w:val="24"/>
          <w:szCs w:val="24"/>
        </w:rPr>
      </w:pPr>
      <w:r w:rsidRPr="007040AD">
        <w:rPr>
          <w:rFonts w:ascii="Calibri" w:hAnsi="Calibri" w:cs="Calibri"/>
          <w:b/>
          <w:bCs/>
          <w:sz w:val="24"/>
          <w:szCs w:val="24"/>
        </w:rPr>
        <w:t xml:space="preserve">Tržby stavebných </w:t>
      </w:r>
      <w:proofErr w:type="spellStart"/>
      <w:r w:rsidRPr="007040AD">
        <w:rPr>
          <w:rFonts w:ascii="Calibri" w:hAnsi="Calibri" w:cs="Calibri"/>
          <w:b/>
          <w:bCs/>
          <w:sz w:val="24"/>
          <w:szCs w:val="24"/>
        </w:rPr>
        <w:t>spol</w:t>
      </w:r>
      <w:r w:rsidR="00A2641C" w:rsidRPr="007040AD">
        <w:rPr>
          <w:rFonts w:ascii="Calibri" w:hAnsi="Calibri" w:cs="Calibri"/>
          <w:b/>
          <w:bCs/>
          <w:sz w:val="24"/>
          <w:szCs w:val="24"/>
        </w:rPr>
        <w:t>o</w:t>
      </w:r>
      <w:r w:rsidRPr="007040AD">
        <w:rPr>
          <w:rFonts w:ascii="Calibri" w:hAnsi="Calibri" w:cs="Calibri"/>
          <w:b/>
          <w:bCs/>
          <w:sz w:val="24"/>
          <w:szCs w:val="24"/>
        </w:rPr>
        <w:t>čnost</w:t>
      </w:r>
      <w:r w:rsidR="00A2641C" w:rsidRPr="007040AD">
        <w:rPr>
          <w:rFonts w:ascii="Calibri" w:hAnsi="Calibri" w:cs="Calibri"/>
          <w:b/>
          <w:bCs/>
          <w:sz w:val="24"/>
          <w:szCs w:val="24"/>
        </w:rPr>
        <w:t>í</w:t>
      </w:r>
      <w:proofErr w:type="spellEnd"/>
      <w:r w:rsidRPr="007040A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b/>
          <w:bCs/>
          <w:sz w:val="24"/>
          <w:szCs w:val="24"/>
        </w:rPr>
        <w:t>klesaj</w:t>
      </w:r>
      <w:r w:rsidR="00A2641C" w:rsidRPr="007040AD">
        <w:rPr>
          <w:rFonts w:ascii="Calibri" w:hAnsi="Calibri" w:cs="Calibri"/>
          <w:b/>
          <w:bCs/>
          <w:sz w:val="24"/>
          <w:szCs w:val="24"/>
        </w:rPr>
        <w:t>ú</w:t>
      </w:r>
      <w:proofErr w:type="spellEnd"/>
      <w:r w:rsidR="00A2641C" w:rsidRPr="007040AD">
        <w:rPr>
          <w:rFonts w:ascii="Calibri" w:hAnsi="Calibri" w:cs="Calibri"/>
          <w:b/>
          <w:bCs/>
          <w:sz w:val="24"/>
          <w:szCs w:val="24"/>
        </w:rPr>
        <w:t>,</w:t>
      </w:r>
      <w:r w:rsidRPr="007040AD">
        <w:rPr>
          <w:rFonts w:ascii="Calibri" w:hAnsi="Calibri" w:cs="Calibri"/>
          <w:b/>
          <w:bCs/>
          <w:sz w:val="24"/>
          <w:szCs w:val="24"/>
        </w:rPr>
        <w:t xml:space="preserve"> ale </w:t>
      </w:r>
      <w:proofErr w:type="spellStart"/>
      <w:r w:rsidRPr="007040AD">
        <w:rPr>
          <w:rFonts w:ascii="Calibri" w:hAnsi="Calibri" w:cs="Calibri"/>
          <w:b/>
          <w:bCs/>
          <w:sz w:val="24"/>
          <w:szCs w:val="24"/>
        </w:rPr>
        <w:t>čoskoro</w:t>
      </w:r>
      <w:proofErr w:type="spellEnd"/>
      <w:r w:rsidRPr="007040A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040AD">
        <w:rPr>
          <w:rFonts w:ascii="Calibri" w:hAnsi="Calibri" w:cs="Calibri"/>
          <w:b/>
          <w:bCs/>
          <w:sz w:val="24"/>
          <w:szCs w:val="24"/>
        </w:rPr>
        <w:t>porastú</w:t>
      </w:r>
      <w:proofErr w:type="spellEnd"/>
    </w:p>
    <w:p w14:paraId="19DEBD21" w14:textId="3E34D89E" w:rsidR="00A2641C" w:rsidRDefault="006A2FBD" w:rsidP="00CF1E47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Napriek</w:t>
      </w:r>
      <w:proofErr w:type="spellEnd"/>
      <w:r>
        <w:rPr>
          <w:rFonts w:ascii="Calibri" w:hAnsi="Calibri" w:cs="Calibri"/>
          <w:sz w:val="24"/>
          <w:szCs w:val="24"/>
        </w:rPr>
        <w:t xml:space="preserve"> tomu, že</w:t>
      </w:r>
      <w:r w:rsidR="00A2641C" w:rsidRPr="00A2641C">
        <w:rPr>
          <w:rFonts w:ascii="Calibri" w:hAnsi="Calibri" w:cs="Calibri"/>
          <w:sz w:val="24"/>
          <w:szCs w:val="24"/>
        </w:rPr>
        <w:t xml:space="preserve"> stavebné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spoločnosti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očakávajú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, že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ich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tržby v roku 2025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klesnú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o 0,6 %, v</w:t>
      </w:r>
      <w:r w:rsidR="00576D6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nasledujúcom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roku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teší</w:t>
      </w:r>
      <w:proofErr w:type="spellEnd"/>
      <w:r>
        <w:rPr>
          <w:rFonts w:ascii="Calibri" w:hAnsi="Calibri" w:cs="Calibri"/>
          <w:sz w:val="24"/>
          <w:szCs w:val="24"/>
        </w:rPr>
        <w:t xml:space="preserve"> na </w:t>
      </w:r>
      <w:r w:rsidR="00A2641C" w:rsidRPr="00A2641C">
        <w:rPr>
          <w:rFonts w:ascii="Calibri" w:hAnsi="Calibri" w:cs="Calibri"/>
          <w:sz w:val="24"/>
          <w:szCs w:val="24"/>
        </w:rPr>
        <w:t xml:space="preserve">rast o 2,0 %. Na Slovensku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sa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na roky 2025 a 2026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plánujú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veľké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stavebné projekty,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ktoré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budú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financované z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fondov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EÚ. V rámci </w:t>
      </w:r>
      <w:r w:rsidR="00576D6D">
        <w:rPr>
          <w:rFonts w:ascii="Calibri" w:hAnsi="Calibri" w:cs="Calibri"/>
          <w:sz w:val="24"/>
          <w:szCs w:val="24"/>
        </w:rPr>
        <w:t>P</w:t>
      </w:r>
      <w:r w:rsidR="00A2641C" w:rsidRPr="00A2641C">
        <w:rPr>
          <w:rFonts w:ascii="Calibri" w:hAnsi="Calibri" w:cs="Calibri"/>
          <w:sz w:val="24"/>
          <w:szCs w:val="24"/>
        </w:rPr>
        <w:t xml:space="preserve">rogramu Slovensko 2021 - 2027, z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ktorého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sa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budú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financovať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projekty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zamerané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dopravnú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infraštruktúru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modernizáciu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železníc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, výstavbu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diaľnic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a projekty na podporu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inteligentných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miest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regiónov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sa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očakáva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investícia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celkovej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výške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až 12,6 mld.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Ich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realizácia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môže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najbližších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rokoch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prispieť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k rastu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tržieb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stavebných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spoločností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. To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sa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však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netýka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stavebných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firiem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ktoré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čelia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neistotám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súvisiacim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s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trhom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nehnuteľností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a nižším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objemom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641C" w:rsidRPr="00A2641C">
        <w:rPr>
          <w:rFonts w:ascii="Calibri" w:hAnsi="Calibri" w:cs="Calibri"/>
          <w:sz w:val="24"/>
          <w:szCs w:val="24"/>
        </w:rPr>
        <w:t>zákaziek</w:t>
      </w:r>
      <w:proofErr w:type="spellEnd"/>
      <w:r w:rsidR="00A2641C" w:rsidRPr="00A2641C">
        <w:rPr>
          <w:rFonts w:ascii="Calibri" w:hAnsi="Calibri" w:cs="Calibri"/>
          <w:sz w:val="24"/>
          <w:szCs w:val="24"/>
        </w:rPr>
        <w:t>.</w:t>
      </w:r>
    </w:p>
    <w:p w14:paraId="0C10A595" w14:textId="77777777" w:rsidR="00BF466E" w:rsidRPr="00BF466E" w:rsidRDefault="00BF466E" w:rsidP="00BF466E">
      <w:pPr>
        <w:spacing w:line="276" w:lineRule="auto"/>
        <w:rPr>
          <w:rFonts w:ascii="Calibri" w:hAnsi="Calibri" w:cs="Calibri"/>
          <w:b/>
          <w:bCs/>
          <w:sz w:val="24"/>
          <w:szCs w:val="24"/>
          <w:lang w:val="sk-SK"/>
        </w:rPr>
      </w:pPr>
      <w:r w:rsidRPr="00BF466E">
        <w:rPr>
          <w:rFonts w:ascii="Calibri" w:hAnsi="Calibri" w:cs="Calibri"/>
          <w:b/>
          <w:bCs/>
          <w:sz w:val="24"/>
          <w:szCs w:val="24"/>
          <w:lang w:val="sk-SK"/>
        </w:rPr>
        <w:t> </w:t>
      </w:r>
    </w:p>
    <w:p w14:paraId="46C3E96C" w14:textId="386E7ED4" w:rsidR="00B7454D" w:rsidRPr="00371969" w:rsidRDefault="006753FC" w:rsidP="006252DA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753FC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02045E6A" wp14:editId="247AD93B">
            <wp:extent cx="4686706" cy="3490262"/>
            <wp:effectExtent l="0" t="0" r="0" b="0"/>
            <wp:docPr id="297197782" name="Obrázek 1" descr="Obsah obrázku text, snímek obrazovky, Písmo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97782" name="Obrázek 1" descr="Obsah obrázku text, snímek obrazovky, Písmo, diagram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706" cy="349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A310C" w14:textId="77777777" w:rsidR="007A50B5" w:rsidRPr="007A50B5" w:rsidRDefault="007A50B5" w:rsidP="007A50B5">
      <w:pPr>
        <w:rPr>
          <w:rFonts w:ascii="Calibri" w:hAnsi="Calibri" w:cs="Calibri"/>
          <w:sz w:val="24"/>
          <w:szCs w:val="24"/>
        </w:rPr>
      </w:pPr>
      <w:r w:rsidRPr="007A50B5">
        <w:rPr>
          <w:rFonts w:ascii="Calibri" w:hAnsi="Calibri" w:cs="Calibri"/>
          <w:sz w:val="24"/>
          <w:szCs w:val="24"/>
        </w:rPr>
        <w:t xml:space="preserve">V </w:t>
      </w:r>
      <w:proofErr w:type="spellStart"/>
      <w:r w:rsidRPr="007A50B5">
        <w:rPr>
          <w:rFonts w:ascii="Calibri" w:hAnsi="Calibri" w:cs="Calibri"/>
          <w:sz w:val="24"/>
          <w:szCs w:val="24"/>
        </w:rPr>
        <w:t>prípade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53 % </w:t>
      </w:r>
      <w:proofErr w:type="spellStart"/>
      <w:r w:rsidRPr="007A50B5">
        <w:rPr>
          <w:rFonts w:ascii="Calibri" w:hAnsi="Calibri" w:cs="Calibri"/>
          <w:sz w:val="24"/>
          <w:szCs w:val="24"/>
        </w:rPr>
        <w:t>opýtaných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spoločností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počet </w:t>
      </w:r>
      <w:proofErr w:type="spellStart"/>
      <w:r w:rsidRPr="007A50B5">
        <w:rPr>
          <w:rFonts w:ascii="Calibri" w:hAnsi="Calibri" w:cs="Calibri"/>
          <w:sz w:val="24"/>
          <w:szCs w:val="24"/>
        </w:rPr>
        <w:t>objednávok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medziročne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klesol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. Stavebné firmy </w:t>
      </w:r>
      <w:proofErr w:type="spellStart"/>
      <w:r w:rsidRPr="007A50B5">
        <w:rPr>
          <w:rFonts w:ascii="Calibri" w:hAnsi="Calibri" w:cs="Calibri"/>
          <w:sz w:val="24"/>
          <w:szCs w:val="24"/>
        </w:rPr>
        <w:t>majú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Pr="007A50B5">
        <w:rPr>
          <w:rFonts w:ascii="Calibri" w:hAnsi="Calibri" w:cs="Calibri"/>
          <w:sz w:val="24"/>
          <w:szCs w:val="24"/>
        </w:rPr>
        <w:t>priemere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zákazky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 xml:space="preserve"> na 8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mesiacov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dopredu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Na Slovensku bol v roku 2023 zaznamenaný pokles počtu stavebných </w:t>
      </w:r>
      <w:proofErr w:type="spellStart"/>
      <w:r w:rsidRPr="007A50B5">
        <w:rPr>
          <w:rFonts w:ascii="Calibri" w:hAnsi="Calibri" w:cs="Calibri"/>
          <w:sz w:val="24"/>
          <w:szCs w:val="24"/>
        </w:rPr>
        <w:t>zákaziek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A50B5">
        <w:rPr>
          <w:rFonts w:ascii="Calibri" w:hAnsi="Calibri" w:cs="Calibri"/>
          <w:sz w:val="24"/>
          <w:szCs w:val="24"/>
        </w:rPr>
        <w:t>ktorý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sa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dotkol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prakticky </w:t>
      </w:r>
      <w:proofErr w:type="spellStart"/>
      <w:r w:rsidRPr="007A50B5">
        <w:rPr>
          <w:rFonts w:ascii="Calibri" w:hAnsi="Calibri" w:cs="Calibri"/>
          <w:sz w:val="24"/>
          <w:szCs w:val="24"/>
        </w:rPr>
        <w:t>všetkých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oblastí </w:t>
      </w:r>
      <w:proofErr w:type="spellStart"/>
      <w:r w:rsidRPr="007A50B5">
        <w:rPr>
          <w:rFonts w:ascii="Calibri" w:hAnsi="Calibri" w:cs="Calibri"/>
          <w:sz w:val="24"/>
          <w:szCs w:val="24"/>
        </w:rPr>
        <w:t>stavebníctva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A50B5">
        <w:rPr>
          <w:rFonts w:ascii="Calibri" w:hAnsi="Calibri" w:cs="Calibri"/>
          <w:sz w:val="24"/>
          <w:szCs w:val="24"/>
        </w:rPr>
        <w:t>Hlavným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dôvodom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je vysoká </w:t>
      </w:r>
      <w:proofErr w:type="spellStart"/>
      <w:r w:rsidRPr="007A50B5">
        <w:rPr>
          <w:rFonts w:ascii="Calibri" w:hAnsi="Calibri" w:cs="Calibri"/>
          <w:sz w:val="24"/>
          <w:szCs w:val="24"/>
        </w:rPr>
        <w:t>inflácia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7A50B5">
        <w:rPr>
          <w:rFonts w:ascii="Calibri" w:hAnsi="Calibri" w:cs="Calibri"/>
          <w:sz w:val="24"/>
          <w:szCs w:val="24"/>
        </w:rPr>
        <w:t>rastúce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ceny stavebných </w:t>
      </w:r>
      <w:proofErr w:type="spellStart"/>
      <w:r w:rsidRPr="007A50B5">
        <w:rPr>
          <w:rFonts w:ascii="Calibri" w:hAnsi="Calibri" w:cs="Calibri"/>
          <w:sz w:val="24"/>
          <w:szCs w:val="24"/>
        </w:rPr>
        <w:t>materiálov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A50B5">
        <w:rPr>
          <w:rFonts w:ascii="Calibri" w:hAnsi="Calibri" w:cs="Calibri"/>
          <w:sz w:val="24"/>
          <w:szCs w:val="24"/>
        </w:rPr>
        <w:t>ktoré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zvyšujú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náklady na </w:t>
      </w:r>
      <w:proofErr w:type="spellStart"/>
      <w:r w:rsidRPr="007A50B5">
        <w:rPr>
          <w:rFonts w:ascii="Calibri" w:hAnsi="Calibri" w:cs="Calibri"/>
          <w:sz w:val="24"/>
          <w:szCs w:val="24"/>
        </w:rPr>
        <w:t>realizáciu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projektov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. Tento </w:t>
      </w:r>
      <w:proofErr w:type="spellStart"/>
      <w:r w:rsidRPr="007A50B5">
        <w:rPr>
          <w:rFonts w:ascii="Calibri" w:hAnsi="Calibri" w:cs="Calibri"/>
          <w:sz w:val="24"/>
          <w:szCs w:val="24"/>
        </w:rPr>
        <w:t>negatívny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trend pokračoval aj </w:t>
      </w:r>
      <w:proofErr w:type="spellStart"/>
      <w:r w:rsidRPr="007A50B5">
        <w:rPr>
          <w:rFonts w:ascii="Calibri" w:hAnsi="Calibri" w:cs="Calibri"/>
          <w:sz w:val="24"/>
          <w:szCs w:val="24"/>
        </w:rPr>
        <w:t>napriek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tomu, že hodnota povolených </w:t>
      </w:r>
      <w:proofErr w:type="spellStart"/>
      <w:r w:rsidRPr="007A50B5">
        <w:rPr>
          <w:rFonts w:ascii="Calibri" w:hAnsi="Calibri" w:cs="Calibri"/>
          <w:sz w:val="24"/>
          <w:szCs w:val="24"/>
        </w:rPr>
        <w:t>stavieb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mierne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vzrástla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, ale ani to nekompenzuje nižší počet </w:t>
      </w:r>
      <w:proofErr w:type="spellStart"/>
      <w:r w:rsidRPr="007A50B5">
        <w:rPr>
          <w:rFonts w:ascii="Calibri" w:hAnsi="Calibri" w:cs="Calibri"/>
          <w:sz w:val="24"/>
          <w:szCs w:val="24"/>
        </w:rPr>
        <w:t>reálnych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projektov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A50B5">
        <w:rPr>
          <w:rFonts w:ascii="Calibri" w:hAnsi="Calibri" w:cs="Calibri"/>
          <w:sz w:val="24"/>
          <w:szCs w:val="24"/>
        </w:rPr>
        <w:t>Medzi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ďalšie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príčiny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patrí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administratívna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náročnosť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verejného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obstarávania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a problémy s </w:t>
      </w:r>
      <w:proofErr w:type="spellStart"/>
      <w:r w:rsidRPr="007A50B5">
        <w:rPr>
          <w:rFonts w:ascii="Calibri" w:hAnsi="Calibri" w:cs="Calibri"/>
          <w:sz w:val="24"/>
          <w:szCs w:val="24"/>
        </w:rPr>
        <w:t>dostupnosťou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pracovnej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sily.</w:t>
      </w:r>
    </w:p>
    <w:p w14:paraId="172BBE0D" w14:textId="7AAFBC58" w:rsidR="007A50B5" w:rsidRPr="007A50B5" w:rsidRDefault="007A50B5" w:rsidP="007A50B5">
      <w:pPr>
        <w:rPr>
          <w:rFonts w:ascii="Calibri" w:hAnsi="Calibri" w:cs="Calibri"/>
          <w:sz w:val="24"/>
          <w:szCs w:val="24"/>
        </w:rPr>
      </w:pPr>
      <w:r w:rsidRPr="007A50B5">
        <w:rPr>
          <w:rFonts w:ascii="Calibri" w:hAnsi="Calibri" w:cs="Calibri"/>
          <w:sz w:val="24"/>
          <w:szCs w:val="24"/>
        </w:rPr>
        <w:t xml:space="preserve">Kapacity stavebných </w:t>
      </w:r>
      <w:proofErr w:type="spellStart"/>
      <w:r w:rsidRPr="007A50B5">
        <w:rPr>
          <w:rFonts w:ascii="Calibri" w:hAnsi="Calibri" w:cs="Calibri"/>
          <w:sz w:val="24"/>
          <w:szCs w:val="24"/>
        </w:rPr>
        <w:t>firiem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sú </w:t>
      </w:r>
      <w:proofErr w:type="spellStart"/>
      <w:r w:rsidRPr="007A50B5">
        <w:rPr>
          <w:rFonts w:ascii="Calibri" w:hAnsi="Calibri" w:cs="Calibri"/>
          <w:sz w:val="24"/>
          <w:szCs w:val="24"/>
        </w:rPr>
        <w:t>tradične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takmer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7A50B5">
        <w:rPr>
          <w:rFonts w:ascii="Calibri" w:hAnsi="Calibri" w:cs="Calibri"/>
          <w:sz w:val="24"/>
          <w:szCs w:val="24"/>
        </w:rPr>
        <w:t>maxime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svojich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možností. Stavebný sektor </w:t>
      </w:r>
      <w:proofErr w:type="spellStart"/>
      <w:r w:rsidRPr="007A50B5">
        <w:rPr>
          <w:rFonts w:ascii="Calibri" w:hAnsi="Calibri" w:cs="Calibri"/>
          <w:sz w:val="24"/>
          <w:szCs w:val="24"/>
        </w:rPr>
        <w:t>zostáva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jedným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7A50B5">
        <w:rPr>
          <w:rFonts w:ascii="Calibri" w:hAnsi="Calibri" w:cs="Calibri"/>
          <w:sz w:val="24"/>
          <w:szCs w:val="24"/>
        </w:rPr>
        <w:t>najvyťaženejších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Pr="007A50B5">
        <w:rPr>
          <w:rFonts w:ascii="Calibri" w:hAnsi="Calibri" w:cs="Calibri"/>
          <w:sz w:val="24"/>
          <w:szCs w:val="24"/>
        </w:rPr>
        <w:t>krajine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A50B5">
        <w:rPr>
          <w:rFonts w:ascii="Calibri" w:hAnsi="Calibri" w:cs="Calibri"/>
          <w:sz w:val="24"/>
          <w:szCs w:val="24"/>
        </w:rPr>
        <w:t>čo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naznačuje silný </w:t>
      </w:r>
      <w:proofErr w:type="spellStart"/>
      <w:r w:rsidRPr="007A50B5">
        <w:rPr>
          <w:rFonts w:ascii="Calibri" w:hAnsi="Calibri" w:cs="Calibri"/>
          <w:sz w:val="24"/>
          <w:szCs w:val="24"/>
        </w:rPr>
        <w:t>dopyt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po stavebných </w:t>
      </w:r>
      <w:proofErr w:type="spellStart"/>
      <w:r w:rsidRPr="007A50B5">
        <w:rPr>
          <w:rFonts w:ascii="Calibri" w:hAnsi="Calibri" w:cs="Calibri"/>
          <w:sz w:val="24"/>
          <w:szCs w:val="24"/>
        </w:rPr>
        <w:t>prácach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, </w:t>
      </w:r>
      <w:r w:rsidRPr="007A50B5">
        <w:rPr>
          <w:rFonts w:ascii="Calibri" w:hAnsi="Calibri" w:cs="Calibri"/>
          <w:sz w:val="24"/>
          <w:szCs w:val="24"/>
        </w:rPr>
        <w:lastRenderedPageBreak/>
        <w:t xml:space="preserve">a to aj </w:t>
      </w:r>
      <w:proofErr w:type="spellStart"/>
      <w:r w:rsidRPr="007A50B5">
        <w:rPr>
          <w:rFonts w:ascii="Calibri" w:hAnsi="Calibri" w:cs="Calibri"/>
          <w:sz w:val="24"/>
          <w:szCs w:val="24"/>
        </w:rPr>
        <w:t>napriek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problémom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s </w:t>
      </w:r>
      <w:proofErr w:type="spellStart"/>
      <w:r w:rsidRPr="007A50B5">
        <w:rPr>
          <w:rFonts w:ascii="Calibri" w:hAnsi="Calibri" w:cs="Calibri"/>
          <w:sz w:val="24"/>
          <w:szCs w:val="24"/>
        </w:rPr>
        <w:t>infláciou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7A50B5">
        <w:rPr>
          <w:rFonts w:ascii="Calibri" w:hAnsi="Calibri" w:cs="Calibri"/>
          <w:sz w:val="24"/>
          <w:szCs w:val="24"/>
        </w:rPr>
        <w:t>rastúcimi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cenami </w:t>
      </w:r>
      <w:proofErr w:type="spellStart"/>
      <w:r w:rsidRPr="007A50B5">
        <w:rPr>
          <w:rFonts w:ascii="Calibri" w:hAnsi="Calibri" w:cs="Calibri"/>
          <w:sz w:val="24"/>
          <w:szCs w:val="24"/>
        </w:rPr>
        <w:t>materiálov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. </w:t>
      </w:r>
      <w:r w:rsidRPr="007A50B5">
        <w:rPr>
          <w:rFonts w:ascii="Calibri" w:hAnsi="Calibri" w:cs="Calibri"/>
          <w:b/>
          <w:bCs/>
          <w:sz w:val="24"/>
          <w:szCs w:val="24"/>
        </w:rPr>
        <w:t xml:space="preserve">Kapacita stavebných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spoločností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 xml:space="preserve"> je využitá na 88 %.</w:t>
      </w:r>
      <w:r w:rsidRPr="007A50B5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Pr="007A50B5">
        <w:rPr>
          <w:rFonts w:ascii="Calibri" w:hAnsi="Calibri" w:cs="Calibri"/>
          <w:sz w:val="24"/>
          <w:szCs w:val="24"/>
        </w:rPr>
        <w:t>prvej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polovici roka 2025 stavebné </w:t>
      </w:r>
      <w:proofErr w:type="spellStart"/>
      <w:r w:rsidRPr="007A50B5">
        <w:rPr>
          <w:rFonts w:ascii="Calibri" w:hAnsi="Calibri" w:cs="Calibri"/>
          <w:sz w:val="24"/>
          <w:szCs w:val="24"/>
        </w:rPr>
        <w:t>spoločnosti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očakávajú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využitie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kapacity na 85 %. Vysoký </w:t>
      </w:r>
      <w:proofErr w:type="spellStart"/>
      <w:r w:rsidRPr="007A50B5">
        <w:rPr>
          <w:rFonts w:ascii="Calibri" w:hAnsi="Calibri" w:cs="Calibri"/>
          <w:sz w:val="24"/>
          <w:szCs w:val="24"/>
        </w:rPr>
        <w:t>dopyt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po </w:t>
      </w:r>
      <w:proofErr w:type="spellStart"/>
      <w:r w:rsidRPr="007A50B5">
        <w:rPr>
          <w:rFonts w:ascii="Calibri" w:hAnsi="Calibri" w:cs="Calibri"/>
          <w:sz w:val="24"/>
          <w:szCs w:val="24"/>
        </w:rPr>
        <w:t>infraštruktúrnych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7A50B5">
        <w:rPr>
          <w:rFonts w:ascii="Calibri" w:hAnsi="Calibri" w:cs="Calibri"/>
          <w:sz w:val="24"/>
          <w:szCs w:val="24"/>
        </w:rPr>
        <w:t>rezidenčných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projektoch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Pr="007A50B5">
        <w:rPr>
          <w:rFonts w:ascii="Calibri" w:hAnsi="Calibri" w:cs="Calibri"/>
          <w:sz w:val="24"/>
          <w:szCs w:val="24"/>
        </w:rPr>
        <w:t>kombinácii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s </w:t>
      </w:r>
      <w:proofErr w:type="spellStart"/>
      <w:r w:rsidRPr="007A50B5">
        <w:rPr>
          <w:rFonts w:ascii="Calibri" w:hAnsi="Calibri" w:cs="Calibri"/>
          <w:sz w:val="24"/>
          <w:szCs w:val="24"/>
        </w:rPr>
        <w:t>nedostatkom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kvalifikovanej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pracovnej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sily tlačí stavebné firmy na </w:t>
      </w:r>
      <w:proofErr w:type="spellStart"/>
      <w:r w:rsidRPr="007A50B5">
        <w:rPr>
          <w:rFonts w:ascii="Calibri" w:hAnsi="Calibri" w:cs="Calibri"/>
          <w:sz w:val="24"/>
          <w:szCs w:val="24"/>
        </w:rPr>
        <w:t>hranicu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ich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možností.</w:t>
      </w:r>
    </w:p>
    <w:p w14:paraId="0426B006" w14:textId="77777777" w:rsidR="007A50B5" w:rsidRPr="007A50B5" w:rsidRDefault="007A50B5" w:rsidP="007A50B5">
      <w:pPr>
        <w:rPr>
          <w:rFonts w:ascii="Calibri" w:hAnsi="Calibri" w:cs="Calibri"/>
          <w:sz w:val="24"/>
          <w:szCs w:val="24"/>
        </w:rPr>
      </w:pPr>
      <w:r w:rsidRPr="007A50B5">
        <w:rPr>
          <w:rFonts w:ascii="Calibri" w:hAnsi="Calibri" w:cs="Calibri"/>
          <w:sz w:val="24"/>
          <w:szCs w:val="24"/>
        </w:rPr>
        <w:t xml:space="preserve">Až 93 % </w:t>
      </w:r>
      <w:proofErr w:type="spellStart"/>
      <w:r w:rsidRPr="007A50B5">
        <w:rPr>
          <w:rFonts w:ascii="Calibri" w:hAnsi="Calibri" w:cs="Calibri"/>
          <w:sz w:val="24"/>
          <w:szCs w:val="24"/>
        </w:rPr>
        <w:t>respondentov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súhlasí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s </w:t>
      </w:r>
      <w:proofErr w:type="spellStart"/>
      <w:r w:rsidRPr="007A50B5">
        <w:rPr>
          <w:rFonts w:ascii="Calibri" w:hAnsi="Calibri" w:cs="Calibri"/>
          <w:sz w:val="24"/>
          <w:szCs w:val="24"/>
        </w:rPr>
        <w:t>tvrdením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, že </w:t>
      </w:r>
      <w:r w:rsidRPr="007A50B5">
        <w:rPr>
          <w:rFonts w:ascii="Calibri" w:hAnsi="Calibri" w:cs="Calibri"/>
          <w:b/>
          <w:bCs/>
          <w:sz w:val="24"/>
          <w:szCs w:val="24"/>
        </w:rPr>
        <w:t xml:space="preserve">na Slovensku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dlhodobo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nedarí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vytvoriť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kontinuálnu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stratégiu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pri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príprave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 xml:space="preserve"> a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výstavbe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kľúčových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infraštruktúrnych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b/>
          <w:bCs/>
          <w:sz w:val="24"/>
          <w:szCs w:val="24"/>
        </w:rPr>
        <w:t>projektov</w:t>
      </w:r>
      <w:proofErr w:type="spellEnd"/>
      <w:r w:rsidRPr="007A50B5">
        <w:rPr>
          <w:rFonts w:ascii="Calibri" w:hAnsi="Calibri" w:cs="Calibri"/>
          <w:b/>
          <w:bCs/>
          <w:sz w:val="24"/>
          <w:szCs w:val="24"/>
        </w:rPr>
        <w:t>.</w:t>
      </w:r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Najčastejšie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uvádzaným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problémom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je zlá </w:t>
      </w:r>
      <w:proofErr w:type="spellStart"/>
      <w:r w:rsidRPr="007A50B5">
        <w:rPr>
          <w:rFonts w:ascii="Calibri" w:hAnsi="Calibri" w:cs="Calibri"/>
          <w:sz w:val="24"/>
          <w:szCs w:val="24"/>
        </w:rPr>
        <w:t>príprava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(36 %), </w:t>
      </w:r>
      <w:proofErr w:type="spellStart"/>
      <w:r w:rsidRPr="007A50B5">
        <w:rPr>
          <w:rFonts w:ascii="Calibri" w:hAnsi="Calibri" w:cs="Calibri"/>
          <w:sz w:val="24"/>
          <w:szCs w:val="24"/>
        </w:rPr>
        <w:t>ktorá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zahŕňa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problémy s plánovaním a </w:t>
      </w:r>
      <w:proofErr w:type="spellStart"/>
      <w:r w:rsidRPr="007A50B5">
        <w:rPr>
          <w:rFonts w:ascii="Calibri" w:hAnsi="Calibri" w:cs="Calibri"/>
          <w:sz w:val="24"/>
          <w:szCs w:val="24"/>
        </w:rPr>
        <w:t>nedostatočnú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koordináciu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medzi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štátnymi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inštitúciami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7A50B5">
        <w:rPr>
          <w:rFonts w:ascii="Calibri" w:hAnsi="Calibri" w:cs="Calibri"/>
          <w:sz w:val="24"/>
          <w:szCs w:val="24"/>
        </w:rPr>
        <w:t>investormi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A50B5">
        <w:rPr>
          <w:rFonts w:ascii="Calibri" w:hAnsi="Calibri" w:cs="Calibri"/>
          <w:sz w:val="24"/>
          <w:szCs w:val="24"/>
        </w:rPr>
        <w:t>Ďalším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dôvodom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je </w:t>
      </w:r>
      <w:proofErr w:type="spellStart"/>
      <w:r w:rsidRPr="007A50B5">
        <w:rPr>
          <w:rFonts w:ascii="Calibri" w:hAnsi="Calibri" w:cs="Calibri"/>
          <w:sz w:val="24"/>
          <w:szCs w:val="24"/>
        </w:rPr>
        <w:t>nedostatočná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legislatíva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(23 %), </w:t>
      </w:r>
      <w:proofErr w:type="spellStart"/>
      <w:r w:rsidRPr="007A50B5">
        <w:rPr>
          <w:rFonts w:ascii="Calibri" w:hAnsi="Calibri" w:cs="Calibri"/>
          <w:sz w:val="24"/>
          <w:szCs w:val="24"/>
        </w:rPr>
        <w:t>ktorá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podľa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respondentov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komplikuje a zdržuje </w:t>
      </w:r>
      <w:proofErr w:type="spellStart"/>
      <w:r w:rsidRPr="007A50B5">
        <w:rPr>
          <w:rFonts w:ascii="Calibri" w:hAnsi="Calibri" w:cs="Calibri"/>
          <w:sz w:val="24"/>
          <w:szCs w:val="24"/>
        </w:rPr>
        <w:t>schvaľovanie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projektov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. V praxi </w:t>
      </w:r>
      <w:proofErr w:type="spellStart"/>
      <w:r w:rsidRPr="007A50B5">
        <w:rPr>
          <w:rFonts w:ascii="Calibri" w:hAnsi="Calibri" w:cs="Calibri"/>
          <w:sz w:val="24"/>
          <w:szCs w:val="24"/>
        </w:rPr>
        <w:t>sa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tieto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problémy </w:t>
      </w:r>
      <w:proofErr w:type="spellStart"/>
      <w:r w:rsidRPr="007A50B5">
        <w:rPr>
          <w:rFonts w:ascii="Calibri" w:hAnsi="Calibri" w:cs="Calibri"/>
          <w:sz w:val="24"/>
          <w:szCs w:val="24"/>
        </w:rPr>
        <w:t>prejavujú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najmä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pri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projektoch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A50B5">
        <w:rPr>
          <w:rFonts w:ascii="Calibri" w:hAnsi="Calibri" w:cs="Calibri"/>
          <w:sz w:val="24"/>
          <w:szCs w:val="24"/>
        </w:rPr>
        <w:t>ako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je výstavba </w:t>
      </w:r>
      <w:proofErr w:type="spellStart"/>
      <w:r w:rsidRPr="007A50B5">
        <w:rPr>
          <w:rFonts w:ascii="Calibri" w:hAnsi="Calibri" w:cs="Calibri"/>
          <w:sz w:val="24"/>
          <w:szCs w:val="24"/>
        </w:rPr>
        <w:t>diaľnic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7A50B5">
        <w:rPr>
          <w:rFonts w:ascii="Calibri" w:hAnsi="Calibri" w:cs="Calibri"/>
          <w:sz w:val="24"/>
          <w:szCs w:val="24"/>
        </w:rPr>
        <w:t>modernizácia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železníc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A50B5">
        <w:rPr>
          <w:rFonts w:ascii="Calibri" w:hAnsi="Calibri" w:cs="Calibri"/>
          <w:sz w:val="24"/>
          <w:szCs w:val="24"/>
        </w:rPr>
        <w:t>Napríklad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výstavba </w:t>
      </w:r>
      <w:proofErr w:type="spellStart"/>
      <w:r w:rsidRPr="007A50B5">
        <w:rPr>
          <w:rFonts w:ascii="Calibri" w:hAnsi="Calibri" w:cs="Calibri"/>
          <w:sz w:val="24"/>
          <w:szCs w:val="24"/>
        </w:rPr>
        <w:t>úsekov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diaľnice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D1 </w:t>
      </w:r>
      <w:proofErr w:type="spellStart"/>
      <w:r w:rsidRPr="007A50B5">
        <w:rPr>
          <w:rFonts w:ascii="Calibri" w:hAnsi="Calibri" w:cs="Calibri"/>
          <w:sz w:val="24"/>
          <w:szCs w:val="24"/>
        </w:rPr>
        <w:t>sa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opakovane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oneskorila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kvôli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problémom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pri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získavaní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stavebných povolení. </w:t>
      </w:r>
      <w:proofErr w:type="spellStart"/>
      <w:r w:rsidRPr="007A50B5">
        <w:rPr>
          <w:rFonts w:ascii="Calibri" w:hAnsi="Calibri" w:cs="Calibri"/>
          <w:sz w:val="24"/>
          <w:szCs w:val="24"/>
        </w:rPr>
        <w:t>Spoločnosti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zapojené do </w:t>
      </w:r>
      <w:proofErr w:type="spellStart"/>
      <w:r w:rsidRPr="007A50B5">
        <w:rPr>
          <w:rFonts w:ascii="Calibri" w:hAnsi="Calibri" w:cs="Calibri"/>
          <w:sz w:val="24"/>
          <w:szCs w:val="24"/>
        </w:rPr>
        <w:t>týchto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projektov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sa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často </w:t>
      </w:r>
      <w:proofErr w:type="spellStart"/>
      <w:r w:rsidRPr="007A50B5">
        <w:rPr>
          <w:rFonts w:ascii="Calibri" w:hAnsi="Calibri" w:cs="Calibri"/>
          <w:sz w:val="24"/>
          <w:szCs w:val="24"/>
        </w:rPr>
        <w:t>stretávajú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so </w:t>
      </w:r>
      <w:proofErr w:type="spellStart"/>
      <w:r w:rsidRPr="007A50B5">
        <w:rPr>
          <w:rFonts w:ascii="Calibri" w:hAnsi="Calibri" w:cs="Calibri"/>
          <w:sz w:val="24"/>
          <w:szCs w:val="24"/>
        </w:rPr>
        <w:t>zložitou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administratívou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7A50B5">
        <w:rPr>
          <w:rFonts w:ascii="Calibri" w:hAnsi="Calibri" w:cs="Calibri"/>
          <w:sz w:val="24"/>
          <w:szCs w:val="24"/>
        </w:rPr>
        <w:t>dlhým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časom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schvaľovania</w:t>
      </w:r>
      <w:proofErr w:type="spellEnd"/>
      <w:r w:rsidRPr="007A50B5">
        <w:rPr>
          <w:rFonts w:ascii="Calibri" w:hAnsi="Calibri" w:cs="Calibri"/>
          <w:sz w:val="24"/>
          <w:szCs w:val="24"/>
        </w:rPr>
        <w:t>.</w:t>
      </w:r>
    </w:p>
    <w:p w14:paraId="3960DC48" w14:textId="365DE4F5" w:rsidR="005F4FBF" w:rsidRPr="0050406C" w:rsidRDefault="007A50B5" w:rsidP="006252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7A50B5">
        <w:rPr>
          <w:rFonts w:ascii="Calibri" w:hAnsi="Calibri" w:cs="Calibri"/>
          <w:sz w:val="24"/>
          <w:szCs w:val="24"/>
        </w:rPr>
        <w:t xml:space="preserve">Uvedené údaje </w:t>
      </w:r>
      <w:proofErr w:type="spellStart"/>
      <w:r w:rsidRPr="007A50B5">
        <w:rPr>
          <w:rFonts w:ascii="Calibri" w:hAnsi="Calibri" w:cs="Calibri"/>
          <w:sz w:val="24"/>
          <w:szCs w:val="24"/>
        </w:rPr>
        <w:t>vyplývajúce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7A50B5">
        <w:rPr>
          <w:rFonts w:ascii="Calibri" w:hAnsi="Calibri" w:cs="Calibri"/>
          <w:sz w:val="24"/>
          <w:szCs w:val="24"/>
        </w:rPr>
        <w:t>prieskumu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7A50B5">
        <w:rPr>
          <w:rFonts w:ascii="Calibri" w:hAnsi="Calibri" w:cs="Calibri"/>
          <w:sz w:val="24"/>
          <w:szCs w:val="24"/>
        </w:rPr>
        <w:t>pripomienky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odborníkov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k </w:t>
      </w:r>
      <w:proofErr w:type="spellStart"/>
      <w:r w:rsidRPr="007A50B5">
        <w:rPr>
          <w:rFonts w:ascii="Calibri" w:hAnsi="Calibri" w:cs="Calibri"/>
          <w:sz w:val="24"/>
          <w:szCs w:val="24"/>
        </w:rPr>
        <w:t>situácii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Pr="007A50B5">
        <w:rPr>
          <w:rFonts w:ascii="Calibri" w:hAnsi="Calibri" w:cs="Calibri"/>
          <w:sz w:val="24"/>
          <w:szCs w:val="24"/>
        </w:rPr>
        <w:t>stavebníctve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50B5">
        <w:rPr>
          <w:rFonts w:ascii="Calibri" w:hAnsi="Calibri" w:cs="Calibri"/>
          <w:sz w:val="24"/>
          <w:szCs w:val="24"/>
        </w:rPr>
        <w:t>zhrnul</w:t>
      </w:r>
      <w:proofErr w:type="spellEnd"/>
      <w:r w:rsidRPr="007A50B5">
        <w:rPr>
          <w:rFonts w:ascii="Calibri" w:hAnsi="Calibri" w:cs="Calibri"/>
          <w:sz w:val="24"/>
          <w:szCs w:val="24"/>
        </w:rPr>
        <w:t xml:space="preserve"> </w:t>
      </w:r>
      <w:r w:rsidR="00C8310F" w:rsidRPr="00C8310F">
        <w:rPr>
          <w:rFonts w:ascii="Calibri" w:hAnsi="Calibri" w:cs="Calibri"/>
          <w:b/>
          <w:bCs/>
          <w:sz w:val="24"/>
          <w:szCs w:val="24"/>
        </w:rPr>
        <w:t>č</w:t>
      </w:r>
      <w:r w:rsidR="0002645B" w:rsidRPr="00675877">
        <w:rPr>
          <w:rFonts w:ascii="Calibri" w:hAnsi="Calibri" w:cs="Calibri"/>
          <w:b/>
          <w:bCs/>
          <w:sz w:val="24"/>
          <w:szCs w:val="24"/>
        </w:rPr>
        <w:t xml:space="preserve">len </w:t>
      </w:r>
      <w:proofErr w:type="spellStart"/>
      <w:r w:rsidR="0002645B" w:rsidRPr="00675877">
        <w:rPr>
          <w:rFonts w:ascii="Calibri" w:hAnsi="Calibri" w:cs="Calibri"/>
          <w:b/>
          <w:bCs/>
          <w:sz w:val="24"/>
          <w:szCs w:val="24"/>
        </w:rPr>
        <w:t>predstavenstva</w:t>
      </w:r>
      <w:proofErr w:type="spellEnd"/>
      <w:r w:rsidR="0002645B" w:rsidRPr="00675877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02645B" w:rsidRPr="00675877">
        <w:rPr>
          <w:rFonts w:ascii="Calibri" w:hAnsi="Calibri" w:cs="Calibri"/>
          <w:b/>
          <w:bCs/>
          <w:sz w:val="24"/>
          <w:szCs w:val="24"/>
        </w:rPr>
        <w:t>a obchodný</w:t>
      </w:r>
      <w:r w:rsidR="00240A4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240A46" w:rsidRPr="00240A46">
        <w:rPr>
          <w:rFonts w:ascii="Calibri" w:hAnsi="Calibri" w:cs="Calibri"/>
          <w:b/>
          <w:bCs/>
          <w:sz w:val="24"/>
          <w:szCs w:val="24"/>
        </w:rPr>
        <w:t>riaditeľ</w:t>
      </w:r>
      <w:proofErr w:type="spellEnd"/>
      <w:r w:rsidR="0002645B" w:rsidRPr="00675877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02645B" w:rsidRPr="00675877">
        <w:rPr>
          <w:rFonts w:ascii="Calibri" w:hAnsi="Calibri" w:cs="Calibri"/>
          <w:b/>
          <w:bCs/>
          <w:sz w:val="24"/>
          <w:szCs w:val="24"/>
        </w:rPr>
        <w:t>spoločnosti</w:t>
      </w:r>
      <w:proofErr w:type="spellEnd"/>
      <w:r w:rsidR="0002645B" w:rsidRPr="00675877">
        <w:rPr>
          <w:rFonts w:ascii="Calibri" w:hAnsi="Calibri" w:cs="Calibri"/>
          <w:b/>
          <w:bCs/>
          <w:sz w:val="24"/>
          <w:szCs w:val="24"/>
        </w:rPr>
        <w:t xml:space="preserve"> Považská </w:t>
      </w:r>
      <w:proofErr w:type="spellStart"/>
      <w:r w:rsidR="0002645B" w:rsidRPr="00675877">
        <w:rPr>
          <w:rFonts w:ascii="Calibri" w:hAnsi="Calibri" w:cs="Calibri"/>
          <w:b/>
          <w:bCs/>
          <w:sz w:val="24"/>
          <w:szCs w:val="24"/>
        </w:rPr>
        <w:t>cementáreň</w:t>
      </w:r>
      <w:proofErr w:type="spellEnd"/>
      <w:r w:rsidR="0002645B" w:rsidRPr="00675877">
        <w:rPr>
          <w:rFonts w:ascii="Calibri" w:hAnsi="Calibri" w:cs="Calibri"/>
          <w:b/>
          <w:bCs/>
          <w:sz w:val="24"/>
          <w:szCs w:val="24"/>
        </w:rPr>
        <w:t xml:space="preserve"> Peter Hort</w:t>
      </w:r>
      <w:r w:rsidR="005F4FBF">
        <w:rPr>
          <w:rFonts w:ascii="Calibri" w:hAnsi="Calibri" w:cs="Calibri"/>
          <w:sz w:val="24"/>
          <w:szCs w:val="24"/>
        </w:rPr>
        <w:t>:</w:t>
      </w:r>
      <w:r w:rsidR="0050406C">
        <w:rPr>
          <w:rFonts w:ascii="Calibri" w:hAnsi="Calibri" w:cs="Calibri"/>
          <w:sz w:val="24"/>
          <w:szCs w:val="24"/>
        </w:rPr>
        <w:t xml:space="preserve"> </w:t>
      </w:r>
      <w:r w:rsidR="005F4FBF" w:rsidRPr="007F28C1">
        <w:rPr>
          <w:rFonts w:ascii="Calibri" w:hAnsi="Calibri" w:cs="Calibri"/>
          <w:i/>
          <w:iCs/>
          <w:sz w:val="24"/>
          <w:szCs w:val="24"/>
        </w:rPr>
        <w:t>„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Vzhľadom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na avizované nové projekty,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ktoré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by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sa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mali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začať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realizovať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v roku 2025,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očakávam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stabilizáciu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sektora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stavebníctva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. Je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potrebné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skvalitniť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a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zrýchliť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prípravnú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fázu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nových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projektov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tak, aby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sa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nezmyselne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nepredlžoval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výber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zhotoviteľa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. Z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pohľadu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verejných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zadávateľov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bude mať na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stavebníctvo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zásadný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vplyv stav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pripravenosti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tzv. „strategických“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projektov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.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Verím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však, že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sa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podarí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postupne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dotiahnuť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prípravu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a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stavbári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na Slovensku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budú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mať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čo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F4FBF" w:rsidRPr="007F28C1">
        <w:rPr>
          <w:rFonts w:ascii="Calibri" w:hAnsi="Calibri" w:cs="Calibri"/>
          <w:i/>
          <w:iCs/>
          <w:sz w:val="24"/>
          <w:szCs w:val="24"/>
        </w:rPr>
        <w:t>robiť</w:t>
      </w:r>
      <w:proofErr w:type="spellEnd"/>
      <w:r w:rsidR="005F4FBF" w:rsidRPr="007F28C1">
        <w:rPr>
          <w:rFonts w:ascii="Calibri" w:hAnsi="Calibri" w:cs="Calibri"/>
          <w:i/>
          <w:iCs/>
          <w:sz w:val="24"/>
          <w:szCs w:val="24"/>
        </w:rPr>
        <w:t>.“</w:t>
      </w:r>
    </w:p>
    <w:p w14:paraId="452DFCBD" w14:textId="77777777" w:rsidR="006252DA" w:rsidRPr="007F28C1" w:rsidRDefault="006252DA" w:rsidP="006825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6DB0D15E" w14:textId="5C5E11E3" w:rsidR="00730A56" w:rsidRPr="00730A56" w:rsidRDefault="00730A56" w:rsidP="00730A56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730A56">
        <w:rPr>
          <w:rFonts w:ascii="Calibri" w:hAnsi="Calibri" w:cs="Calibri"/>
          <w:b/>
          <w:bCs/>
          <w:sz w:val="24"/>
          <w:szCs w:val="24"/>
        </w:rPr>
        <w:t xml:space="preserve">Údaje </w:t>
      </w:r>
      <w:proofErr w:type="spellStart"/>
      <w:r w:rsidRPr="00730A56">
        <w:rPr>
          <w:rFonts w:ascii="Calibri" w:hAnsi="Calibri" w:cs="Calibri"/>
          <w:b/>
          <w:bCs/>
          <w:sz w:val="24"/>
          <w:szCs w:val="24"/>
        </w:rPr>
        <w:t>vychádzajú</w:t>
      </w:r>
      <w:proofErr w:type="spellEnd"/>
      <w:r w:rsidRPr="00730A56">
        <w:rPr>
          <w:rFonts w:ascii="Calibri" w:hAnsi="Calibri" w:cs="Calibri"/>
          <w:b/>
          <w:bCs/>
          <w:sz w:val="24"/>
          <w:szCs w:val="24"/>
        </w:rPr>
        <w:t xml:space="preserve"> z</w:t>
      </w:r>
      <w:r w:rsidR="0005503A">
        <w:rPr>
          <w:rFonts w:ascii="Calibri" w:hAnsi="Calibri" w:cs="Calibri"/>
          <w:b/>
          <w:bCs/>
          <w:sz w:val="24"/>
          <w:szCs w:val="24"/>
        </w:rPr>
        <w:t> </w:t>
      </w:r>
      <w:proofErr w:type="spellStart"/>
      <w:r w:rsidR="0005503A">
        <w:rPr>
          <w:rFonts w:ascii="Calibri" w:hAnsi="Calibri" w:cs="Calibri"/>
          <w:b/>
          <w:bCs/>
          <w:sz w:val="24"/>
          <w:szCs w:val="24"/>
        </w:rPr>
        <w:t>Po</w:t>
      </w:r>
      <w:r w:rsidR="0093448C" w:rsidRPr="00240A46">
        <w:rPr>
          <w:rFonts w:ascii="Calibri" w:hAnsi="Calibri" w:cs="Calibri"/>
          <w:b/>
          <w:bCs/>
          <w:sz w:val="24"/>
          <w:szCs w:val="24"/>
        </w:rPr>
        <w:t>ľ</w:t>
      </w:r>
      <w:r w:rsidR="0005503A">
        <w:rPr>
          <w:rFonts w:ascii="Calibri" w:hAnsi="Calibri" w:cs="Calibri"/>
          <w:b/>
          <w:bCs/>
          <w:sz w:val="24"/>
          <w:szCs w:val="24"/>
        </w:rPr>
        <w:t>ročnej</w:t>
      </w:r>
      <w:proofErr w:type="spellEnd"/>
      <w:r w:rsidRPr="00730A56">
        <w:rPr>
          <w:rFonts w:ascii="Calibri" w:hAnsi="Calibri" w:cs="Calibri"/>
          <w:b/>
          <w:bCs/>
          <w:sz w:val="24"/>
          <w:szCs w:val="24"/>
        </w:rPr>
        <w:t xml:space="preserve"> analýzy slovenského </w:t>
      </w:r>
      <w:proofErr w:type="spellStart"/>
      <w:r w:rsidRPr="00730A56">
        <w:rPr>
          <w:rFonts w:ascii="Calibri" w:hAnsi="Calibri" w:cs="Calibri"/>
          <w:b/>
          <w:bCs/>
          <w:sz w:val="24"/>
          <w:szCs w:val="24"/>
        </w:rPr>
        <w:t>stavebníctva</w:t>
      </w:r>
      <w:proofErr w:type="spellEnd"/>
      <w:r w:rsidRPr="00730A56">
        <w:rPr>
          <w:rFonts w:ascii="Calibri" w:hAnsi="Calibri" w:cs="Calibri"/>
          <w:b/>
          <w:bCs/>
          <w:sz w:val="24"/>
          <w:szCs w:val="24"/>
        </w:rPr>
        <w:t xml:space="preserve"> H2/2024, </w:t>
      </w:r>
      <w:proofErr w:type="spellStart"/>
      <w:r w:rsidRPr="00730A56">
        <w:rPr>
          <w:rFonts w:ascii="Calibri" w:hAnsi="Calibri" w:cs="Calibri"/>
          <w:b/>
          <w:bCs/>
          <w:sz w:val="24"/>
          <w:szCs w:val="24"/>
        </w:rPr>
        <w:t>ktorú</w:t>
      </w:r>
      <w:proofErr w:type="spellEnd"/>
      <w:r w:rsidRPr="00730A5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30A56">
        <w:rPr>
          <w:rFonts w:ascii="Calibri" w:hAnsi="Calibri" w:cs="Calibri"/>
          <w:sz w:val="24"/>
          <w:szCs w:val="24"/>
        </w:rPr>
        <w:t xml:space="preserve">vypracovala analytická </w:t>
      </w:r>
      <w:proofErr w:type="spellStart"/>
      <w:r w:rsidRPr="00730A56">
        <w:rPr>
          <w:rFonts w:ascii="Calibri" w:hAnsi="Calibri" w:cs="Calibri"/>
          <w:sz w:val="24"/>
          <w:szCs w:val="24"/>
        </w:rPr>
        <w:t>spoločnosť</w:t>
      </w:r>
      <w:proofErr w:type="spellEnd"/>
      <w:r w:rsidRPr="00730A56">
        <w:rPr>
          <w:rFonts w:ascii="Calibri" w:hAnsi="Calibri" w:cs="Calibri"/>
          <w:sz w:val="24"/>
          <w:szCs w:val="24"/>
        </w:rPr>
        <w:t xml:space="preserve"> CEEC </w:t>
      </w:r>
      <w:proofErr w:type="spellStart"/>
      <w:r w:rsidRPr="00730A56">
        <w:rPr>
          <w:rFonts w:ascii="Calibri" w:hAnsi="Calibri" w:cs="Calibri"/>
          <w:sz w:val="24"/>
          <w:szCs w:val="24"/>
        </w:rPr>
        <w:t>Research</w:t>
      </w:r>
      <w:proofErr w:type="spellEnd"/>
      <w:r w:rsidRPr="00730A56">
        <w:rPr>
          <w:rFonts w:ascii="Calibri" w:hAnsi="Calibri" w:cs="Calibri"/>
          <w:sz w:val="24"/>
          <w:szCs w:val="24"/>
        </w:rPr>
        <w:t>.</w:t>
      </w:r>
    </w:p>
    <w:p w14:paraId="4C52C3EC" w14:textId="77777777" w:rsidR="00155BDF" w:rsidRPr="00730A56" w:rsidRDefault="00155BDF" w:rsidP="006252DA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078A2F1" w14:textId="77777777" w:rsidR="00730A56" w:rsidRDefault="00730A56" w:rsidP="00155BDF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8F97740" w14:textId="1576FA9A" w:rsidR="00155BDF" w:rsidRPr="00675877" w:rsidRDefault="00155BDF" w:rsidP="00155BDF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675877">
        <w:rPr>
          <w:rFonts w:ascii="Calibri" w:hAnsi="Calibri" w:cs="Calibri"/>
        </w:rPr>
        <w:t>MgA. Helena Grofová</w:t>
      </w:r>
    </w:p>
    <w:p w14:paraId="1560B9BB" w14:textId="5738AD8E" w:rsidR="00155BDF" w:rsidRPr="00675877" w:rsidRDefault="00666694" w:rsidP="00155BDF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tlačová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hovorkyňa</w:t>
      </w:r>
      <w:proofErr w:type="spellEnd"/>
      <w:r w:rsidR="00155BDF" w:rsidRPr="00675877">
        <w:rPr>
          <w:rFonts w:ascii="Calibri" w:hAnsi="Calibri" w:cs="Calibri"/>
        </w:rPr>
        <w:t xml:space="preserve"> CEEC </w:t>
      </w:r>
      <w:proofErr w:type="spellStart"/>
      <w:r w:rsidR="00155BDF" w:rsidRPr="00675877">
        <w:rPr>
          <w:rFonts w:ascii="Calibri" w:hAnsi="Calibri" w:cs="Calibri"/>
        </w:rPr>
        <w:t>Research</w:t>
      </w:r>
      <w:proofErr w:type="spellEnd"/>
    </w:p>
    <w:p w14:paraId="3AC1E891" w14:textId="2097DD65" w:rsidR="00155BDF" w:rsidRPr="00675877" w:rsidRDefault="00A76756" w:rsidP="00155BDF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+420 </w:t>
      </w:r>
      <w:r w:rsidR="00155BDF" w:rsidRPr="00675877">
        <w:rPr>
          <w:rFonts w:ascii="Calibri" w:hAnsi="Calibri" w:cs="Calibri"/>
        </w:rPr>
        <w:t>602 303 990</w:t>
      </w:r>
    </w:p>
    <w:p w14:paraId="3C03CDE8" w14:textId="77777777" w:rsidR="00155BDF" w:rsidRPr="00675877" w:rsidRDefault="00155BDF" w:rsidP="00155BDF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675877">
        <w:rPr>
          <w:rFonts w:ascii="Calibri" w:hAnsi="Calibri" w:cs="Calibri"/>
        </w:rPr>
        <w:t>grofova@ceec.eu</w:t>
      </w:r>
    </w:p>
    <w:p w14:paraId="78FEFED7" w14:textId="77777777" w:rsidR="00155BDF" w:rsidRPr="00675877" w:rsidRDefault="00155BDF" w:rsidP="00155BDF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044C2A25" w14:textId="77777777" w:rsidR="00155BDF" w:rsidRPr="00675877" w:rsidRDefault="00155BDF" w:rsidP="002E01A8">
      <w:pPr>
        <w:rPr>
          <w:rFonts w:ascii="Calibri" w:hAnsi="Calibri" w:cs="Calibri"/>
          <w:b/>
          <w:bCs/>
          <w:sz w:val="24"/>
          <w:szCs w:val="24"/>
        </w:rPr>
      </w:pPr>
    </w:p>
    <w:sectPr w:rsidR="00155BDF" w:rsidRPr="006758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6EA6A" w14:textId="77777777" w:rsidR="006D6ED1" w:rsidRDefault="006D6ED1" w:rsidP="003E0618">
      <w:pPr>
        <w:spacing w:after="0" w:line="240" w:lineRule="auto"/>
      </w:pPr>
      <w:r>
        <w:separator/>
      </w:r>
    </w:p>
  </w:endnote>
  <w:endnote w:type="continuationSeparator" w:id="0">
    <w:p w14:paraId="11B1B1A1" w14:textId="77777777" w:rsidR="006D6ED1" w:rsidRDefault="006D6ED1" w:rsidP="003E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9396D" w14:textId="77777777" w:rsidR="006D6ED1" w:rsidRDefault="006D6ED1" w:rsidP="003E0618">
      <w:pPr>
        <w:spacing w:after="0" w:line="240" w:lineRule="auto"/>
      </w:pPr>
      <w:r>
        <w:separator/>
      </w:r>
    </w:p>
  </w:footnote>
  <w:footnote w:type="continuationSeparator" w:id="0">
    <w:p w14:paraId="64D09BE1" w14:textId="77777777" w:rsidR="006D6ED1" w:rsidRDefault="006D6ED1" w:rsidP="003E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026A" w14:textId="55C61FEB" w:rsidR="003E0618" w:rsidRDefault="003E061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36F09" wp14:editId="1EC43807">
          <wp:simplePos x="0" y="0"/>
          <wp:positionH relativeFrom="margin">
            <wp:posOffset>-4445</wp:posOffset>
          </wp:positionH>
          <wp:positionV relativeFrom="paragraph">
            <wp:posOffset>-382905</wp:posOffset>
          </wp:positionV>
          <wp:extent cx="1885950" cy="1012190"/>
          <wp:effectExtent l="0" t="0" r="0" b="0"/>
          <wp:wrapTopAndBottom/>
          <wp:docPr id="837303731" name="Obrázek 837303731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esle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24"/>
    <w:rsid w:val="00000719"/>
    <w:rsid w:val="00000EF0"/>
    <w:rsid w:val="000073DF"/>
    <w:rsid w:val="00013280"/>
    <w:rsid w:val="00013C65"/>
    <w:rsid w:val="00014D96"/>
    <w:rsid w:val="0001546E"/>
    <w:rsid w:val="000203B3"/>
    <w:rsid w:val="00022B1D"/>
    <w:rsid w:val="0002645B"/>
    <w:rsid w:val="0002753A"/>
    <w:rsid w:val="00031681"/>
    <w:rsid w:val="0003358D"/>
    <w:rsid w:val="0004515E"/>
    <w:rsid w:val="00047758"/>
    <w:rsid w:val="00050048"/>
    <w:rsid w:val="000516CA"/>
    <w:rsid w:val="0005503A"/>
    <w:rsid w:val="00061B21"/>
    <w:rsid w:val="0006240D"/>
    <w:rsid w:val="00065573"/>
    <w:rsid w:val="00070BD8"/>
    <w:rsid w:val="00094AE8"/>
    <w:rsid w:val="00095DF1"/>
    <w:rsid w:val="000A23D3"/>
    <w:rsid w:val="000A3207"/>
    <w:rsid w:val="000A44DD"/>
    <w:rsid w:val="000A6184"/>
    <w:rsid w:val="000B640B"/>
    <w:rsid w:val="000C0FDC"/>
    <w:rsid w:val="000C1521"/>
    <w:rsid w:val="000D6AB4"/>
    <w:rsid w:val="000E1E0B"/>
    <w:rsid w:val="000E2C23"/>
    <w:rsid w:val="000E2E42"/>
    <w:rsid w:val="000E2F52"/>
    <w:rsid w:val="000F0180"/>
    <w:rsid w:val="000F1515"/>
    <w:rsid w:val="000F1F44"/>
    <w:rsid w:val="000F778D"/>
    <w:rsid w:val="001019D7"/>
    <w:rsid w:val="00107C93"/>
    <w:rsid w:val="00113270"/>
    <w:rsid w:val="00121409"/>
    <w:rsid w:val="00131712"/>
    <w:rsid w:val="00145A7B"/>
    <w:rsid w:val="0015108E"/>
    <w:rsid w:val="00155BDF"/>
    <w:rsid w:val="0016119C"/>
    <w:rsid w:val="00170EAF"/>
    <w:rsid w:val="00171501"/>
    <w:rsid w:val="001768A4"/>
    <w:rsid w:val="00177B86"/>
    <w:rsid w:val="00182F82"/>
    <w:rsid w:val="0018568B"/>
    <w:rsid w:val="00186A14"/>
    <w:rsid w:val="00195C65"/>
    <w:rsid w:val="001A1244"/>
    <w:rsid w:val="001A2CCA"/>
    <w:rsid w:val="001A487D"/>
    <w:rsid w:val="001B3240"/>
    <w:rsid w:val="001B55F1"/>
    <w:rsid w:val="001C48B0"/>
    <w:rsid w:val="001C56F4"/>
    <w:rsid w:val="001C623C"/>
    <w:rsid w:val="001E3DDD"/>
    <w:rsid w:val="001E4A50"/>
    <w:rsid w:val="001E506A"/>
    <w:rsid w:val="001F3AEB"/>
    <w:rsid w:val="00203827"/>
    <w:rsid w:val="00211955"/>
    <w:rsid w:val="00213EAD"/>
    <w:rsid w:val="00221821"/>
    <w:rsid w:val="00240A46"/>
    <w:rsid w:val="00244252"/>
    <w:rsid w:val="002462CF"/>
    <w:rsid w:val="002625AB"/>
    <w:rsid w:val="00275DEB"/>
    <w:rsid w:val="002A2565"/>
    <w:rsid w:val="002B6812"/>
    <w:rsid w:val="002D7C9B"/>
    <w:rsid w:val="002E01A8"/>
    <w:rsid w:val="002F3EB7"/>
    <w:rsid w:val="002F779F"/>
    <w:rsid w:val="00302068"/>
    <w:rsid w:val="003151DA"/>
    <w:rsid w:val="00315909"/>
    <w:rsid w:val="003366B3"/>
    <w:rsid w:val="00341E23"/>
    <w:rsid w:val="00364FE1"/>
    <w:rsid w:val="00371969"/>
    <w:rsid w:val="003A72EC"/>
    <w:rsid w:val="003B1830"/>
    <w:rsid w:val="003B7721"/>
    <w:rsid w:val="003B7F79"/>
    <w:rsid w:val="003C26FE"/>
    <w:rsid w:val="003C3C06"/>
    <w:rsid w:val="003D0320"/>
    <w:rsid w:val="003D68A7"/>
    <w:rsid w:val="003E0618"/>
    <w:rsid w:val="003F0D23"/>
    <w:rsid w:val="004150A5"/>
    <w:rsid w:val="0041530B"/>
    <w:rsid w:val="00415ED3"/>
    <w:rsid w:val="00417531"/>
    <w:rsid w:val="004425BA"/>
    <w:rsid w:val="00444950"/>
    <w:rsid w:val="00445D22"/>
    <w:rsid w:val="0045182F"/>
    <w:rsid w:val="00451ED7"/>
    <w:rsid w:val="00467E96"/>
    <w:rsid w:val="00486534"/>
    <w:rsid w:val="00487D99"/>
    <w:rsid w:val="004A1590"/>
    <w:rsid w:val="004C5BF4"/>
    <w:rsid w:val="004D1C5A"/>
    <w:rsid w:val="004D20F6"/>
    <w:rsid w:val="004D427C"/>
    <w:rsid w:val="004E300B"/>
    <w:rsid w:val="005013E9"/>
    <w:rsid w:val="0050406C"/>
    <w:rsid w:val="005107E4"/>
    <w:rsid w:val="005116ED"/>
    <w:rsid w:val="00544518"/>
    <w:rsid w:val="00545891"/>
    <w:rsid w:val="00571615"/>
    <w:rsid w:val="0057197D"/>
    <w:rsid w:val="00576D6D"/>
    <w:rsid w:val="00584424"/>
    <w:rsid w:val="00595AE4"/>
    <w:rsid w:val="00596C51"/>
    <w:rsid w:val="005A1209"/>
    <w:rsid w:val="005A31DB"/>
    <w:rsid w:val="005A4312"/>
    <w:rsid w:val="005C3D1E"/>
    <w:rsid w:val="005D029C"/>
    <w:rsid w:val="005D7450"/>
    <w:rsid w:val="005F4FBF"/>
    <w:rsid w:val="006059EC"/>
    <w:rsid w:val="006252DA"/>
    <w:rsid w:val="00631D5F"/>
    <w:rsid w:val="00632004"/>
    <w:rsid w:val="00641B32"/>
    <w:rsid w:val="006460AD"/>
    <w:rsid w:val="0065261C"/>
    <w:rsid w:val="00657503"/>
    <w:rsid w:val="00657601"/>
    <w:rsid w:val="00665A92"/>
    <w:rsid w:val="00666694"/>
    <w:rsid w:val="006753FC"/>
    <w:rsid w:val="00675877"/>
    <w:rsid w:val="00675F9B"/>
    <w:rsid w:val="006825DA"/>
    <w:rsid w:val="006874FB"/>
    <w:rsid w:val="0069121F"/>
    <w:rsid w:val="006942AF"/>
    <w:rsid w:val="006A2FBD"/>
    <w:rsid w:val="006A736E"/>
    <w:rsid w:val="006B2B70"/>
    <w:rsid w:val="006B6BC7"/>
    <w:rsid w:val="006C2CC7"/>
    <w:rsid w:val="006C4CFB"/>
    <w:rsid w:val="006D6ED1"/>
    <w:rsid w:val="006D717C"/>
    <w:rsid w:val="006E1F6C"/>
    <w:rsid w:val="007040AD"/>
    <w:rsid w:val="00704D6B"/>
    <w:rsid w:val="007055DE"/>
    <w:rsid w:val="007066FC"/>
    <w:rsid w:val="00720BFC"/>
    <w:rsid w:val="00730A56"/>
    <w:rsid w:val="00730B0D"/>
    <w:rsid w:val="00733B16"/>
    <w:rsid w:val="007511A6"/>
    <w:rsid w:val="0075619C"/>
    <w:rsid w:val="00766883"/>
    <w:rsid w:val="0078628D"/>
    <w:rsid w:val="007A50B5"/>
    <w:rsid w:val="007A725F"/>
    <w:rsid w:val="007B10D4"/>
    <w:rsid w:val="007C0AF5"/>
    <w:rsid w:val="007C1D8B"/>
    <w:rsid w:val="007D4409"/>
    <w:rsid w:val="007F28C1"/>
    <w:rsid w:val="00813413"/>
    <w:rsid w:val="0081587A"/>
    <w:rsid w:val="00816B62"/>
    <w:rsid w:val="00816D39"/>
    <w:rsid w:val="00837BFB"/>
    <w:rsid w:val="00841B3A"/>
    <w:rsid w:val="0085041F"/>
    <w:rsid w:val="00850CB1"/>
    <w:rsid w:val="00852F36"/>
    <w:rsid w:val="008544A0"/>
    <w:rsid w:val="008707CC"/>
    <w:rsid w:val="0088466F"/>
    <w:rsid w:val="008C2681"/>
    <w:rsid w:val="008C3519"/>
    <w:rsid w:val="008D1608"/>
    <w:rsid w:val="008D22BD"/>
    <w:rsid w:val="008D24CF"/>
    <w:rsid w:val="008D4B0B"/>
    <w:rsid w:val="008D4EC6"/>
    <w:rsid w:val="00905C0B"/>
    <w:rsid w:val="00916441"/>
    <w:rsid w:val="00923F4E"/>
    <w:rsid w:val="00926BCF"/>
    <w:rsid w:val="00926ED7"/>
    <w:rsid w:val="0093448C"/>
    <w:rsid w:val="00936A14"/>
    <w:rsid w:val="009404B3"/>
    <w:rsid w:val="009535D0"/>
    <w:rsid w:val="00956EF0"/>
    <w:rsid w:val="00960C56"/>
    <w:rsid w:val="00971335"/>
    <w:rsid w:val="009757DB"/>
    <w:rsid w:val="00984B19"/>
    <w:rsid w:val="00986744"/>
    <w:rsid w:val="009A115D"/>
    <w:rsid w:val="009A7C61"/>
    <w:rsid w:val="009B72A4"/>
    <w:rsid w:val="009C09E6"/>
    <w:rsid w:val="009D2037"/>
    <w:rsid w:val="009D26ED"/>
    <w:rsid w:val="009D2FEF"/>
    <w:rsid w:val="009D485C"/>
    <w:rsid w:val="009F02E6"/>
    <w:rsid w:val="00A061BA"/>
    <w:rsid w:val="00A1171E"/>
    <w:rsid w:val="00A2086C"/>
    <w:rsid w:val="00A2641C"/>
    <w:rsid w:val="00A274E1"/>
    <w:rsid w:val="00A31F68"/>
    <w:rsid w:val="00A6043D"/>
    <w:rsid w:val="00A65C1F"/>
    <w:rsid w:val="00A67EE5"/>
    <w:rsid w:val="00A76756"/>
    <w:rsid w:val="00A827EF"/>
    <w:rsid w:val="00A84146"/>
    <w:rsid w:val="00A85ABF"/>
    <w:rsid w:val="00A868E0"/>
    <w:rsid w:val="00AA0BAB"/>
    <w:rsid w:val="00AA6950"/>
    <w:rsid w:val="00AC30EB"/>
    <w:rsid w:val="00AE0426"/>
    <w:rsid w:val="00AF084A"/>
    <w:rsid w:val="00AF6921"/>
    <w:rsid w:val="00B15D39"/>
    <w:rsid w:val="00B32E5B"/>
    <w:rsid w:val="00B410E9"/>
    <w:rsid w:val="00B53FEB"/>
    <w:rsid w:val="00B57E7F"/>
    <w:rsid w:val="00B60F52"/>
    <w:rsid w:val="00B7454D"/>
    <w:rsid w:val="00B94119"/>
    <w:rsid w:val="00BA0542"/>
    <w:rsid w:val="00BA10E1"/>
    <w:rsid w:val="00BA2008"/>
    <w:rsid w:val="00BA5061"/>
    <w:rsid w:val="00BC3FFE"/>
    <w:rsid w:val="00BC403E"/>
    <w:rsid w:val="00BE2E6C"/>
    <w:rsid w:val="00BE4AC8"/>
    <w:rsid w:val="00BE61DB"/>
    <w:rsid w:val="00BE73D8"/>
    <w:rsid w:val="00BF466E"/>
    <w:rsid w:val="00BF634A"/>
    <w:rsid w:val="00BF74B3"/>
    <w:rsid w:val="00C04B46"/>
    <w:rsid w:val="00C12FA2"/>
    <w:rsid w:val="00C14556"/>
    <w:rsid w:val="00C31E9F"/>
    <w:rsid w:val="00C35F92"/>
    <w:rsid w:val="00C36A1A"/>
    <w:rsid w:val="00C36BFE"/>
    <w:rsid w:val="00C53637"/>
    <w:rsid w:val="00C543BD"/>
    <w:rsid w:val="00C55CB6"/>
    <w:rsid w:val="00C723B6"/>
    <w:rsid w:val="00C8181F"/>
    <w:rsid w:val="00C8310F"/>
    <w:rsid w:val="00C90F60"/>
    <w:rsid w:val="00C96321"/>
    <w:rsid w:val="00C97C7F"/>
    <w:rsid w:val="00CA18D3"/>
    <w:rsid w:val="00CA3F25"/>
    <w:rsid w:val="00CB71F8"/>
    <w:rsid w:val="00CF1E47"/>
    <w:rsid w:val="00CF251B"/>
    <w:rsid w:val="00CF4449"/>
    <w:rsid w:val="00CF54A8"/>
    <w:rsid w:val="00D06DEA"/>
    <w:rsid w:val="00D137FE"/>
    <w:rsid w:val="00D16AA7"/>
    <w:rsid w:val="00D2281A"/>
    <w:rsid w:val="00D27817"/>
    <w:rsid w:val="00D347F3"/>
    <w:rsid w:val="00D410C2"/>
    <w:rsid w:val="00D470CD"/>
    <w:rsid w:val="00D57804"/>
    <w:rsid w:val="00D76260"/>
    <w:rsid w:val="00DA29D0"/>
    <w:rsid w:val="00DA3037"/>
    <w:rsid w:val="00DA5329"/>
    <w:rsid w:val="00DB70D4"/>
    <w:rsid w:val="00DC1A23"/>
    <w:rsid w:val="00DC6CC7"/>
    <w:rsid w:val="00DC7951"/>
    <w:rsid w:val="00E01330"/>
    <w:rsid w:val="00E01430"/>
    <w:rsid w:val="00E03566"/>
    <w:rsid w:val="00E060FE"/>
    <w:rsid w:val="00E1714D"/>
    <w:rsid w:val="00E206F6"/>
    <w:rsid w:val="00E34834"/>
    <w:rsid w:val="00E657AC"/>
    <w:rsid w:val="00E714A0"/>
    <w:rsid w:val="00EB3F1F"/>
    <w:rsid w:val="00EB5890"/>
    <w:rsid w:val="00EE3EDC"/>
    <w:rsid w:val="00EE50B1"/>
    <w:rsid w:val="00EF0E50"/>
    <w:rsid w:val="00EF1E23"/>
    <w:rsid w:val="00F11782"/>
    <w:rsid w:val="00F136B9"/>
    <w:rsid w:val="00F26ECF"/>
    <w:rsid w:val="00F272AC"/>
    <w:rsid w:val="00F337BB"/>
    <w:rsid w:val="00F34454"/>
    <w:rsid w:val="00F344B5"/>
    <w:rsid w:val="00F34C9F"/>
    <w:rsid w:val="00F41F55"/>
    <w:rsid w:val="00F53C70"/>
    <w:rsid w:val="00F63248"/>
    <w:rsid w:val="00F74990"/>
    <w:rsid w:val="00F76612"/>
    <w:rsid w:val="00F76FF6"/>
    <w:rsid w:val="00F80540"/>
    <w:rsid w:val="00F90DD8"/>
    <w:rsid w:val="00FA657A"/>
    <w:rsid w:val="00FA7AE7"/>
    <w:rsid w:val="00FA7C92"/>
    <w:rsid w:val="00FB5C59"/>
    <w:rsid w:val="00FB7A5C"/>
    <w:rsid w:val="00FC4640"/>
    <w:rsid w:val="00FC4DE7"/>
    <w:rsid w:val="00FD1579"/>
    <w:rsid w:val="00FD7A63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06917"/>
  <w15:docId w15:val="{2669A002-87DB-48A3-B273-24075E7A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C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618"/>
  </w:style>
  <w:style w:type="paragraph" w:styleId="Zpat">
    <w:name w:val="footer"/>
    <w:basedOn w:val="Normln"/>
    <w:link w:val="Zpat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618"/>
  </w:style>
  <w:style w:type="character" w:styleId="Hypertextovodkaz">
    <w:name w:val="Hyperlink"/>
    <w:basedOn w:val="Standardnpsmoodstavce"/>
    <w:uiPriority w:val="99"/>
    <w:unhideWhenUsed/>
    <w:rsid w:val="003E061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6A1A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3C3C0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54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4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4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4A0"/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095DF1"/>
    <w:rPr>
      <w:b/>
      <w:bCs/>
    </w:rPr>
  </w:style>
  <w:style w:type="paragraph" w:customStyle="1" w:styleId="xxmsonormal">
    <w:name w:val="x_xmsonormal"/>
    <w:basedOn w:val="Normln"/>
    <w:uiPriority w:val="99"/>
    <w:rsid w:val="00095DF1"/>
    <w:pPr>
      <w:spacing w:after="0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0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7CF3-BBA7-4020-AB84-269F9482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Ondrášek</dc:creator>
  <cp:keywords/>
  <dc:description/>
  <cp:lastModifiedBy>Michal Vacek</cp:lastModifiedBy>
  <cp:revision>3</cp:revision>
  <dcterms:created xsi:type="dcterms:W3CDTF">2024-11-04T10:26:00Z</dcterms:created>
  <dcterms:modified xsi:type="dcterms:W3CDTF">2024-11-04T10:26:00Z</dcterms:modified>
</cp:coreProperties>
</file>