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6204" w14:textId="77777777" w:rsidR="002E01A8" w:rsidRDefault="002E01A8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953EE">
        <w:rPr>
          <w:rFonts w:ascii="Calibri" w:hAnsi="Calibri" w:cs="Calibri"/>
          <w:b/>
          <w:bCs/>
          <w:sz w:val="28"/>
          <w:szCs w:val="28"/>
        </w:rPr>
        <w:t>TISKOVÁ ZPRÁVA</w:t>
      </w:r>
    </w:p>
    <w:p w14:paraId="261D041A" w14:textId="77777777" w:rsidR="0005601D" w:rsidRPr="003953EE" w:rsidRDefault="0005601D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DC510BD" w14:textId="0026AE2B" w:rsidR="002E01A8" w:rsidRPr="0005601D" w:rsidRDefault="0005601D" w:rsidP="0005601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5601D">
        <w:rPr>
          <w:rFonts w:ascii="Calibri" w:hAnsi="Calibri" w:cs="Calibri"/>
          <w:b/>
          <w:bCs/>
          <w:sz w:val="28"/>
          <w:szCs w:val="28"/>
        </w:rPr>
        <w:t>ČESKÉ STAVEBNICTVÍ: VZESTUP ČI PÁD?</w:t>
      </w:r>
    </w:p>
    <w:p w14:paraId="40DBCDD9" w14:textId="77777777" w:rsidR="0005601D" w:rsidRDefault="0005601D" w:rsidP="006A0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62AC9DF" w14:textId="6DECAD84" w:rsidR="008C3519" w:rsidRDefault="00447555" w:rsidP="006A04B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Praha, </w:t>
      </w:r>
      <w:r w:rsidR="00E36C35">
        <w:rPr>
          <w:rFonts w:ascii="Calibri" w:hAnsi="Calibri" w:cs="Calibri"/>
          <w:b/>
          <w:bCs/>
          <w:sz w:val="24"/>
          <w:szCs w:val="24"/>
        </w:rPr>
        <w:t>17</w:t>
      </w:r>
      <w:r w:rsidR="00700E49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E36C35">
        <w:rPr>
          <w:rFonts w:ascii="Calibri" w:hAnsi="Calibri" w:cs="Calibri"/>
          <w:b/>
          <w:bCs/>
          <w:sz w:val="24"/>
          <w:szCs w:val="24"/>
        </w:rPr>
        <w:t>září</w:t>
      </w:r>
      <w:r w:rsidR="002E01A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="002E01A8">
        <w:rPr>
          <w:rFonts w:ascii="Calibri" w:hAnsi="Calibri" w:cs="Calibri"/>
          <w:b/>
          <w:bCs/>
          <w:sz w:val="24"/>
          <w:szCs w:val="24"/>
        </w:rPr>
        <w:t>2024  -</w:t>
      </w:r>
      <w:proofErr w:type="gramEnd"/>
      <w:r w:rsidR="002E01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C351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78BB">
        <w:rPr>
          <w:rFonts w:ascii="Calibri" w:hAnsi="Calibri" w:cs="Calibri"/>
          <w:b/>
          <w:bCs/>
          <w:sz w:val="24"/>
          <w:szCs w:val="24"/>
        </w:rPr>
        <w:t xml:space="preserve">Zahajovací konference stavebního veletrhu FOR ARCH, s podtitulem ČESKÉ STAVEBNICTVÍ: VZESTUP ČI PÁD? proběhla na výstavišti PVA Expo v pražských Letňanech.  Součástí programu byla </w:t>
      </w:r>
      <w:proofErr w:type="gramStart"/>
      <w:r w:rsidR="00B478BB">
        <w:rPr>
          <w:rFonts w:ascii="Calibri" w:hAnsi="Calibri" w:cs="Calibri"/>
          <w:b/>
          <w:bCs/>
          <w:sz w:val="24"/>
          <w:szCs w:val="24"/>
        </w:rPr>
        <w:t>diskuze</w:t>
      </w:r>
      <w:proofErr w:type="gramEnd"/>
      <w:r w:rsidR="00B478BB">
        <w:rPr>
          <w:rFonts w:ascii="Calibri" w:hAnsi="Calibri" w:cs="Calibri"/>
          <w:b/>
          <w:bCs/>
          <w:sz w:val="24"/>
          <w:szCs w:val="24"/>
        </w:rPr>
        <w:t xml:space="preserve"> předních představitelů veřejného sektoru s odborníky z praxe o kondici českého stavebnictví, </w:t>
      </w:r>
      <w:r w:rsidR="00A747E5">
        <w:rPr>
          <w:rFonts w:ascii="Calibri" w:hAnsi="Calibri" w:cs="Calibri"/>
          <w:b/>
          <w:bCs/>
          <w:sz w:val="24"/>
          <w:szCs w:val="24"/>
        </w:rPr>
        <w:t xml:space="preserve">o </w:t>
      </w:r>
      <w:r w:rsidR="00B478BB">
        <w:rPr>
          <w:rFonts w:ascii="Calibri" w:hAnsi="Calibri" w:cs="Calibri"/>
          <w:b/>
          <w:bCs/>
          <w:sz w:val="24"/>
          <w:szCs w:val="24"/>
        </w:rPr>
        <w:t xml:space="preserve">přípravě vysokorychlostních tratí a programů na podporu dostupného bydlení. </w:t>
      </w:r>
      <w:r w:rsidR="00CC3EA9">
        <w:rPr>
          <w:rFonts w:ascii="Calibri" w:hAnsi="Calibri" w:cs="Calibri"/>
          <w:b/>
          <w:bCs/>
          <w:sz w:val="24"/>
          <w:szCs w:val="24"/>
        </w:rPr>
        <w:t xml:space="preserve">Ministr dopravy Martin Kupka se ke konferenci připojil online z Moravskoslezského kraje. </w:t>
      </w:r>
      <w:r w:rsidR="00B478BB">
        <w:rPr>
          <w:rFonts w:ascii="Calibri" w:hAnsi="Calibri" w:cs="Calibri"/>
          <w:b/>
          <w:bCs/>
          <w:sz w:val="24"/>
          <w:szCs w:val="24"/>
        </w:rPr>
        <w:t xml:space="preserve">Konferenci pořádal Svaz podnikatelů ve stavebnictví spolu s analytickou společností CEEC </w:t>
      </w:r>
      <w:proofErr w:type="spellStart"/>
      <w:r w:rsidR="00B478BB">
        <w:rPr>
          <w:rFonts w:ascii="Calibri" w:hAnsi="Calibri" w:cs="Calibri"/>
          <w:b/>
          <w:bCs/>
          <w:sz w:val="24"/>
          <w:szCs w:val="24"/>
        </w:rPr>
        <w:t>Research</w:t>
      </w:r>
      <w:proofErr w:type="spellEnd"/>
      <w:r w:rsidR="00B478BB">
        <w:rPr>
          <w:rFonts w:ascii="Calibri" w:hAnsi="Calibri" w:cs="Calibri"/>
          <w:b/>
          <w:bCs/>
          <w:sz w:val="24"/>
          <w:szCs w:val="24"/>
        </w:rPr>
        <w:t xml:space="preserve">, která </w:t>
      </w:r>
      <w:r w:rsidR="006A04B8">
        <w:rPr>
          <w:rFonts w:ascii="Calibri" w:hAnsi="Calibri" w:cs="Calibri"/>
          <w:b/>
          <w:bCs/>
          <w:sz w:val="24"/>
          <w:szCs w:val="24"/>
        </w:rPr>
        <w:t xml:space="preserve">na ní </w:t>
      </w:r>
      <w:r w:rsidR="00B478BB">
        <w:rPr>
          <w:rFonts w:ascii="Calibri" w:hAnsi="Calibri" w:cs="Calibri"/>
          <w:b/>
          <w:bCs/>
          <w:sz w:val="24"/>
          <w:szCs w:val="24"/>
        </w:rPr>
        <w:t xml:space="preserve">představila </w:t>
      </w:r>
      <w:r w:rsidR="006A04B8">
        <w:rPr>
          <w:rFonts w:ascii="Calibri" w:hAnsi="Calibri" w:cs="Calibri"/>
          <w:b/>
          <w:bCs/>
          <w:sz w:val="24"/>
          <w:szCs w:val="24"/>
        </w:rPr>
        <w:t xml:space="preserve">výsledky </w:t>
      </w:r>
      <w:r w:rsidR="00BE78A0">
        <w:rPr>
          <w:b/>
          <w:bCs/>
          <w:sz w:val="24"/>
          <w:szCs w:val="24"/>
        </w:rPr>
        <w:t>Kvartální analýzy českého stavebnictví Q</w:t>
      </w:r>
      <w:r w:rsidR="00E36C35">
        <w:rPr>
          <w:b/>
          <w:bCs/>
          <w:sz w:val="24"/>
          <w:szCs w:val="24"/>
        </w:rPr>
        <w:t>3</w:t>
      </w:r>
      <w:r w:rsidR="008C3519" w:rsidRPr="008C3519">
        <w:rPr>
          <w:b/>
          <w:bCs/>
          <w:sz w:val="24"/>
          <w:szCs w:val="24"/>
        </w:rPr>
        <w:t>/202</w:t>
      </w:r>
      <w:r w:rsidR="008C3519">
        <w:rPr>
          <w:b/>
          <w:bCs/>
          <w:sz w:val="24"/>
          <w:szCs w:val="24"/>
        </w:rPr>
        <w:t>4</w:t>
      </w:r>
      <w:r w:rsidR="006A04B8">
        <w:rPr>
          <w:b/>
          <w:bCs/>
          <w:sz w:val="24"/>
          <w:szCs w:val="24"/>
        </w:rPr>
        <w:t>.</w:t>
      </w:r>
    </w:p>
    <w:p w14:paraId="26182126" w14:textId="77777777" w:rsidR="006A04B8" w:rsidRPr="006A04B8" w:rsidRDefault="006A04B8" w:rsidP="006A04B8">
      <w:pPr>
        <w:autoSpaceDE w:val="0"/>
        <w:autoSpaceDN w:val="0"/>
        <w:adjustRightInd w:val="0"/>
        <w:spacing w:after="0" w:line="240" w:lineRule="auto"/>
        <w:rPr>
          <w:rFonts w:eastAsia="SourceSansVariable-Roman" w:cstheme="minorHAnsi"/>
          <w:b/>
          <w:bCs/>
          <w:sz w:val="24"/>
          <w:szCs w:val="24"/>
        </w:rPr>
      </w:pPr>
    </w:p>
    <w:p w14:paraId="217D6542" w14:textId="1C3F044C" w:rsidR="008C70BD" w:rsidRPr="00A747E5" w:rsidRDefault="006C534C" w:rsidP="00AB5BD4">
      <w:pPr>
        <w:rPr>
          <w:sz w:val="24"/>
          <w:szCs w:val="24"/>
        </w:rPr>
      </w:pPr>
      <w:r>
        <w:rPr>
          <w:i/>
          <w:iCs/>
          <w:sz w:val="24"/>
          <w:szCs w:val="24"/>
        </w:rPr>
        <w:t>„</w:t>
      </w:r>
      <w:r w:rsidR="00AB5BD4" w:rsidRPr="00AB5BD4">
        <w:rPr>
          <w:i/>
          <w:iCs/>
          <w:sz w:val="24"/>
          <w:szCs w:val="24"/>
        </w:rPr>
        <w:t>Vývoj stavebního segmentu lze v současné době spojit s netrpělivým očekáváním</w:t>
      </w:r>
      <w:r>
        <w:rPr>
          <w:i/>
          <w:iCs/>
          <w:sz w:val="24"/>
          <w:szCs w:val="24"/>
        </w:rPr>
        <w:t xml:space="preserve"> </w:t>
      </w:r>
      <w:r w:rsidR="00AB5BD4" w:rsidRPr="00AB5BD4">
        <w:rPr>
          <w:i/>
          <w:iCs/>
          <w:sz w:val="24"/>
          <w:szCs w:val="24"/>
        </w:rPr>
        <w:t>připravovaného státního rozpočtu na rok 2025. Všechno nasvědčuje</w:t>
      </w:r>
      <w:r>
        <w:rPr>
          <w:i/>
          <w:iCs/>
          <w:sz w:val="24"/>
          <w:szCs w:val="24"/>
        </w:rPr>
        <w:t xml:space="preserve"> </w:t>
      </w:r>
      <w:r w:rsidR="00AB5BD4" w:rsidRPr="00AB5BD4">
        <w:rPr>
          <w:i/>
          <w:iCs/>
          <w:sz w:val="24"/>
          <w:szCs w:val="24"/>
        </w:rPr>
        <w:t>faktu, že Ministerstvo dopravy ukrojí opět o kousek větší díl „koláče“ než tomu bylo v minulém roce, a tedy veřejní investoři z oblasti dopravní infrastruktury</w:t>
      </w:r>
      <w:r>
        <w:rPr>
          <w:i/>
          <w:iCs/>
          <w:sz w:val="24"/>
          <w:szCs w:val="24"/>
        </w:rPr>
        <w:t xml:space="preserve"> </w:t>
      </w:r>
      <w:r w:rsidR="00AB5BD4" w:rsidRPr="00AB5BD4">
        <w:rPr>
          <w:i/>
          <w:iCs/>
          <w:sz w:val="24"/>
          <w:szCs w:val="24"/>
        </w:rPr>
        <w:t>budou mít dostatek financí na pokračování velmi dobře rozjetých investic roku 2024. V oblasti pozemní výstavby a soukromých investorů je velmi těžké</w:t>
      </w:r>
      <w:r>
        <w:rPr>
          <w:i/>
          <w:iCs/>
          <w:sz w:val="24"/>
          <w:szCs w:val="24"/>
        </w:rPr>
        <w:t xml:space="preserve"> </w:t>
      </w:r>
      <w:r w:rsidR="00AB5BD4" w:rsidRPr="00AB5BD4">
        <w:rPr>
          <w:i/>
          <w:iCs/>
          <w:sz w:val="24"/>
          <w:szCs w:val="24"/>
        </w:rPr>
        <w:t>odhadovat, jak trh zareaguje na aktuálně naběhlou novou legislativu stavebního řízení. Věřím však, že nezůstane pozadu a budu doufat</w:t>
      </w:r>
      <w:r w:rsidR="00AB5BD4">
        <w:rPr>
          <w:i/>
          <w:iCs/>
          <w:sz w:val="24"/>
          <w:szCs w:val="24"/>
        </w:rPr>
        <w:t xml:space="preserve"> v mírný růst</w:t>
      </w:r>
      <w:r w:rsidR="00A747E5">
        <w:rPr>
          <w:i/>
          <w:iCs/>
          <w:sz w:val="24"/>
          <w:szCs w:val="24"/>
        </w:rPr>
        <w:t>,</w:t>
      </w:r>
      <w:r w:rsidR="00AB5BD4">
        <w:rPr>
          <w:i/>
          <w:iCs/>
          <w:sz w:val="24"/>
          <w:szCs w:val="24"/>
        </w:rPr>
        <w:t>“</w:t>
      </w:r>
      <w:r w:rsidR="00A747E5">
        <w:rPr>
          <w:i/>
          <w:iCs/>
          <w:sz w:val="24"/>
          <w:szCs w:val="24"/>
        </w:rPr>
        <w:t xml:space="preserve"> </w:t>
      </w:r>
      <w:r w:rsidR="00A747E5">
        <w:rPr>
          <w:sz w:val="24"/>
          <w:szCs w:val="24"/>
        </w:rPr>
        <w:t>vyjádřil se k</w:t>
      </w:r>
      <w:r w:rsidR="00636993">
        <w:rPr>
          <w:sz w:val="24"/>
          <w:szCs w:val="24"/>
        </w:rPr>
        <w:t xml:space="preserve"> výsledkům průzkumu ředitel společnosti CEEC </w:t>
      </w:r>
      <w:proofErr w:type="spellStart"/>
      <w:r w:rsidR="00636993">
        <w:rPr>
          <w:sz w:val="24"/>
          <w:szCs w:val="24"/>
        </w:rPr>
        <w:t>Research</w:t>
      </w:r>
      <w:proofErr w:type="spellEnd"/>
      <w:r w:rsidR="00636993">
        <w:rPr>
          <w:sz w:val="24"/>
          <w:szCs w:val="24"/>
        </w:rPr>
        <w:t xml:space="preserve">, </w:t>
      </w:r>
      <w:r w:rsidR="00636993" w:rsidRPr="00636993">
        <w:rPr>
          <w:b/>
          <w:bCs/>
          <w:sz w:val="24"/>
          <w:szCs w:val="24"/>
        </w:rPr>
        <w:t>Michal Vacek</w:t>
      </w:r>
      <w:r w:rsidR="00636993">
        <w:rPr>
          <w:sz w:val="24"/>
          <w:szCs w:val="24"/>
        </w:rPr>
        <w:t>.</w:t>
      </w:r>
    </w:p>
    <w:p w14:paraId="0BC74202" w14:textId="3CCDCFE0" w:rsidR="008C70BD" w:rsidRDefault="008C70BD" w:rsidP="008C35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Vývoj trhu projektových prací</w:t>
      </w:r>
    </w:p>
    <w:p w14:paraId="54C7F5E3" w14:textId="409E6EA1" w:rsidR="008C70BD" w:rsidRPr="00FA4C53" w:rsidRDefault="00F45552" w:rsidP="008C70B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8C70BD" w:rsidRPr="00FA4C53">
        <w:rPr>
          <w:rFonts w:ascii="Calibri" w:hAnsi="Calibri" w:cs="Calibri"/>
          <w:sz w:val="24"/>
          <w:szCs w:val="24"/>
        </w:rPr>
        <w:t xml:space="preserve">rh projektových prací </w:t>
      </w:r>
      <w:r>
        <w:rPr>
          <w:rFonts w:ascii="Calibri" w:hAnsi="Calibri" w:cs="Calibri"/>
          <w:sz w:val="24"/>
          <w:szCs w:val="24"/>
        </w:rPr>
        <w:t xml:space="preserve">by měl </w:t>
      </w:r>
      <w:r w:rsidR="008C70BD" w:rsidRPr="00FA4C53">
        <w:rPr>
          <w:rFonts w:ascii="Calibri" w:hAnsi="Calibri" w:cs="Calibri"/>
          <w:sz w:val="24"/>
          <w:szCs w:val="24"/>
        </w:rPr>
        <w:t xml:space="preserve">růst do konce roku 2024 až o 2,3 %. Tento </w:t>
      </w:r>
      <w:r w:rsidR="00E33104">
        <w:rPr>
          <w:rFonts w:ascii="Calibri" w:hAnsi="Calibri" w:cs="Calibri"/>
          <w:sz w:val="24"/>
          <w:szCs w:val="24"/>
        </w:rPr>
        <w:t xml:space="preserve">trend </w:t>
      </w:r>
      <w:r w:rsidR="008C70BD" w:rsidRPr="00FA4C53">
        <w:rPr>
          <w:rFonts w:ascii="Calibri" w:hAnsi="Calibri" w:cs="Calibri"/>
          <w:sz w:val="24"/>
          <w:szCs w:val="24"/>
        </w:rPr>
        <w:t xml:space="preserve">bude pokračovat také v roce </w:t>
      </w:r>
      <w:r w:rsidR="00FA4C53" w:rsidRPr="00FA4C53">
        <w:rPr>
          <w:rFonts w:ascii="Calibri" w:hAnsi="Calibri" w:cs="Calibri"/>
          <w:sz w:val="24"/>
          <w:szCs w:val="24"/>
        </w:rPr>
        <w:t>20</w:t>
      </w:r>
      <w:r w:rsidR="008C70BD" w:rsidRPr="00FA4C53">
        <w:rPr>
          <w:rFonts w:ascii="Calibri" w:hAnsi="Calibri" w:cs="Calibri"/>
          <w:sz w:val="24"/>
          <w:szCs w:val="24"/>
        </w:rPr>
        <w:t xml:space="preserve">25, a to o dalších až 1,6 %. </w:t>
      </w:r>
      <w:r w:rsidR="00FA4C53" w:rsidRPr="00FA4C53">
        <w:rPr>
          <w:rFonts w:ascii="Calibri" w:hAnsi="Calibri" w:cs="Calibri"/>
          <w:sz w:val="24"/>
          <w:szCs w:val="24"/>
        </w:rPr>
        <w:t>P</w:t>
      </w:r>
      <w:r w:rsidR="008C70BD" w:rsidRPr="00FA4C53">
        <w:rPr>
          <w:rFonts w:ascii="Calibri" w:hAnsi="Calibri" w:cs="Calibri"/>
          <w:sz w:val="24"/>
          <w:szCs w:val="24"/>
        </w:rPr>
        <w:t>redikce pro příští rok jsou o něco méně optimistické než pro rok letošní. Společnosti, které se věnují převážně</w:t>
      </w:r>
      <w:r w:rsidR="00FA4C53" w:rsidRPr="00FA4C53">
        <w:rPr>
          <w:rFonts w:ascii="Calibri" w:hAnsi="Calibri" w:cs="Calibri"/>
          <w:sz w:val="24"/>
          <w:szCs w:val="24"/>
        </w:rPr>
        <w:t xml:space="preserve"> </w:t>
      </w:r>
      <w:r w:rsidR="008C70BD" w:rsidRPr="00FA4C53">
        <w:rPr>
          <w:rFonts w:ascii="Calibri" w:hAnsi="Calibri" w:cs="Calibri"/>
          <w:sz w:val="24"/>
          <w:szCs w:val="24"/>
        </w:rPr>
        <w:t xml:space="preserve">projektování inženýrských staveb, očekávají i v roce </w:t>
      </w:r>
      <w:r w:rsidR="00FA4C53" w:rsidRPr="00FA4C53">
        <w:rPr>
          <w:rFonts w:ascii="Calibri" w:hAnsi="Calibri" w:cs="Calibri"/>
          <w:sz w:val="24"/>
          <w:szCs w:val="24"/>
        </w:rPr>
        <w:t>20</w:t>
      </w:r>
      <w:r w:rsidR="008C70BD" w:rsidRPr="00FA4C53">
        <w:rPr>
          <w:rFonts w:ascii="Calibri" w:hAnsi="Calibri" w:cs="Calibri"/>
          <w:sz w:val="24"/>
          <w:szCs w:val="24"/>
        </w:rPr>
        <w:t>25 dostatek zakázek v rámci dopravní infrastruktury, a to zejména ze strany Ministerstva dopravy</w:t>
      </w:r>
      <w:r w:rsidR="00FA4C53" w:rsidRPr="00FA4C53">
        <w:rPr>
          <w:rFonts w:ascii="Calibri" w:hAnsi="Calibri" w:cs="Calibri"/>
          <w:sz w:val="24"/>
          <w:szCs w:val="24"/>
        </w:rPr>
        <w:t xml:space="preserve"> ČR</w:t>
      </w:r>
      <w:r w:rsidR="008C70BD" w:rsidRPr="00FA4C53">
        <w:rPr>
          <w:rFonts w:ascii="Calibri" w:hAnsi="Calibri" w:cs="Calibri"/>
          <w:sz w:val="24"/>
          <w:szCs w:val="24"/>
        </w:rPr>
        <w:t>. Obtíže ale vnímají u svých personálních kapacit, které mají téměř maximálně vytížené, což jim znemožňuje další zakázky přijímat.</w:t>
      </w:r>
      <w:r w:rsidR="00FA4C53" w:rsidRPr="00FA4C53">
        <w:rPr>
          <w:rFonts w:ascii="Calibri" w:hAnsi="Calibri" w:cs="Calibri"/>
          <w:sz w:val="24"/>
          <w:szCs w:val="24"/>
        </w:rPr>
        <w:t xml:space="preserve"> </w:t>
      </w:r>
      <w:r w:rsidR="008C70BD" w:rsidRPr="00FA4C53">
        <w:rPr>
          <w:rFonts w:ascii="Calibri" w:hAnsi="Calibri" w:cs="Calibri"/>
          <w:sz w:val="24"/>
          <w:szCs w:val="24"/>
        </w:rPr>
        <w:t xml:space="preserve">To se stává již pravidlem a výjimkou není ani tento rok, kdy projektové společnosti hlásí vytížení svých personálních kapacit na 93 %.  Stavebnictví dlouhodobě bojuje s nedostatkem kvalifikované pracovní síly, a také se stále klesajícím počtem absolventů technických oborů na středních i vysokých školách. Vláda se </w:t>
      </w:r>
      <w:proofErr w:type="gramStart"/>
      <w:r w:rsidR="008C70BD" w:rsidRPr="00FA4C53">
        <w:rPr>
          <w:rFonts w:ascii="Calibri" w:hAnsi="Calibri" w:cs="Calibri"/>
          <w:sz w:val="24"/>
          <w:szCs w:val="24"/>
        </w:rPr>
        <w:t>snaží</w:t>
      </w:r>
      <w:proofErr w:type="gramEnd"/>
      <w:r w:rsidR="008C70BD" w:rsidRPr="00FA4C53">
        <w:rPr>
          <w:rFonts w:ascii="Calibri" w:hAnsi="Calibri" w:cs="Calibri"/>
          <w:sz w:val="24"/>
          <w:szCs w:val="24"/>
        </w:rPr>
        <w:t xml:space="preserve"> na tento problém reagovat v rámci programu Strategie vzdělávací politiky.</w:t>
      </w:r>
    </w:p>
    <w:p w14:paraId="1630D976" w14:textId="1BD15DFA" w:rsidR="008C70BD" w:rsidRDefault="008C70BD" w:rsidP="008C70BD">
      <w:pPr>
        <w:jc w:val="both"/>
        <w:rPr>
          <w:rFonts w:ascii="Calibri" w:hAnsi="Calibri" w:cs="Calibri"/>
          <w:sz w:val="24"/>
          <w:szCs w:val="24"/>
        </w:rPr>
      </w:pPr>
      <w:r w:rsidRPr="00FA4C53">
        <w:rPr>
          <w:rFonts w:ascii="Calibri" w:hAnsi="Calibri" w:cs="Calibri"/>
          <w:sz w:val="24"/>
          <w:szCs w:val="24"/>
        </w:rPr>
        <w:t xml:space="preserve">U pozemního stavitelství počítají projektanti v roce </w:t>
      </w:r>
      <w:r w:rsidR="00FA4C53" w:rsidRPr="00FA4C53">
        <w:rPr>
          <w:rFonts w:ascii="Calibri" w:hAnsi="Calibri" w:cs="Calibri"/>
          <w:sz w:val="24"/>
          <w:szCs w:val="24"/>
        </w:rPr>
        <w:t>20</w:t>
      </w:r>
      <w:r w:rsidRPr="00FA4C53">
        <w:rPr>
          <w:rFonts w:ascii="Calibri" w:hAnsi="Calibri" w:cs="Calibri"/>
          <w:sz w:val="24"/>
          <w:szCs w:val="24"/>
        </w:rPr>
        <w:t xml:space="preserve">25 s pomalejším tempem růstu trhu, zejména s ohledem na komplikace spojené s novým stavebním zákonem. To může mít vliv na rychlost, jakou zvládnou zakázky odbavit. Trh by měl tedy dle všech očekávání růst, a to i přes určité systémové problémy, kterým projektanti čelí. </w:t>
      </w:r>
    </w:p>
    <w:p w14:paraId="6E662D3B" w14:textId="77777777" w:rsidR="009B656A" w:rsidRDefault="009B656A" w:rsidP="009B656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2437BA">
        <w:rPr>
          <w:rFonts w:ascii="Calibri" w:hAnsi="Calibri" w:cs="Calibri"/>
          <w:b/>
          <w:bCs/>
          <w:sz w:val="24"/>
          <w:szCs w:val="24"/>
        </w:rPr>
        <w:t xml:space="preserve">Moritz </w:t>
      </w:r>
      <w:proofErr w:type="spellStart"/>
      <w:r w:rsidRPr="002437BA">
        <w:rPr>
          <w:rFonts w:ascii="Calibri" w:hAnsi="Calibri" w:cs="Calibri"/>
          <w:b/>
          <w:bCs/>
          <w:sz w:val="24"/>
          <w:szCs w:val="24"/>
        </w:rPr>
        <w:t>Freyborn</w:t>
      </w:r>
      <w:proofErr w:type="spellEnd"/>
      <w:r w:rsidRPr="002437BA">
        <w:rPr>
          <w:rFonts w:ascii="Calibri" w:hAnsi="Calibri" w:cs="Calibri"/>
          <w:sz w:val="24"/>
          <w:szCs w:val="24"/>
        </w:rPr>
        <w:t>, předseda představenstva společnosti STRABAG</w:t>
      </w:r>
      <w:r>
        <w:rPr>
          <w:rFonts w:ascii="Calibri" w:hAnsi="Calibri" w:cs="Calibri"/>
          <w:sz w:val="24"/>
          <w:szCs w:val="24"/>
        </w:rPr>
        <w:t>: „</w:t>
      </w:r>
      <w:r w:rsidRPr="002437BA">
        <w:rPr>
          <w:rFonts w:ascii="Calibri" w:hAnsi="Calibri" w:cs="Calibri"/>
          <w:i/>
          <w:iCs/>
          <w:sz w:val="24"/>
          <w:szCs w:val="24"/>
        </w:rPr>
        <w:t xml:space="preserve">S ohledem na vyšší objem vypisovaných zakázek v dopravním stavitelství předpokládáme v této oblasti pozitivní vývoj. </w:t>
      </w:r>
      <w:r w:rsidRPr="002437BA">
        <w:rPr>
          <w:rFonts w:ascii="Calibri" w:hAnsi="Calibri" w:cs="Calibri"/>
          <w:i/>
          <w:iCs/>
          <w:sz w:val="24"/>
          <w:szCs w:val="24"/>
        </w:rPr>
        <w:lastRenderedPageBreak/>
        <w:t>Dá se očekávat velký boj na cenovém poli, zejména u velkých projektů. V pozemním stavitelství pravděpodobně dojde k mírnému poklesu. Ten by v následujících měsících měly zvrátit nižší sazby hypoték, a s tím související oživení především rezidenční výstavby.</w:t>
      </w:r>
      <w:r>
        <w:rPr>
          <w:rFonts w:ascii="Calibri" w:hAnsi="Calibri" w:cs="Calibri"/>
          <w:i/>
          <w:iCs/>
          <w:sz w:val="24"/>
          <w:szCs w:val="24"/>
        </w:rPr>
        <w:t>“</w:t>
      </w:r>
    </w:p>
    <w:p w14:paraId="5BADFCBA" w14:textId="3FBD6AC3" w:rsidR="0005601D" w:rsidRPr="002437BA" w:rsidRDefault="0005601D" w:rsidP="009B656A">
      <w:pPr>
        <w:jc w:val="both"/>
        <w:rPr>
          <w:rFonts w:ascii="Calibri" w:hAnsi="Calibri" w:cs="Calibri"/>
          <w:sz w:val="24"/>
          <w:szCs w:val="24"/>
        </w:rPr>
      </w:pPr>
      <w:r w:rsidRPr="0005601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0B596DA" wp14:editId="24F6BE52">
            <wp:extent cx="4618120" cy="3406435"/>
            <wp:effectExtent l="0" t="0" r="0" b="3810"/>
            <wp:docPr id="1265337886" name="Obrázek 1" descr="Obsah obrázku text, snímek obrazovky, Písm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37886" name="Obrázek 1" descr="Obsah obrázku text, snímek obrazovky, Písmo, diagram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8120" cy="34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C4AB7" w14:textId="77777777" w:rsidR="009B656A" w:rsidRPr="00FA4C53" w:rsidRDefault="009B656A" w:rsidP="008C70BD">
      <w:pPr>
        <w:jc w:val="both"/>
        <w:rPr>
          <w:rFonts w:ascii="Calibri" w:hAnsi="Calibri" w:cs="Calibri"/>
          <w:sz w:val="24"/>
          <w:szCs w:val="24"/>
        </w:rPr>
      </w:pPr>
    </w:p>
    <w:p w14:paraId="75CB0E56" w14:textId="253C59E4" w:rsidR="008C70BD" w:rsidRPr="00FA4C53" w:rsidRDefault="008C70BD" w:rsidP="008C70B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A4C53">
        <w:rPr>
          <w:rFonts w:ascii="Calibri" w:hAnsi="Calibri" w:cs="Calibri"/>
          <w:b/>
          <w:bCs/>
          <w:sz w:val="24"/>
          <w:szCs w:val="24"/>
        </w:rPr>
        <w:t>Vývoj trhu stavebních prací</w:t>
      </w:r>
    </w:p>
    <w:p w14:paraId="031DF2EC" w14:textId="1906EE28" w:rsidR="008C70BD" w:rsidRDefault="008C70BD" w:rsidP="008C70BD">
      <w:pPr>
        <w:jc w:val="both"/>
        <w:rPr>
          <w:rFonts w:ascii="Calibri" w:hAnsi="Calibri" w:cs="Calibri"/>
          <w:sz w:val="24"/>
          <w:szCs w:val="24"/>
        </w:rPr>
      </w:pPr>
      <w:r w:rsidRPr="00FA4C53">
        <w:rPr>
          <w:rFonts w:ascii="Calibri" w:hAnsi="Calibri" w:cs="Calibri"/>
          <w:sz w:val="24"/>
          <w:szCs w:val="24"/>
        </w:rPr>
        <w:t xml:space="preserve">Podle </w:t>
      </w:r>
      <w:r w:rsidR="00FA4C53" w:rsidRPr="00FA4C53">
        <w:rPr>
          <w:rFonts w:ascii="Calibri" w:hAnsi="Calibri" w:cs="Calibri"/>
          <w:sz w:val="24"/>
          <w:szCs w:val="24"/>
        </w:rPr>
        <w:t xml:space="preserve">průzkumu společnosti CEEC </w:t>
      </w:r>
      <w:proofErr w:type="spellStart"/>
      <w:r w:rsidR="00FA4C53" w:rsidRPr="00FA4C53">
        <w:rPr>
          <w:rFonts w:ascii="Calibri" w:hAnsi="Calibri" w:cs="Calibri"/>
          <w:sz w:val="24"/>
          <w:szCs w:val="24"/>
        </w:rPr>
        <w:t>Research</w:t>
      </w:r>
      <w:proofErr w:type="spellEnd"/>
      <w:r w:rsidR="00FA4C53" w:rsidRPr="00FA4C53">
        <w:rPr>
          <w:rFonts w:ascii="Calibri" w:hAnsi="Calibri" w:cs="Calibri"/>
          <w:sz w:val="24"/>
          <w:szCs w:val="24"/>
        </w:rPr>
        <w:t xml:space="preserve"> </w:t>
      </w:r>
      <w:r w:rsidRPr="00FA4C53">
        <w:rPr>
          <w:rFonts w:ascii="Calibri" w:hAnsi="Calibri" w:cs="Calibri"/>
          <w:sz w:val="24"/>
          <w:szCs w:val="24"/>
        </w:rPr>
        <w:t xml:space="preserve">se situace v českém stavebnictví bude do konce roku 2024 nadále zhoršovat, a to s očekávaným poklesem trhu stavebních prací o 0,9 %. Tento vývoj je ovlivněn několika faktory, jako jsou změny v legislativě, rostoucí ceny stavebních materiálů a celková setrvačnost trhu. I když je výhled na rok </w:t>
      </w:r>
      <w:r w:rsidR="00FA4C53" w:rsidRPr="00FA4C53">
        <w:rPr>
          <w:rFonts w:ascii="Calibri" w:hAnsi="Calibri" w:cs="Calibri"/>
          <w:sz w:val="24"/>
          <w:szCs w:val="24"/>
        </w:rPr>
        <w:t>20</w:t>
      </w:r>
      <w:r w:rsidRPr="00FA4C53">
        <w:rPr>
          <w:rFonts w:ascii="Calibri" w:hAnsi="Calibri" w:cs="Calibri"/>
          <w:sz w:val="24"/>
          <w:szCs w:val="24"/>
        </w:rPr>
        <w:t xml:space="preserve">25 ve srovnání s výsledky Kvartální analýzy českého stavebnictví z druhého čtvrtletí tohoto roku o něco méně optimistický, </w:t>
      </w:r>
      <w:r w:rsidR="00FA4C53" w:rsidRPr="00FA4C53">
        <w:rPr>
          <w:rFonts w:ascii="Calibri" w:hAnsi="Calibri" w:cs="Calibri"/>
          <w:sz w:val="24"/>
          <w:szCs w:val="24"/>
        </w:rPr>
        <w:t xml:space="preserve">ředitelé stavebních </w:t>
      </w:r>
      <w:r w:rsidRPr="00FA4C53">
        <w:rPr>
          <w:rFonts w:ascii="Calibri" w:hAnsi="Calibri" w:cs="Calibri"/>
          <w:sz w:val="24"/>
          <w:szCs w:val="24"/>
        </w:rPr>
        <w:t>společnost</w:t>
      </w:r>
      <w:r w:rsidR="00FA4C53" w:rsidRPr="00FA4C53">
        <w:rPr>
          <w:rFonts w:ascii="Calibri" w:hAnsi="Calibri" w:cs="Calibri"/>
          <w:sz w:val="24"/>
          <w:szCs w:val="24"/>
        </w:rPr>
        <w:t>í</w:t>
      </w:r>
      <w:r w:rsidRPr="00FA4C53">
        <w:rPr>
          <w:rFonts w:ascii="Calibri" w:hAnsi="Calibri" w:cs="Calibri"/>
          <w:sz w:val="24"/>
          <w:szCs w:val="24"/>
        </w:rPr>
        <w:t xml:space="preserve"> zůstávají nadále pozitivní. </w:t>
      </w:r>
      <w:r w:rsidR="00A528D8" w:rsidRPr="00F45552">
        <w:rPr>
          <w:rFonts w:ascii="Calibri" w:hAnsi="Calibri" w:cs="Calibri"/>
          <w:sz w:val="24"/>
          <w:szCs w:val="24"/>
        </w:rPr>
        <w:t>P</w:t>
      </w:r>
      <w:r w:rsidRPr="00F45552">
        <w:rPr>
          <w:rFonts w:ascii="Calibri" w:hAnsi="Calibri" w:cs="Calibri"/>
          <w:sz w:val="24"/>
          <w:szCs w:val="24"/>
        </w:rPr>
        <w:t>ředpokládají, že dojde ke změně na trhu a stavebnictví se v příštím roce opět vrátí k růstu, který by měl</w:t>
      </w:r>
      <w:r w:rsidR="00A528D8" w:rsidRPr="00F45552">
        <w:rPr>
          <w:rFonts w:ascii="Calibri" w:hAnsi="Calibri" w:cs="Calibri"/>
          <w:sz w:val="24"/>
          <w:szCs w:val="24"/>
        </w:rPr>
        <w:t>,</w:t>
      </w:r>
      <w:r w:rsidRPr="00F45552">
        <w:rPr>
          <w:rFonts w:ascii="Calibri" w:hAnsi="Calibri" w:cs="Calibri"/>
          <w:sz w:val="24"/>
          <w:szCs w:val="24"/>
        </w:rPr>
        <w:t xml:space="preserve"> podle jejich názoru</w:t>
      </w:r>
      <w:r w:rsidR="00A528D8" w:rsidRPr="00F45552">
        <w:rPr>
          <w:rFonts w:ascii="Calibri" w:hAnsi="Calibri" w:cs="Calibri"/>
          <w:sz w:val="24"/>
          <w:szCs w:val="24"/>
        </w:rPr>
        <w:t>,</w:t>
      </w:r>
      <w:r w:rsidRPr="00F45552">
        <w:rPr>
          <w:rFonts w:ascii="Calibri" w:hAnsi="Calibri" w:cs="Calibri"/>
          <w:sz w:val="24"/>
          <w:szCs w:val="24"/>
        </w:rPr>
        <w:t xml:space="preserve"> dosáhnout až 1,2 %. Tento růst </w:t>
      </w:r>
      <w:proofErr w:type="gramStart"/>
      <w:r w:rsidRPr="00F45552">
        <w:rPr>
          <w:rFonts w:ascii="Calibri" w:hAnsi="Calibri" w:cs="Calibri"/>
          <w:sz w:val="24"/>
          <w:szCs w:val="24"/>
        </w:rPr>
        <w:t>podpoří</w:t>
      </w:r>
      <w:proofErr w:type="gramEnd"/>
      <w:r w:rsidRPr="00F45552">
        <w:rPr>
          <w:rFonts w:ascii="Calibri" w:hAnsi="Calibri" w:cs="Calibri"/>
          <w:sz w:val="24"/>
          <w:szCs w:val="24"/>
        </w:rPr>
        <w:t xml:space="preserve"> oživení ekonomiky a zvyšující se investice do infrastrukturních projektů. Shodují se, že přijdou nové příležitosti pro rozvoj celého odvětví, kromě jiného např. ve výstavbě vysokorychlostních tratí.</w:t>
      </w:r>
    </w:p>
    <w:p w14:paraId="045BBB9B" w14:textId="05A44F04" w:rsidR="00C76868" w:rsidRDefault="00C76868" w:rsidP="00C7686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C76868">
        <w:rPr>
          <w:rFonts w:ascii="Calibri" w:hAnsi="Calibri" w:cs="Calibri"/>
          <w:b/>
          <w:bCs/>
          <w:sz w:val="24"/>
          <w:szCs w:val="24"/>
        </w:rPr>
        <w:t>Tomáš Koranda</w:t>
      </w:r>
      <w:r>
        <w:rPr>
          <w:rFonts w:ascii="Calibri" w:hAnsi="Calibri" w:cs="Calibri"/>
          <w:sz w:val="24"/>
          <w:szCs w:val="24"/>
        </w:rPr>
        <w:t xml:space="preserve">, předseda představenstva </w:t>
      </w:r>
      <w:proofErr w:type="spellStart"/>
      <w:r>
        <w:rPr>
          <w:rFonts w:ascii="Calibri" w:hAnsi="Calibri" w:cs="Calibri"/>
          <w:sz w:val="24"/>
          <w:szCs w:val="24"/>
        </w:rPr>
        <w:t>Hochtief</w:t>
      </w:r>
      <w:proofErr w:type="spellEnd"/>
      <w:r>
        <w:rPr>
          <w:rFonts w:ascii="Calibri" w:hAnsi="Calibri" w:cs="Calibri"/>
          <w:sz w:val="24"/>
          <w:szCs w:val="24"/>
        </w:rPr>
        <w:t xml:space="preserve"> CZ, říká: „</w:t>
      </w:r>
      <w:r w:rsidRPr="00C76868">
        <w:rPr>
          <w:rFonts w:ascii="Calibri" w:hAnsi="Calibri" w:cs="Calibri"/>
          <w:i/>
          <w:iCs/>
          <w:sz w:val="24"/>
          <w:szCs w:val="24"/>
        </w:rPr>
        <w:t>Energetická a inflační krize, která přinesla nárůst cen materiálů, zhoršení dostupnosti hypotečních úvěrů a obecného ochlazení rezidenčního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76868">
        <w:rPr>
          <w:rFonts w:ascii="Calibri" w:hAnsi="Calibri" w:cs="Calibri"/>
          <w:i/>
          <w:iCs/>
          <w:sz w:val="24"/>
          <w:szCs w:val="24"/>
        </w:rPr>
        <w:t>a kancelářského trhu, postupně odeznívá. Nyní se již snižují úroky, narůst inflace se zpomalil a klesá a trhy se začaly stabilizovat. Proto se investorům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76868">
        <w:rPr>
          <w:rFonts w:ascii="Calibri" w:hAnsi="Calibri" w:cs="Calibri"/>
          <w:i/>
          <w:iCs/>
          <w:sz w:val="24"/>
          <w:szCs w:val="24"/>
        </w:rPr>
        <w:t>pomalu vrací optimismus, což je dobrá zpráva pro následující rok. Celý trh stavebnictví navíc nadále táhnou velké projekty dopravní infrastruktury, které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76868">
        <w:rPr>
          <w:rFonts w:ascii="Calibri" w:hAnsi="Calibri" w:cs="Calibri"/>
          <w:i/>
          <w:iCs/>
          <w:sz w:val="24"/>
          <w:szCs w:val="24"/>
        </w:rPr>
        <w:t>budou pokračovat i v roce 2025.</w:t>
      </w:r>
      <w:r>
        <w:rPr>
          <w:rFonts w:ascii="Calibri" w:hAnsi="Calibri" w:cs="Calibri"/>
          <w:i/>
          <w:iCs/>
          <w:sz w:val="24"/>
          <w:szCs w:val="24"/>
        </w:rPr>
        <w:t>“</w:t>
      </w:r>
    </w:p>
    <w:p w14:paraId="5E59537B" w14:textId="01DC5387" w:rsidR="00121307" w:rsidRPr="00C76868" w:rsidRDefault="006C534C" w:rsidP="00121307">
      <w:p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A velmi podobně vidí situaci na stavebním trhu i generální ředitel Metrostavu, </w:t>
      </w:r>
      <w:r w:rsidRPr="006C534C">
        <w:rPr>
          <w:rFonts w:ascii="Calibri" w:hAnsi="Calibri" w:cs="Calibri"/>
          <w:b/>
          <w:bCs/>
          <w:sz w:val="24"/>
          <w:szCs w:val="24"/>
        </w:rPr>
        <w:t xml:space="preserve">Jaroslav </w:t>
      </w:r>
      <w:proofErr w:type="spellStart"/>
      <w:r w:rsidRPr="006C534C">
        <w:rPr>
          <w:rFonts w:ascii="Calibri" w:hAnsi="Calibri" w:cs="Calibri"/>
          <w:b/>
          <w:bCs/>
          <w:sz w:val="24"/>
          <w:szCs w:val="24"/>
        </w:rPr>
        <w:t>Heran</w:t>
      </w:r>
      <w:proofErr w:type="spellEnd"/>
      <w:r>
        <w:rPr>
          <w:rFonts w:ascii="Calibri" w:hAnsi="Calibri" w:cs="Calibri"/>
          <w:sz w:val="24"/>
          <w:szCs w:val="24"/>
        </w:rPr>
        <w:t xml:space="preserve">: </w:t>
      </w:r>
      <w:r w:rsidR="00121307">
        <w:rPr>
          <w:rFonts w:ascii="Calibri" w:hAnsi="Calibri" w:cs="Calibri"/>
          <w:i/>
          <w:iCs/>
          <w:sz w:val="24"/>
          <w:szCs w:val="24"/>
        </w:rPr>
        <w:t>„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Pro rok 2025 jsme optimisté a předpokládáme</w:t>
      </w:r>
      <w:r w:rsidR="001213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obnovení růstu. Vycházíme z předpokladu, že zůstane zachována aktivita</w:t>
      </w:r>
      <w:r w:rsidR="001213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státu v investicích do infrastrukturních staveb, že budou v</w:t>
      </w:r>
      <w:r w:rsidR="00121307">
        <w:rPr>
          <w:rFonts w:ascii="Calibri" w:hAnsi="Calibri" w:cs="Calibri"/>
          <w:i/>
          <w:iCs/>
          <w:sz w:val="24"/>
          <w:szCs w:val="24"/>
        </w:rPr>
        <w:t> 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souvislosti</w:t>
      </w:r>
      <w:r w:rsidR="001213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s ekologizací energetiky a průmyslu zahajovány další významné projekty</w:t>
      </w:r>
      <w:r w:rsidR="00121307" w:rsidRPr="00121307">
        <w:rPr>
          <w:rFonts w:ascii="SourceSansVariable-Italic" w:hAnsi="SourceSansVariable-Italic" w:cs="SourceSansVariable-Italic"/>
          <w:i/>
          <w:iCs/>
          <w:sz w:val="15"/>
          <w:szCs w:val="15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a že se v neposlední řadě v celkových výkonech stavebnictví již významněji</w:t>
      </w:r>
      <w:r w:rsidR="001213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projeví oživení bytové výstavby, ke kterému pozvolna dochází již od konce</w:t>
      </w:r>
      <w:r w:rsidR="001213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loňského roku. Celkový výsledek za rok 2025 může být samozřejmě ještě</w:t>
      </w:r>
      <w:r w:rsidR="001213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ovlivněn řadou vlivů. Pozitivně se může projevit další snižování úrokových</w:t>
      </w:r>
      <w:r w:rsidR="001213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sazeb bankovních úvěrů a hypoték, nebo oživení investiční aktivity malých</w:t>
      </w:r>
      <w:r w:rsidR="001213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a středních municipalit. Velmi vážně by mohlo celé stavebnictví negativně</w:t>
      </w:r>
      <w:r w:rsidR="001213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zasáhnout případné nezvládnutí přechodu na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digitalizaci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stavebního řízení a jeho zablokování na delší dobu, nebo pokud by</w:t>
      </w:r>
      <w:r w:rsidR="001213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21307" w:rsidRPr="00121307">
        <w:rPr>
          <w:rFonts w:ascii="Calibri" w:hAnsi="Calibri" w:cs="Calibri"/>
          <w:i/>
          <w:iCs/>
          <w:sz w:val="24"/>
          <w:szCs w:val="24"/>
        </w:rPr>
        <w:t>například došlo k významnému krácení veřejných</w:t>
      </w:r>
      <w:r w:rsidR="00121307">
        <w:rPr>
          <w:rFonts w:ascii="Calibri" w:hAnsi="Calibri" w:cs="Calibri"/>
          <w:i/>
          <w:iCs/>
          <w:sz w:val="24"/>
          <w:szCs w:val="24"/>
        </w:rPr>
        <w:t xml:space="preserve"> rozpočtů v této oblasti.“</w:t>
      </w:r>
    </w:p>
    <w:p w14:paraId="228B4122" w14:textId="33F60207" w:rsidR="008C70BD" w:rsidRPr="00F45552" w:rsidRDefault="009161C8" w:rsidP="008C70BD">
      <w:pPr>
        <w:jc w:val="both"/>
        <w:rPr>
          <w:rFonts w:ascii="Calibri" w:hAnsi="Calibri" w:cs="Calibri"/>
          <w:sz w:val="24"/>
          <w:szCs w:val="24"/>
        </w:rPr>
      </w:pPr>
      <w:r w:rsidRPr="009161C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FB8948A" wp14:editId="6FDB7917">
            <wp:extent cx="4282811" cy="3071126"/>
            <wp:effectExtent l="0" t="0" r="3810" b="0"/>
            <wp:docPr id="19060199" name="Obrázek 1" descr="Obsah obrázku text, snímek obrazovky, Písm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199" name="Obrázek 1" descr="Obsah obrázku text, snímek obrazovky, Písmo, diagram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2811" cy="307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F318E" w14:textId="4A9A706F" w:rsidR="00E36C35" w:rsidRPr="00AB1210" w:rsidRDefault="003E0300" w:rsidP="003E0300">
      <w:pPr>
        <w:rPr>
          <w:rFonts w:ascii="Calibri" w:hAnsi="Calibri" w:cs="Calibri"/>
          <w:sz w:val="24"/>
          <w:szCs w:val="24"/>
        </w:rPr>
      </w:pPr>
      <w:r w:rsidRPr="003E0300">
        <w:rPr>
          <w:rFonts w:ascii="Calibri" w:hAnsi="Calibri" w:cs="Calibri"/>
          <w:sz w:val="24"/>
          <w:szCs w:val="24"/>
        </w:rPr>
        <w:t>Velk</w:t>
      </w:r>
      <w:r w:rsidRPr="00AB1210">
        <w:rPr>
          <w:rFonts w:ascii="Calibri" w:hAnsi="Calibri" w:cs="Calibri"/>
          <w:sz w:val="24"/>
          <w:szCs w:val="24"/>
        </w:rPr>
        <w:t>é</w:t>
      </w:r>
      <w:r w:rsidRPr="003E0300">
        <w:rPr>
          <w:rFonts w:ascii="Calibri" w:hAnsi="Calibri" w:cs="Calibri"/>
          <w:sz w:val="24"/>
          <w:szCs w:val="24"/>
        </w:rPr>
        <w:t xml:space="preserve"> </w:t>
      </w:r>
      <w:r w:rsidRPr="00AB1210">
        <w:rPr>
          <w:rFonts w:ascii="Calibri" w:hAnsi="Calibri" w:cs="Calibri"/>
          <w:sz w:val="24"/>
          <w:szCs w:val="24"/>
        </w:rPr>
        <w:t>stavební</w:t>
      </w:r>
      <w:r w:rsidRPr="003E0300">
        <w:rPr>
          <w:rFonts w:ascii="Calibri" w:hAnsi="Calibri" w:cs="Calibri"/>
          <w:sz w:val="24"/>
          <w:szCs w:val="24"/>
        </w:rPr>
        <w:t xml:space="preserve"> společnosti </w:t>
      </w:r>
      <w:r w:rsidRPr="00AB1210">
        <w:rPr>
          <w:rFonts w:ascii="Calibri" w:hAnsi="Calibri" w:cs="Calibri"/>
          <w:sz w:val="24"/>
          <w:szCs w:val="24"/>
        </w:rPr>
        <w:t>předpokládají</w:t>
      </w:r>
      <w:r w:rsidRPr="003E0300">
        <w:rPr>
          <w:rFonts w:ascii="Calibri" w:hAnsi="Calibri" w:cs="Calibri"/>
          <w:sz w:val="24"/>
          <w:szCs w:val="24"/>
        </w:rPr>
        <w:t xml:space="preserve"> v roce 2024 pokles trhu </w:t>
      </w:r>
      <w:r w:rsidRPr="00AB1210">
        <w:rPr>
          <w:rFonts w:ascii="Calibri" w:hAnsi="Calibri" w:cs="Calibri"/>
          <w:sz w:val="24"/>
          <w:szCs w:val="24"/>
        </w:rPr>
        <w:t>stavebních</w:t>
      </w:r>
      <w:r w:rsidRPr="003E0300">
        <w:rPr>
          <w:rFonts w:ascii="Calibri" w:hAnsi="Calibri" w:cs="Calibri"/>
          <w:sz w:val="24"/>
          <w:szCs w:val="24"/>
        </w:rPr>
        <w:t xml:space="preserve"> </w:t>
      </w:r>
      <w:r w:rsidRPr="00AB1210">
        <w:rPr>
          <w:rFonts w:ascii="Calibri" w:hAnsi="Calibri" w:cs="Calibri"/>
          <w:sz w:val="24"/>
          <w:szCs w:val="24"/>
        </w:rPr>
        <w:t>prací</w:t>
      </w:r>
      <w:r w:rsidRPr="003E0300">
        <w:rPr>
          <w:rFonts w:ascii="Calibri" w:hAnsi="Calibri" w:cs="Calibri"/>
          <w:sz w:val="24"/>
          <w:szCs w:val="24"/>
        </w:rPr>
        <w:t xml:space="preserve"> o 1,1 %. Tento pokles by měl b</w:t>
      </w:r>
      <w:r w:rsidRPr="00AB1210">
        <w:rPr>
          <w:rFonts w:ascii="Calibri" w:hAnsi="Calibri" w:cs="Calibri"/>
          <w:sz w:val="24"/>
          <w:szCs w:val="24"/>
        </w:rPr>
        <w:t>ý</w:t>
      </w:r>
      <w:r w:rsidRPr="003E0300">
        <w:rPr>
          <w:rFonts w:ascii="Calibri" w:hAnsi="Calibri" w:cs="Calibri"/>
          <w:sz w:val="24"/>
          <w:szCs w:val="24"/>
        </w:rPr>
        <w:t xml:space="preserve">t </w:t>
      </w:r>
      <w:r w:rsidRPr="00AB1210">
        <w:rPr>
          <w:rFonts w:ascii="Calibri" w:hAnsi="Calibri" w:cs="Calibri"/>
          <w:sz w:val="24"/>
          <w:szCs w:val="24"/>
        </w:rPr>
        <w:t xml:space="preserve">následován </w:t>
      </w:r>
      <w:r w:rsidRPr="003E0300">
        <w:rPr>
          <w:rFonts w:ascii="Calibri" w:hAnsi="Calibri" w:cs="Calibri"/>
          <w:sz w:val="24"/>
          <w:szCs w:val="24"/>
        </w:rPr>
        <w:t xml:space="preserve">růstem o 1,6 % v roce 2025, což naznačuje </w:t>
      </w:r>
      <w:r w:rsidRPr="00AB1210">
        <w:rPr>
          <w:rFonts w:ascii="Calibri" w:hAnsi="Calibri" w:cs="Calibri"/>
          <w:sz w:val="24"/>
          <w:szCs w:val="24"/>
        </w:rPr>
        <w:t>očekávání</w:t>
      </w:r>
      <w:r w:rsidRPr="003E0300">
        <w:rPr>
          <w:rFonts w:ascii="Calibri" w:hAnsi="Calibri" w:cs="Calibri"/>
          <w:sz w:val="24"/>
          <w:szCs w:val="24"/>
        </w:rPr>
        <w:t xml:space="preserve"> stabilizace a </w:t>
      </w:r>
      <w:r w:rsidRPr="00AB1210">
        <w:rPr>
          <w:rFonts w:ascii="Calibri" w:hAnsi="Calibri" w:cs="Calibri"/>
          <w:sz w:val="24"/>
          <w:szCs w:val="24"/>
        </w:rPr>
        <w:t>opětovného</w:t>
      </w:r>
      <w:r w:rsidRPr="003E0300">
        <w:rPr>
          <w:rFonts w:ascii="Calibri" w:hAnsi="Calibri" w:cs="Calibri"/>
          <w:sz w:val="24"/>
          <w:szCs w:val="24"/>
        </w:rPr>
        <w:t xml:space="preserve"> oživen</w:t>
      </w:r>
      <w:r w:rsidRPr="00AB1210">
        <w:rPr>
          <w:rFonts w:ascii="Calibri" w:hAnsi="Calibri" w:cs="Calibri"/>
          <w:sz w:val="24"/>
          <w:szCs w:val="24"/>
        </w:rPr>
        <w:t>í</w:t>
      </w:r>
      <w:r w:rsidRPr="003E0300">
        <w:rPr>
          <w:rFonts w:ascii="Calibri" w:hAnsi="Calibri" w:cs="Calibri"/>
          <w:sz w:val="24"/>
          <w:szCs w:val="24"/>
        </w:rPr>
        <w:t xml:space="preserve"> v tomto segmentu. Mal</w:t>
      </w:r>
      <w:r w:rsidR="00AB1210" w:rsidRPr="00AB1210">
        <w:rPr>
          <w:rFonts w:ascii="Calibri" w:hAnsi="Calibri" w:cs="Calibri"/>
          <w:sz w:val="24"/>
          <w:szCs w:val="24"/>
        </w:rPr>
        <w:t>é</w:t>
      </w:r>
      <w:r w:rsidRPr="003E0300">
        <w:rPr>
          <w:rFonts w:ascii="Calibri" w:hAnsi="Calibri" w:cs="Calibri"/>
          <w:sz w:val="24"/>
          <w:szCs w:val="24"/>
        </w:rPr>
        <w:t xml:space="preserve"> společnosti</w:t>
      </w:r>
      <w:r w:rsidRPr="00AB1210">
        <w:rPr>
          <w:rFonts w:ascii="Calibri" w:hAnsi="Calibri" w:cs="Calibri"/>
          <w:sz w:val="24"/>
          <w:szCs w:val="24"/>
        </w:rPr>
        <w:t xml:space="preserve"> </w:t>
      </w:r>
      <w:r w:rsidRPr="003E0300">
        <w:rPr>
          <w:rFonts w:ascii="Calibri" w:hAnsi="Calibri" w:cs="Calibri"/>
          <w:sz w:val="24"/>
          <w:szCs w:val="24"/>
        </w:rPr>
        <w:t>predikuj</w:t>
      </w:r>
      <w:r w:rsidRPr="00AB1210">
        <w:rPr>
          <w:rFonts w:ascii="Calibri" w:hAnsi="Calibri" w:cs="Calibri"/>
          <w:sz w:val="24"/>
          <w:szCs w:val="24"/>
        </w:rPr>
        <w:t>í</w:t>
      </w:r>
      <w:r w:rsidRPr="003E0300">
        <w:rPr>
          <w:rFonts w:ascii="Calibri" w:hAnsi="Calibri" w:cs="Calibri"/>
          <w:sz w:val="24"/>
          <w:szCs w:val="24"/>
        </w:rPr>
        <w:t xml:space="preserve"> </w:t>
      </w:r>
      <w:r w:rsidRPr="00AB1210">
        <w:rPr>
          <w:rFonts w:ascii="Calibri" w:hAnsi="Calibri" w:cs="Calibri"/>
          <w:sz w:val="24"/>
          <w:szCs w:val="24"/>
        </w:rPr>
        <w:t>mírnější</w:t>
      </w:r>
      <w:r w:rsidRPr="003E0300">
        <w:rPr>
          <w:rFonts w:ascii="Calibri" w:hAnsi="Calibri" w:cs="Calibri"/>
          <w:sz w:val="24"/>
          <w:szCs w:val="24"/>
        </w:rPr>
        <w:t xml:space="preserve"> pokles trhu v roce 2024, kter</w:t>
      </w:r>
      <w:r w:rsidRPr="00AB1210">
        <w:rPr>
          <w:rFonts w:ascii="Calibri" w:hAnsi="Calibri" w:cs="Calibri"/>
          <w:sz w:val="24"/>
          <w:szCs w:val="24"/>
        </w:rPr>
        <w:t>ý</w:t>
      </w:r>
      <w:r w:rsidRPr="003E0300">
        <w:rPr>
          <w:rFonts w:ascii="Calibri" w:hAnsi="Calibri" w:cs="Calibri"/>
          <w:sz w:val="24"/>
          <w:szCs w:val="24"/>
        </w:rPr>
        <w:t xml:space="preserve"> by měl činit 0,7 %. </w:t>
      </w:r>
      <w:r w:rsidRPr="00AB1210">
        <w:rPr>
          <w:rFonts w:ascii="Calibri" w:hAnsi="Calibri" w:cs="Calibri"/>
          <w:sz w:val="24"/>
          <w:szCs w:val="24"/>
        </w:rPr>
        <w:t>Následně</w:t>
      </w:r>
      <w:r w:rsidRPr="003E0300">
        <w:rPr>
          <w:rFonts w:ascii="Calibri" w:hAnsi="Calibri" w:cs="Calibri"/>
          <w:sz w:val="24"/>
          <w:szCs w:val="24"/>
        </w:rPr>
        <w:t xml:space="preserve"> </w:t>
      </w:r>
      <w:r w:rsidRPr="00AB1210">
        <w:rPr>
          <w:rFonts w:ascii="Calibri" w:hAnsi="Calibri" w:cs="Calibri"/>
          <w:sz w:val="24"/>
          <w:szCs w:val="24"/>
        </w:rPr>
        <w:t>očekávají</w:t>
      </w:r>
      <w:r w:rsidRPr="003E0300">
        <w:rPr>
          <w:rFonts w:ascii="Calibri" w:hAnsi="Calibri" w:cs="Calibri"/>
          <w:sz w:val="24"/>
          <w:szCs w:val="24"/>
        </w:rPr>
        <w:t xml:space="preserve"> růst o 0,7 % v roce 2025. Velk</w:t>
      </w:r>
      <w:r w:rsidRPr="00AB1210">
        <w:rPr>
          <w:rFonts w:ascii="Calibri" w:hAnsi="Calibri" w:cs="Calibri"/>
          <w:sz w:val="24"/>
          <w:szCs w:val="24"/>
        </w:rPr>
        <w:t>é</w:t>
      </w:r>
      <w:r w:rsidRPr="003E0300">
        <w:rPr>
          <w:rFonts w:ascii="Calibri" w:hAnsi="Calibri" w:cs="Calibri"/>
          <w:sz w:val="24"/>
          <w:szCs w:val="24"/>
        </w:rPr>
        <w:t xml:space="preserve"> firmy </w:t>
      </w:r>
      <w:r w:rsidRPr="00AB1210">
        <w:rPr>
          <w:rFonts w:ascii="Calibri" w:hAnsi="Calibri" w:cs="Calibri"/>
          <w:sz w:val="24"/>
          <w:szCs w:val="24"/>
        </w:rPr>
        <w:t xml:space="preserve">mají </w:t>
      </w:r>
      <w:r w:rsidRPr="003E0300">
        <w:rPr>
          <w:rFonts w:ascii="Calibri" w:hAnsi="Calibri" w:cs="Calibri"/>
          <w:sz w:val="24"/>
          <w:szCs w:val="24"/>
        </w:rPr>
        <w:t>lepš</w:t>
      </w:r>
      <w:r w:rsidRPr="00AB1210">
        <w:rPr>
          <w:rFonts w:ascii="Calibri" w:hAnsi="Calibri" w:cs="Calibri"/>
          <w:sz w:val="24"/>
          <w:szCs w:val="24"/>
        </w:rPr>
        <w:t>í</w:t>
      </w:r>
      <w:r w:rsidRPr="003E0300">
        <w:rPr>
          <w:rFonts w:ascii="Calibri" w:hAnsi="Calibri" w:cs="Calibri"/>
          <w:sz w:val="24"/>
          <w:szCs w:val="24"/>
        </w:rPr>
        <w:t xml:space="preserve"> př</w:t>
      </w:r>
      <w:r w:rsidRPr="00AB1210">
        <w:rPr>
          <w:rFonts w:ascii="Calibri" w:hAnsi="Calibri" w:cs="Calibri"/>
          <w:sz w:val="24"/>
          <w:szCs w:val="24"/>
        </w:rPr>
        <w:t>í</w:t>
      </w:r>
      <w:r w:rsidRPr="003E0300">
        <w:rPr>
          <w:rFonts w:ascii="Calibri" w:hAnsi="Calibri" w:cs="Calibri"/>
          <w:sz w:val="24"/>
          <w:szCs w:val="24"/>
        </w:rPr>
        <w:t xml:space="preserve">stup ke </w:t>
      </w:r>
      <w:r w:rsidRPr="00AB1210">
        <w:rPr>
          <w:rFonts w:ascii="Calibri" w:hAnsi="Calibri" w:cs="Calibri"/>
          <w:sz w:val="24"/>
          <w:szCs w:val="24"/>
        </w:rPr>
        <w:t>kapitálu</w:t>
      </w:r>
      <w:r w:rsidRPr="003E0300">
        <w:rPr>
          <w:rFonts w:ascii="Calibri" w:hAnsi="Calibri" w:cs="Calibri"/>
          <w:sz w:val="24"/>
          <w:szCs w:val="24"/>
        </w:rPr>
        <w:t xml:space="preserve"> a větš</w:t>
      </w:r>
      <w:r w:rsidRPr="00AB1210">
        <w:rPr>
          <w:rFonts w:ascii="Calibri" w:hAnsi="Calibri" w:cs="Calibri"/>
          <w:sz w:val="24"/>
          <w:szCs w:val="24"/>
        </w:rPr>
        <w:t>í</w:t>
      </w:r>
      <w:r w:rsidRPr="003E0300">
        <w:rPr>
          <w:rFonts w:ascii="Calibri" w:hAnsi="Calibri" w:cs="Calibri"/>
          <w:sz w:val="24"/>
          <w:szCs w:val="24"/>
        </w:rPr>
        <w:t xml:space="preserve"> schopnost absorbovat </w:t>
      </w:r>
      <w:r w:rsidRPr="00AB1210">
        <w:rPr>
          <w:rFonts w:ascii="Calibri" w:hAnsi="Calibri" w:cs="Calibri"/>
          <w:sz w:val="24"/>
          <w:szCs w:val="24"/>
        </w:rPr>
        <w:t>krátkodobé</w:t>
      </w:r>
      <w:r w:rsidRPr="003E0300">
        <w:rPr>
          <w:rFonts w:ascii="Calibri" w:hAnsi="Calibri" w:cs="Calibri"/>
          <w:sz w:val="24"/>
          <w:szCs w:val="24"/>
        </w:rPr>
        <w:t xml:space="preserve"> </w:t>
      </w:r>
      <w:r w:rsidRPr="00AB1210">
        <w:rPr>
          <w:rFonts w:ascii="Calibri" w:hAnsi="Calibri" w:cs="Calibri"/>
          <w:sz w:val="24"/>
          <w:szCs w:val="24"/>
        </w:rPr>
        <w:t>tržní</w:t>
      </w:r>
      <w:r w:rsidRPr="003E0300">
        <w:rPr>
          <w:rFonts w:ascii="Calibri" w:hAnsi="Calibri" w:cs="Calibri"/>
          <w:sz w:val="24"/>
          <w:szCs w:val="24"/>
        </w:rPr>
        <w:t xml:space="preserve"> turbulence, </w:t>
      </w:r>
      <w:r w:rsidRPr="00AB1210">
        <w:rPr>
          <w:rFonts w:ascii="Calibri" w:hAnsi="Calibri" w:cs="Calibri"/>
          <w:sz w:val="24"/>
          <w:szCs w:val="24"/>
        </w:rPr>
        <w:t>zatímco</w:t>
      </w:r>
      <w:r w:rsidRPr="003E0300">
        <w:rPr>
          <w:rFonts w:ascii="Calibri" w:hAnsi="Calibri" w:cs="Calibri"/>
          <w:sz w:val="24"/>
          <w:szCs w:val="24"/>
        </w:rPr>
        <w:t xml:space="preserve"> mal</w:t>
      </w:r>
      <w:r w:rsidRPr="00AB1210">
        <w:rPr>
          <w:rFonts w:ascii="Calibri" w:hAnsi="Calibri" w:cs="Calibri"/>
          <w:sz w:val="24"/>
          <w:szCs w:val="24"/>
        </w:rPr>
        <w:t>é</w:t>
      </w:r>
      <w:r w:rsidRPr="003E0300">
        <w:rPr>
          <w:rFonts w:ascii="Calibri" w:hAnsi="Calibri" w:cs="Calibri"/>
          <w:sz w:val="24"/>
          <w:szCs w:val="24"/>
        </w:rPr>
        <w:t xml:space="preserve"> firmy mohou b</w:t>
      </w:r>
      <w:r w:rsidRPr="00AB1210">
        <w:rPr>
          <w:rFonts w:ascii="Calibri" w:hAnsi="Calibri" w:cs="Calibri"/>
          <w:sz w:val="24"/>
          <w:szCs w:val="24"/>
        </w:rPr>
        <w:t>ý</w:t>
      </w:r>
      <w:r w:rsidRPr="003E0300">
        <w:rPr>
          <w:rFonts w:ascii="Calibri" w:hAnsi="Calibri" w:cs="Calibri"/>
          <w:sz w:val="24"/>
          <w:szCs w:val="24"/>
        </w:rPr>
        <w:t xml:space="preserve">t </w:t>
      </w:r>
      <w:r w:rsidRPr="00AB1210">
        <w:rPr>
          <w:rFonts w:ascii="Calibri" w:hAnsi="Calibri" w:cs="Calibri"/>
          <w:sz w:val="24"/>
          <w:szCs w:val="24"/>
        </w:rPr>
        <w:t>citlivější na nečekané ekonomick</w:t>
      </w:r>
      <w:r w:rsidR="00AB1210" w:rsidRPr="00AB1210">
        <w:rPr>
          <w:rFonts w:ascii="Calibri" w:hAnsi="Calibri" w:cs="Calibri"/>
          <w:sz w:val="24"/>
          <w:szCs w:val="24"/>
        </w:rPr>
        <w:t>é</w:t>
      </w:r>
      <w:r w:rsidRPr="00AB1210">
        <w:rPr>
          <w:rFonts w:ascii="Calibri" w:hAnsi="Calibri" w:cs="Calibri"/>
          <w:sz w:val="24"/>
          <w:szCs w:val="24"/>
        </w:rPr>
        <w:t xml:space="preserve"> </w:t>
      </w:r>
      <w:r w:rsidR="00AB1210" w:rsidRPr="00AB1210">
        <w:rPr>
          <w:rFonts w:ascii="Calibri" w:hAnsi="Calibri" w:cs="Calibri"/>
          <w:sz w:val="24"/>
          <w:szCs w:val="24"/>
        </w:rPr>
        <w:t>výkyvy</w:t>
      </w:r>
      <w:r w:rsidRPr="00AB1210">
        <w:rPr>
          <w:rFonts w:ascii="Calibri" w:hAnsi="Calibri" w:cs="Calibri"/>
          <w:sz w:val="24"/>
          <w:szCs w:val="24"/>
        </w:rPr>
        <w:t>, což se tak</w:t>
      </w:r>
      <w:r w:rsidR="00AB1210" w:rsidRPr="00AB1210">
        <w:rPr>
          <w:rFonts w:ascii="Calibri" w:hAnsi="Calibri" w:cs="Calibri"/>
          <w:sz w:val="24"/>
          <w:szCs w:val="24"/>
        </w:rPr>
        <w:t>é</w:t>
      </w:r>
      <w:r w:rsidRPr="00AB1210">
        <w:rPr>
          <w:rFonts w:ascii="Calibri" w:hAnsi="Calibri" w:cs="Calibri"/>
          <w:sz w:val="24"/>
          <w:szCs w:val="24"/>
        </w:rPr>
        <w:t xml:space="preserve"> </w:t>
      </w:r>
      <w:r w:rsidR="00AB1210" w:rsidRPr="00AB1210">
        <w:rPr>
          <w:rFonts w:ascii="Calibri" w:hAnsi="Calibri" w:cs="Calibri"/>
          <w:sz w:val="24"/>
          <w:szCs w:val="24"/>
        </w:rPr>
        <w:t>odráží</w:t>
      </w:r>
      <w:r w:rsidRPr="00AB1210">
        <w:rPr>
          <w:rFonts w:ascii="Calibri" w:hAnsi="Calibri" w:cs="Calibri"/>
          <w:sz w:val="24"/>
          <w:szCs w:val="24"/>
        </w:rPr>
        <w:t xml:space="preserve"> v jejich predikcích.</w:t>
      </w:r>
    </w:p>
    <w:p w14:paraId="10674400" w14:textId="2F19099D" w:rsidR="00E33104" w:rsidRDefault="00E33104" w:rsidP="00E33104">
      <w:pPr>
        <w:jc w:val="both"/>
        <w:rPr>
          <w:rFonts w:ascii="Calibri" w:hAnsi="Calibri" w:cs="Calibri"/>
          <w:sz w:val="24"/>
          <w:szCs w:val="24"/>
        </w:rPr>
      </w:pPr>
      <w:r w:rsidRPr="0064218B">
        <w:rPr>
          <w:rFonts w:ascii="Calibri" w:hAnsi="Calibri" w:cs="Calibri"/>
          <w:b/>
          <w:bCs/>
          <w:sz w:val="24"/>
          <w:szCs w:val="24"/>
        </w:rPr>
        <w:t>Využití kapacit ve stavebním sektoru zůstává na vysoké úrovni</w:t>
      </w:r>
      <w:r w:rsidRPr="00E33104">
        <w:rPr>
          <w:rFonts w:ascii="Calibri" w:hAnsi="Calibri" w:cs="Calibri"/>
          <w:sz w:val="24"/>
          <w:szCs w:val="24"/>
        </w:rPr>
        <w:t xml:space="preserve">, podobně jako u projektových firem. </w:t>
      </w:r>
      <w:r w:rsidRPr="0064218B">
        <w:rPr>
          <w:rFonts w:ascii="Calibri" w:hAnsi="Calibri" w:cs="Calibri"/>
          <w:b/>
          <w:bCs/>
          <w:sz w:val="24"/>
          <w:szCs w:val="24"/>
        </w:rPr>
        <w:t>Aktuálně jsou lidské zdroje ve firmách využity z 94 %</w:t>
      </w:r>
      <w:r w:rsidRPr="00E33104">
        <w:rPr>
          <w:rFonts w:ascii="Calibri" w:hAnsi="Calibri" w:cs="Calibri"/>
          <w:sz w:val="24"/>
          <w:szCs w:val="24"/>
        </w:rPr>
        <w:t xml:space="preserve">, což naznačuje intenzivní pracovní nasazení a vysokou poptávku po stavebních projektech. Naplnilo se tedy ještě více očekávání z jarních měsíců tohoto roku, kdy se s nástupem stavařské sezony očekávalo 92 % vytíženosti kapacit. Strojní kapacity firem jsou v současnosti využity z 80 %. Tato vytíženost odráží robustní činnost v odvětví. Přesto se v prvním čtvrtletí roku 2025 očekává mírný pokles, kdy by využití </w:t>
      </w:r>
      <w:r w:rsidRPr="00E33104">
        <w:rPr>
          <w:rFonts w:ascii="Calibri" w:hAnsi="Calibri" w:cs="Calibri"/>
          <w:sz w:val="24"/>
          <w:szCs w:val="24"/>
        </w:rPr>
        <w:lastRenderedPageBreak/>
        <w:t>lidských kapacit mělo klesnout na 90 % a strojních na 76 %, kde se právě opět odrazí sezónnost v odvětví.</w:t>
      </w:r>
    </w:p>
    <w:p w14:paraId="70BB92A5" w14:textId="05CA187D" w:rsidR="00AB5BD4" w:rsidRDefault="003E0300" w:rsidP="002E01A8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E0300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51A1DE5" wp14:editId="176E093A">
            <wp:extent cx="3520745" cy="3543607"/>
            <wp:effectExtent l="0" t="0" r="3810" b="0"/>
            <wp:docPr id="181163787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3787" name="Obrázek 1" descr="Obsah obrázku text, snímek obrazovky, Písmo, čísl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0745" cy="354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463AC" w14:textId="6D6FAFE3" w:rsidR="002E01A8" w:rsidRPr="003953EE" w:rsidRDefault="002E01A8" w:rsidP="002E01A8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53EE">
        <w:rPr>
          <w:rFonts w:ascii="Calibri" w:hAnsi="Calibri" w:cs="Calibri"/>
          <w:color w:val="000000"/>
          <w:sz w:val="24"/>
          <w:szCs w:val="24"/>
        </w:rPr>
        <w:t>Údaje vycház</w:t>
      </w:r>
      <w:r w:rsidR="00EA29C0">
        <w:rPr>
          <w:rFonts w:ascii="Calibri" w:hAnsi="Calibri" w:cs="Calibri"/>
          <w:color w:val="000000"/>
          <w:sz w:val="24"/>
          <w:szCs w:val="24"/>
        </w:rPr>
        <w:t>ejí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z</w:t>
      </w:r>
      <w:r w:rsidR="00EA29C0">
        <w:rPr>
          <w:rFonts w:ascii="Calibri" w:hAnsi="Calibri" w:cs="Calibri"/>
          <w:color w:val="000000"/>
          <w:sz w:val="24"/>
          <w:szCs w:val="24"/>
        </w:rPr>
        <w:t> </w:t>
      </w:r>
      <w:r w:rsidR="00EA29C0" w:rsidRPr="00EA29C0">
        <w:rPr>
          <w:rFonts w:ascii="Calibri" w:hAnsi="Calibri" w:cs="Calibri"/>
          <w:b/>
          <w:bCs/>
          <w:color w:val="000000"/>
          <w:sz w:val="24"/>
          <w:szCs w:val="24"/>
        </w:rPr>
        <w:t>Kvartální analýzy českého stavebnictví</w:t>
      </w:r>
      <w:r w:rsidR="00EA29C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A29C0" w:rsidRPr="00EA29C0">
        <w:rPr>
          <w:rFonts w:ascii="Calibri" w:hAnsi="Calibri" w:cs="Calibri"/>
          <w:b/>
          <w:bCs/>
          <w:color w:val="000000"/>
          <w:sz w:val="24"/>
          <w:szCs w:val="24"/>
        </w:rPr>
        <w:t>Q</w:t>
      </w:r>
      <w:r w:rsidR="00E36C35"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 w:rsidRPr="003953EE">
        <w:rPr>
          <w:rFonts w:ascii="Calibri" w:hAnsi="Calibri" w:cs="Calibri"/>
          <w:b/>
          <w:color w:val="000000"/>
          <w:sz w:val="24"/>
          <w:szCs w:val="24"/>
        </w:rPr>
        <w:t>/202</w:t>
      </w:r>
      <w:r>
        <w:rPr>
          <w:rFonts w:ascii="Calibri" w:hAnsi="Calibri" w:cs="Calibri"/>
          <w:b/>
          <w:color w:val="000000"/>
          <w:sz w:val="24"/>
          <w:szCs w:val="24"/>
        </w:rPr>
        <w:t>4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53EE">
        <w:rPr>
          <w:rFonts w:ascii="Calibri" w:hAnsi="Calibri" w:cs="Calibri"/>
          <w:sz w:val="24"/>
          <w:szCs w:val="24"/>
        </w:rPr>
        <w:t xml:space="preserve">zpracované analytickou společností CEEC </w:t>
      </w:r>
      <w:proofErr w:type="spellStart"/>
      <w:r w:rsidRPr="003953EE">
        <w:rPr>
          <w:rFonts w:ascii="Calibri" w:hAnsi="Calibri" w:cs="Calibri"/>
          <w:sz w:val="24"/>
          <w:szCs w:val="24"/>
        </w:rPr>
        <w:t>Research</w:t>
      </w:r>
      <w:proofErr w:type="spellEnd"/>
      <w:r w:rsidRPr="003953EE">
        <w:rPr>
          <w:rFonts w:ascii="Calibri" w:hAnsi="Calibri" w:cs="Calibri"/>
          <w:sz w:val="24"/>
          <w:szCs w:val="24"/>
        </w:rPr>
        <w:t>, která je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v plném znění zveřejněna na </w:t>
      </w:r>
      <w:hyperlink r:id="rId9">
        <w:r w:rsidRPr="003953EE">
          <w:rPr>
            <w:rFonts w:ascii="Calibri" w:hAnsi="Calibri" w:cs="Calibri"/>
            <w:color w:val="0563C1"/>
            <w:sz w:val="24"/>
            <w:szCs w:val="24"/>
            <w:u w:val="single"/>
          </w:rPr>
          <w:t>www.ceec.eu</w:t>
        </w:r>
      </w:hyperlink>
      <w:r w:rsidRPr="003953EE">
        <w:rPr>
          <w:rFonts w:ascii="Calibri" w:hAnsi="Calibri" w:cs="Calibri"/>
          <w:color w:val="000000"/>
          <w:sz w:val="24"/>
          <w:szCs w:val="24"/>
        </w:rPr>
        <w:t>.</w:t>
      </w:r>
    </w:p>
    <w:p w14:paraId="0B00ADCE" w14:textId="77777777" w:rsidR="002E01A8" w:rsidRPr="003953EE" w:rsidRDefault="002E01A8" w:rsidP="002E01A8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974BB3E" w14:textId="77777777" w:rsidR="002E01A8" w:rsidRPr="006B73AD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 w:rsidRPr="006B73AD">
        <w:rPr>
          <w:rFonts w:cstheme="minorHAnsi"/>
        </w:rPr>
        <w:t>MgA. Helena Grofová</w:t>
      </w:r>
    </w:p>
    <w:p w14:paraId="7E40050C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t</w:t>
      </w:r>
      <w:r w:rsidRPr="006B73AD">
        <w:rPr>
          <w:rFonts w:cstheme="minorHAnsi"/>
        </w:rPr>
        <w:t xml:space="preserve">isková mluvčí CEEC </w:t>
      </w:r>
      <w:proofErr w:type="spellStart"/>
      <w:r w:rsidRPr="006B73AD">
        <w:rPr>
          <w:rFonts w:cstheme="minorHAnsi"/>
        </w:rPr>
        <w:t>Research</w:t>
      </w:r>
      <w:proofErr w:type="spellEnd"/>
    </w:p>
    <w:p w14:paraId="414968DA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602 303 990</w:t>
      </w:r>
    </w:p>
    <w:p w14:paraId="38484DA2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grofova@ceec.eu</w:t>
      </w:r>
    </w:p>
    <w:p w14:paraId="48D722E8" w14:textId="77777777" w:rsidR="002E01A8" w:rsidRPr="006B73AD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</w:p>
    <w:p w14:paraId="0062FD12" w14:textId="77777777" w:rsidR="002E01A8" w:rsidRDefault="002E01A8" w:rsidP="002E01A8"/>
    <w:p w14:paraId="0681C10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4B2F8939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77E01E6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03AE8F06" w14:textId="112F1379" w:rsidR="00F34C9F" w:rsidRDefault="00F34C9F" w:rsidP="00B32E5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</w:p>
    <w:sectPr w:rsidR="00F34C9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AE2A0" w14:textId="77777777" w:rsidR="00F17A92" w:rsidRDefault="00F17A92" w:rsidP="003E0618">
      <w:pPr>
        <w:spacing w:after="0" w:line="240" w:lineRule="auto"/>
      </w:pPr>
      <w:r>
        <w:separator/>
      </w:r>
    </w:p>
  </w:endnote>
  <w:endnote w:type="continuationSeparator" w:id="0">
    <w:p w14:paraId="33B60FA0" w14:textId="77777777" w:rsidR="00F17A92" w:rsidRDefault="00F17A92" w:rsidP="003E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Variable-Roman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SourceSansVariable-Italic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D8AF2" w14:textId="77777777" w:rsidR="00F17A92" w:rsidRDefault="00F17A92" w:rsidP="003E0618">
      <w:pPr>
        <w:spacing w:after="0" w:line="240" w:lineRule="auto"/>
      </w:pPr>
      <w:r>
        <w:separator/>
      </w:r>
    </w:p>
  </w:footnote>
  <w:footnote w:type="continuationSeparator" w:id="0">
    <w:p w14:paraId="47CFB243" w14:textId="77777777" w:rsidR="00F17A92" w:rsidRDefault="00F17A92" w:rsidP="003E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026A" w14:textId="55C61FEB" w:rsidR="003E0618" w:rsidRDefault="003E061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6F09" wp14:editId="1EC43807">
          <wp:simplePos x="0" y="0"/>
          <wp:positionH relativeFrom="margin">
            <wp:posOffset>-4445</wp:posOffset>
          </wp:positionH>
          <wp:positionV relativeFrom="paragraph">
            <wp:posOffset>-382905</wp:posOffset>
          </wp:positionV>
          <wp:extent cx="1885950" cy="1012190"/>
          <wp:effectExtent l="0" t="0" r="0" b="0"/>
          <wp:wrapTopAndBottom/>
          <wp:docPr id="837303731" name="Obrázek 83730373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24"/>
    <w:rsid w:val="00000719"/>
    <w:rsid w:val="00000EF0"/>
    <w:rsid w:val="0000561E"/>
    <w:rsid w:val="000073DF"/>
    <w:rsid w:val="00013280"/>
    <w:rsid w:val="00014D96"/>
    <w:rsid w:val="0001546E"/>
    <w:rsid w:val="000203B3"/>
    <w:rsid w:val="00022B1D"/>
    <w:rsid w:val="0003358D"/>
    <w:rsid w:val="00043933"/>
    <w:rsid w:val="0004515E"/>
    <w:rsid w:val="00050048"/>
    <w:rsid w:val="0005601D"/>
    <w:rsid w:val="00057001"/>
    <w:rsid w:val="00061B21"/>
    <w:rsid w:val="00070BD8"/>
    <w:rsid w:val="000842A4"/>
    <w:rsid w:val="00094AE8"/>
    <w:rsid w:val="00095DF1"/>
    <w:rsid w:val="000A1D0A"/>
    <w:rsid w:val="000A23D3"/>
    <w:rsid w:val="000A3207"/>
    <w:rsid w:val="000A44DD"/>
    <w:rsid w:val="000B640B"/>
    <w:rsid w:val="000C0FDC"/>
    <w:rsid w:val="000D6AB4"/>
    <w:rsid w:val="000E2C23"/>
    <w:rsid w:val="000E2E42"/>
    <w:rsid w:val="000E2F52"/>
    <w:rsid w:val="000F1515"/>
    <w:rsid w:val="000F1F44"/>
    <w:rsid w:val="000F778D"/>
    <w:rsid w:val="001019D7"/>
    <w:rsid w:val="00107C93"/>
    <w:rsid w:val="00113270"/>
    <w:rsid w:val="00121307"/>
    <w:rsid w:val="00121409"/>
    <w:rsid w:val="00131712"/>
    <w:rsid w:val="00140274"/>
    <w:rsid w:val="0015108E"/>
    <w:rsid w:val="0016119C"/>
    <w:rsid w:val="00164DD1"/>
    <w:rsid w:val="00170EAF"/>
    <w:rsid w:val="00171501"/>
    <w:rsid w:val="001768A4"/>
    <w:rsid w:val="00182F82"/>
    <w:rsid w:val="0018568B"/>
    <w:rsid w:val="00186A14"/>
    <w:rsid w:val="001A1244"/>
    <w:rsid w:val="001A2CCA"/>
    <w:rsid w:val="001C48B0"/>
    <w:rsid w:val="001C56F4"/>
    <w:rsid w:val="001E3DDD"/>
    <w:rsid w:val="001E6722"/>
    <w:rsid w:val="001F3AEB"/>
    <w:rsid w:val="00203827"/>
    <w:rsid w:val="00211955"/>
    <w:rsid w:val="00221821"/>
    <w:rsid w:val="002437BA"/>
    <w:rsid w:val="002462CF"/>
    <w:rsid w:val="002625AB"/>
    <w:rsid w:val="00275DEB"/>
    <w:rsid w:val="002A2565"/>
    <w:rsid w:val="002B6812"/>
    <w:rsid w:val="002D2DAB"/>
    <w:rsid w:val="002E01A8"/>
    <w:rsid w:val="002F3EB7"/>
    <w:rsid w:val="00302068"/>
    <w:rsid w:val="003151DA"/>
    <w:rsid w:val="00315909"/>
    <w:rsid w:val="003366B3"/>
    <w:rsid w:val="00341E23"/>
    <w:rsid w:val="0034269B"/>
    <w:rsid w:val="00362A83"/>
    <w:rsid w:val="00364FE1"/>
    <w:rsid w:val="003A72EC"/>
    <w:rsid w:val="003B1830"/>
    <w:rsid w:val="003B7F79"/>
    <w:rsid w:val="003C26FE"/>
    <w:rsid w:val="003C3C06"/>
    <w:rsid w:val="003C3D77"/>
    <w:rsid w:val="003D68A7"/>
    <w:rsid w:val="003D6D5D"/>
    <w:rsid w:val="003E0300"/>
    <w:rsid w:val="003E0618"/>
    <w:rsid w:val="004127F7"/>
    <w:rsid w:val="004150A5"/>
    <w:rsid w:val="0041530B"/>
    <w:rsid w:val="00417531"/>
    <w:rsid w:val="004425BA"/>
    <w:rsid w:val="00444950"/>
    <w:rsid w:val="00445D22"/>
    <w:rsid w:val="00447555"/>
    <w:rsid w:val="0045182F"/>
    <w:rsid w:val="00451ED7"/>
    <w:rsid w:val="00467E96"/>
    <w:rsid w:val="004A1590"/>
    <w:rsid w:val="004C5BF4"/>
    <w:rsid w:val="004D1C5A"/>
    <w:rsid w:val="004D20F6"/>
    <w:rsid w:val="004D427C"/>
    <w:rsid w:val="004E300B"/>
    <w:rsid w:val="004E6BF7"/>
    <w:rsid w:val="005013E9"/>
    <w:rsid w:val="005107E4"/>
    <w:rsid w:val="005116ED"/>
    <w:rsid w:val="00544518"/>
    <w:rsid w:val="00571615"/>
    <w:rsid w:val="0057197D"/>
    <w:rsid w:val="00584424"/>
    <w:rsid w:val="00595AE4"/>
    <w:rsid w:val="00596C51"/>
    <w:rsid w:val="005A1209"/>
    <w:rsid w:val="005D029C"/>
    <w:rsid w:val="005D7450"/>
    <w:rsid w:val="005F28E8"/>
    <w:rsid w:val="006059EC"/>
    <w:rsid w:val="006207DB"/>
    <w:rsid w:val="00631D5F"/>
    <w:rsid w:val="00632004"/>
    <w:rsid w:val="00636993"/>
    <w:rsid w:val="0064218B"/>
    <w:rsid w:val="006460AD"/>
    <w:rsid w:val="0065261C"/>
    <w:rsid w:val="00657503"/>
    <w:rsid w:val="00657601"/>
    <w:rsid w:val="00665A92"/>
    <w:rsid w:val="00675F9B"/>
    <w:rsid w:val="006942AF"/>
    <w:rsid w:val="006A04B8"/>
    <w:rsid w:val="006A72F6"/>
    <w:rsid w:val="006A736E"/>
    <w:rsid w:val="006A7DCA"/>
    <w:rsid w:val="006B2B70"/>
    <w:rsid w:val="006B6BC7"/>
    <w:rsid w:val="006C461C"/>
    <w:rsid w:val="006C4CFB"/>
    <w:rsid w:val="006C534C"/>
    <w:rsid w:val="006D1528"/>
    <w:rsid w:val="006E1F6C"/>
    <w:rsid w:val="00700E49"/>
    <w:rsid w:val="007055DE"/>
    <w:rsid w:val="007066FC"/>
    <w:rsid w:val="00730B0D"/>
    <w:rsid w:val="00733B16"/>
    <w:rsid w:val="0073418F"/>
    <w:rsid w:val="007511A6"/>
    <w:rsid w:val="0075619C"/>
    <w:rsid w:val="00766883"/>
    <w:rsid w:val="0078628D"/>
    <w:rsid w:val="00786845"/>
    <w:rsid w:val="007A247F"/>
    <w:rsid w:val="007A7873"/>
    <w:rsid w:val="007C0AF5"/>
    <w:rsid w:val="007C1D8B"/>
    <w:rsid w:val="00813413"/>
    <w:rsid w:val="00816B62"/>
    <w:rsid w:val="00821248"/>
    <w:rsid w:val="00830ED4"/>
    <w:rsid w:val="00837BFB"/>
    <w:rsid w:val="00850CB1"/>
    <w:rsid w:val="00852F36"/>
    <w:rsid w:val="008544A0"/>
    <w:rsid w:val="00864C08"/>
    <w:rsid w:val="008707CC"/>
    <w:rsid w:val="0087186B"/>
    <w:rsid w:val="0088466F"/>
    <w:rsid w:val="008A3946"/>
    <w:rsid w:val="008C2681"/>
    <w:rsid w:val="008C3519"/>
    <w:rsid w:val="008C70BD"/>
    <w:rsid w:val="008D1608"/>
    <w:rsid w:val="008D22BD"/>
    <w:rsid w:val="008D24CF"/>
    <w:rsid w:val="008D4B0B"/>
    <w:rsid w:val="008D6185"/>
    <w:rsid w:val="00912704"/>
    <w:rsid w:val="009161C8"/>
    <w:rsid w:val="00923F4E"/>
    <w:rsid w:val="00926BCF"/>
    <w:rsid w:val="00926ED7"/>
    <w:rsid w:val="009404B3"/>
    <w:rsid w:val="00960C56"/>
    <w:rsid w:val="009757DB"/>
    <w:rsid w:val="009A115D"/>
    <w:rsid w:val="009A7C61"/>
    <w:rsid w:val="009B656A"/>
    <w:rsid w:val="009B72A4"/>
    <w:rsid w:val="009C09E6"/>
    <w:rsid w:val="009D2037"/>
    <w:rsid w:val="009D26ED"/>
    <w:rsid w:val="009D2FEF"/>
    <w:rsid w:val="009D485C"/>
    <w:rsid w:val="009D578C"/>
    <w:rsid w:val="009F02E6"/>
    <w:rsid w:val="009F1C9F"/>
    <w:rsid w:val="00A061BA"/>
    <w:rsid w:val="00A2086C"/>
    <w:rsid w:val="00A31F68"/>
    <w:rsid w:val="00A528D8"/>
    <w:rsid w:val="00A533D0"/>
    <w:rsid w:val="00A6043D"/>
    <w:rsid w:val="00A67EE5"/>
    <w:rsid w:val="00A747E5"/>
    <w:rsid w:val="00A827EF"/>
    <w:rsid w:val="00A84146"/>
    <w:rsid w:val="00A85ABF"/>
    <w:rsid w:val="00AA6950"/>
    <w:rsid w:val="00AB1210"/>
    <w:rsid w:val="00AB5BD4"/>
    <w:rsid w:val="00AC1A51"/>
    <w:rsid w:val="00AE0426"/>
    <w:rsid w:val="00AF084A"/>
    <w:rsid w:val="00AF6921"/>
    <w:rsid w:val="00B036F6"/>
    <w:rsid w:val="00B107EF"/>
    <w:rsid w:val="00B1402A"/>
    <w:rsid w:val="00B15D39"/>
    <w:rsid w:val="00B32E5B"/>
    <w:rsid w:val="00B478BB"/>
    <w:rsid w:val="00B53FEB"/>
    <w:rsid w:val="00B94119"/>
    <w:rsid w:val="00BA10E1"/>
    <w:rsid w:val="00BA2008"/>
    <w:rsid w:val="00BA5061"/>
    <w:rsid w:val="00BB52E7"/>
    <w:rsid w:val="00BC3FFE"/>
    <w:rsid w:val="00BC403E"/>
    <w:rsid w:val="00BD69F3"/>
    <w:rsid w:val="00BE4AC8"/>
    <w:rsid w:val="00BE61DB"/>
    <w:rsid w:val="00BE78A0"/>
    <w:rsid w:val="00BF74B3"/>
    <w:rsid w:val="00C01236"/>
    <w:rsid w:val="00C04B46"/>
    <w:rsid w:val="00C12FA2"/>
    <w:rsid w:val="00C207A8"/>
    <w:rsid w:val="00C35F92"/>
    <w:rsid w:val="00C36A1A"/>
    <w:rsid w:val="00C527CB"/>
    <w:rsid w:val="00C53637"/>
    <w:rsid w:val="00C543BD"/>
    <w:rsid w:val="00C55CB6"/>
    <w:rsid w:val="00C723B6"/>
    <w:rsid w:val="00C76868"/>
    <w:rsid w:val="00C82CF3"/>
    <w:rsid w:val="00C903FC"/>
    <w:rsid w:val="00C90F60"/>
    <w:rsid w:val="00CA001F"/>
    <w:rsid w:val="00CA18D3"/>
    <w:rsid w:val="00CB71F8"/>
    <w:rsid w:val="00CC3EA9"/>
    <w:rsid w:val="00CD0243"/>
    <w:rsid w:val="00CF251B"/>
    <w:rsid w:val="00CF54A8"/>
    <w:rsid w:val="00D06DEA"/>
    <w:rsid w:val="00D137FE"/>
    <w:rsid w:val="00D16AA7"/>
    <w:rsid w:val="00D347F3"/>
    <w:rsid w:val="00D4628F"/>
    <w:rsid w:val="00DA5329"/>
    <w:rsid w:val="00DC1A23"/>
    <w:rsid w:val="00DC6CC7"/>
    <w:rsid w:val="00DC7951"/>
    <w:rsid w:val="00DD7BE3"/>
    <w:rsid w:val="00DE3188"/>
    <w:rsid w:val="00E01330"/>
    <w:rsid w:val="00E01430"/>
    <w:rsid w:val="00E030A4"/>
    <w:rsid w:val="00E03566"/>
    <w:rsid w:val="00E060FE"/>
    <w:rsid w:val="00E206F6"/>
    <w:rsid w:val="00E33104"/>
    <w:rsid w:val="00E36C35"/>
    <w:rsid w:val="00E657AC"/>
    <w:rsid w:val="00E714A0"/>
    <w:rsid w:val="00E847EC"/>
    <w:rsid w:val="00EA29C0"/>
    <w:rsid w:val="00EB3F1F"/>
    <w:rsid w:val="00EB5890"/>
    <w:rsid w:val="00EE3EDC"/>
    <w:rsid w:val="00EF3CDC"/>
    <w:rsid w:val="00EF4DA4"/>
    <w:rsid w:val="00F05312"/>
    <w:rsid w:val="00F11782"/>
    <w:rsid w:val="00F136B9"/>
    <w:rsid w:val="00F17A92"/>
    <w:rsid w:val="00F272AC"/>
    <w:rsid w:val="00F337BB"/>
    <w:rsid w:val="00F34454"/>
    <w:rsid w:val="00F344B5"/>
    <w:rsid w:val="00F34C9F"/>
    <w:rsid w:val="00F41F55"/>
    <w:rsid w:val="00F42A4A"/>
    <w:rsid w:val="00F45552"/>
    <w:rsid w:val="00F53C70"/>
    <w:rsid w:val="00F74990"/>
    <w:rsid w:val="00F76612"/>
    <w:rsid w:val="00F76FF6"/>
    <w:rsid w:val="00F90DD8"/>
    <w:rsid w:val="00FA4C53"/>
    <w:rsid w:val="00FA657A"/>
    <w:rsid w:val="00FA7AE7"/>
    <w:rsid w:val="00FA7C92"/>
    <w:rsid w:val="00FB7A5C"/>
    <w:rsid w:val="00FC4640"/>
    <w:rsid w:val="00FD1579"/>
    <w:rsid w:val="00FD7A63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6917"/>
  <w15:docId w15:val="{34D5986C-DBCB-48B9-B414-8A2C72E0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5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618"/>
  </w:style>
  <w:style w:type="paragraph" w:styleId="Zpat">
    <w:name w:val="footer"/>
    <w:basedOn w:val="Normln"/>
    <w:link w:val="Zpat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618"/>
  </w:style>
  <w:style w:type="character" w:styleId="Hypertextovodkaz">
    <w:name w:val="Hyperlink"/>
    <w:basedOn w:val="Standardnpsmoodstavce"/>
    <w:uiPriority w:val="99"/>
    <w:unhideWhenUsed/>
    <w:rsid w:val="003E0618"/>
    <w:rPr>
      <w:color w:val="0563C1" w:themeColor="hyperlink"/>
      <w:u w:val="single"/>
    </w:rPr>
  </w:style>
  <w:style w:type="paragraph" w:styleId="Normlnweb">
    <w:name w:val="Normal (Web)"/>
    <w:basedOn w:val="Normln"/>
    <w:unhideWhenUsed/>
    <w:rsid w:val="000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6A1A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C3C0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5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4A0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095DF1"/>
    <w:rPr>
      <w:b/>
      <w:bCs/>
    </w:rPr>
  </w:style>
  <w:style w:type="paragraph" w:customStyle="1" w:styleId="xxmsonormal">
    <w:name w:val="x_xmsonormal"/>
    <w:basedOn w:val="Normln"/>
    <w:uiPriority w:val="99"/>
    <w:rsid w:val="00095DF1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eec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Ondrášek</dc:creator>
  <cp:keywords/>
  <dc:description/>
  <cp:lastModifiedBy>Michal Vacek</cp:lastModifiedBy>
  <cp:revision>5</cp:revision>
  <dcterms:created xsi:type="dcterms:W3CDTF">2024-09-14T17:02:00Z</dcterms:created>
  <dcterms:modified xsi:type="dcterms:W3CDTF">2024-09-16T17:47:00Z</dcterms:modified>
</cp:coreProperties>
</file>