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86204" w14:textId="77777777" w:rsidR="002E01A8" w:rsidRPr="003953EE" w:rsidRDefault="002E01A8" w:rsidP="002E01A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953EE">
        <w:rPr>
          <w:rFonts w:ascii="Calibri" w:hAnsi="Calibri" w:cs="Calibri"/>
          <w:b/>
          <w:bCs/>
          <w:sz w:val="28"/>
          <w:szCs w:val="28"/>
        </w:rPr>
        <w:t>TISKOVÁ ZPRÁVA</w:t>
      </w:r>
    </w:p>
    <w:p w14:paraId="5DC510BD" w14:textId="77777777" w:rsidR="002E01A8" w:rsidRDefault="002E01A8" w:rsidP="002E01A8">
      <w:pPr>
        <w:rPr>
          <w:rFonts w:ascii="Calibri" w:hAnsi="Calibri" w:cs="Calibri"/>
          <w:b/>
          <w:bCs/>
          <w:sz w:val="32"/>
          <w:szCs w:val="32"/>
        </w:rPr>
      </w:pPr>
    </w:p>
    <w:p w14:paraId="0C4C1104" w14:textId="216935A0" w:rsidR="007C1D8B" w:rsidRDefault="0000561E" w:rsidP="003C26FE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</w:t>
      </w:r>
      <w:r w:rsidR="00821248">
        <w:rPr>
          <w:rFonts w:ascii="Calibri" w:hAnsi="Calibri" w:cs="Calibri"/>
          <w:b/>
          <w:bCs/>
          <w:sz w:val="32"/>
          <w:szCs w:val="32"/>
        </w:rPr>
        <w:t>tavební trh</w:t>
      </w:r>
      <w:r>
        <w:rPr>
          <w:rFonts w:ascii="Calibri" w:hAnsi="Calibri" w:cs="Calibri"/>
          <w:b/>
          <w:bCs/>
          <w:sz w:val="32"/>
          <w:szCs w:val="32"/>
        </w:rPr>
        <w:t xml:space="preserve"> poroste, ale až příští rok</w:t>
      </w:r>
    </w:p>
    <w:p w14:paraId="3A0FB213" w14:textId="76335524" w:rsidR="004127F7" w:rsidRPr="004127F7" w:rsidRDefault="00447555" w:rsidP="004127F7">
      <w:pPr>
        <w:autoSpaceDE w:val="0"/>
        <w:autoSpaceDN w:val="0"/>
        <w:adjustRightInd w:val="0"/>
        <w:spacing w:after="0" w:line="240" w:lineRule="auto"/>
        <w:rPr>
          <w:rFonts w:eastAsia="SourceSansVariable-Roman"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Praha, </w:t>
      </w:r>
      <w:r w:rsidR="00F42A4A">
        <w:rPr>
          <w:rFonts w:ascii="Calibri" w:hAnsi="Calibri" w:cs="Calibri"/>
          <w:b/>
          <w:bCs/>
          <w:sz w:val="24"/>
          <w:szCs w:val="24"/>
        </w:rPr>
        <w:t>6</w:t>
      </w:r>
      <w:r w:rsidR="00700E49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květ</w:t>
      </w:r>
      <w:r w:rsidR="002E01A8">
        <w:rPr>
          <w:rFonts w:ascii="Calibri" w:hAnsi="Calibri" w:cs="Calibri"/>
          <w:b/>
          <w:bCs/>
          <w:sz w:val="24"/>
          <w:szCs w:val="24"/>
        </w:rPr>
        <w:t xml:space="preserve">na </w:t>
      </w:r>
      <w:proofErr w:type="gramStart"/>
      <w:r w:rsidR="002E01A8">
        <w:rPr>
          <w:rFonts w:ascii="Calibri" w:hAnsi="Calibri" w:cs="Calibri"/>
          <w:b/>
          <w:bCs/>
          <w:sz w:val="24"/>
          <w:szCs w:val="24"/>
        </w:rPr>
        <w:t>2024  -</w:t>
      </w:r>
      <w:proofErr w:type="gramEnd"/>
      <w:r w:rsidR="002E01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C351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>Trh stavebních prací se dál propadá. Ředitelům stavebních společností přesto optimismus nechybí a v</w:t>
      </w:r>
      <w:r w:rsidR="004127F7">
        <w:rPr>
          <w:rFonts w:eastAsia="SourceSansVariable-Roman" w:cstheme="minorHAnsi"/>
          <w:b/>
          <w:bCs/>
          <w:sz w:val="24"/>
          <w:szCs w:val="24"/>
        </w:rPr>
        <w:t> 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>roce</w:t>
      </w:r>
      <w:r w:rsid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>2025 čekají růst trhu o 2,4 %. Za tímto poklesem stoji hlavně zhoršená dostupnost hypotečních úvěrů</w:t>
      </w:r>
      <w:r w:rsid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a přetrvávající ochlazeni výstavby rezidenčního bydleni i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kancelářských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budov.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Hypoteční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úvěry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by už ale</w:t>
      </w:r>
      <w:r w:rsid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>brzy mohly b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ý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t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dostupnější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. Naznačuji </w:t>
      </w:r>
      <w:r w:rsidR="004127F7">
        <w:rPr>
          <w:rFonts w:eastAsia="SourceSansVariable-Roman" w:cstheme="minorHAnsi"/>
          <w:b/>
          <w:bCs/>
          <w:sz w:val="24"/>
          <w:szCs w:val="24"/>
        </w:rPr>
        <w:t>to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kroky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České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národní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banky. Ta postupně snižuje</w:t>
      </w:r>
      <w:r w:rsid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úrokové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sazby, od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kterých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se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odvíjí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také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úrokov</w:t>
      </w:r>
      <w:r w:rsidR="004127F7">
        <w:rPr>
          <w:rFonts w:eastAsia="SourceSansVariable-Roman" w:cstheme="minorHAnsi"/>
          <w:b/>
          <w:bCs/>
          <w:sz w:val="24"/>
          <w:szCs w:val="24"/>
        </w:rPr>
        <w:t>é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sazby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hypotečních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úvěrů</w:t>
      </w:r>
      <w:r w:rsidR="00B036F6" w:rsidRPr="004127F7">
        <w:rPr>
          <w:rFonts w:eastAsia="SourceSansVariable-Roman" w:cstheme="minorHAnsi"/>
          <w:b/>
          <w:bCs/>
          <w:sz w:val="24"/>
          <w:szCs w:val="24"/>
        </w:rPr>
        <w:t xml:space="preserve">. </w:t>
      </w:r>
    </w:p>
    <w:p w14:paraId="14BEDF38" w14:textId="204DFD5D" w:rsidR="00BE78A0" w:rsidRPr="004127F7" w:rsidRDefault="00B036F6" w:rsidP="004127F7">
      <w:pPr>
        <w:autoSpaceDE w:val="0"/>
        <w:autoSpaceDN w:val="0"/>
        <w:adjustRightInd w:val="0"/>
        <w:spacing w:after="0" w:line="240" w:lineRule="auto"/>
        <w:rPr>
          <w:rFonts w:eastAsia="SourceSansVariable-Roman" w:cstheme="minorHAnsi"/>
          <w:b/>
          <w:bCs/>
          <w:sz w:val="24"/>
          <w:szCs w:val="24"/>
        </w:rPr>
      </w:pPr>
      <w:r w:rsidRPr="004127F7">
        <w:rPr>
          <w:rFonts w:eastAsia="SourceSansVariable-Roman" w:cstheme="minorHAnsi"/>
          <w:b/>
          <w:bCs/>
          <w:sz w:val="24"/>
          <w:szCs w:val="24"/>
        </w:rPr>
        <w:t>Kapacity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 xml:space="preserve"> stavebních</w:t>
      </w:r>
      <w:r w:rsidRPr="004127F7">
        <w:rPr>
          <w:rFonts w:eastAsia="SourceSansVariable-Roman" w:cstheme="minorHAnsi"/>
          <w:b/>
          <w:bCs/>
          <w:sz w:val="24"/>
          <w:szCs w:val="24"/>
        </w:rPr>
        <w:t xml:space="preserve"> firem jsou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aktuálně</w:t>
      </w:r>
      <w:r w:rsidRP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vytížené</w:t>
      </w:r>
      <w:r w:rsidRPr="004127F7">
        <w:rPr>
          <w:rFonts w:eastAsia="SourceSansVariable-Roman" w:cstheme="minorHAnsi"/>
          <w:b/>
          <w:bCs/>
          <w:sz w:val="24"/>
          <w:szCs w:val="24"/>
        </w:rPr>
        <w:t xml:space="preserve"> na 82 %. V dalš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í</w:t>
      </w:r>
      <w:r w:rsidRPr="004127F7">
        <w:rPr>
          <w:rFonts w:eastAsia="SourceSansVariable-Roman" w:cstheme="minorHAnsi"/>
          <w:b/>
          <w:bCs/>
          <w:sz w:val="24"/>
          <w:szCs w:val="24"/>
        </w:rPr>
        <w:t xml:space="preserve">ch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měsících</w:t>
      </w:r>
      <w:r w:rsidRPr="004127F7">
        <w:rPr>
          <w:rFonts w:eastAsia="SourceSansVariable-Roman" w:cstheme="minorHAnsi"/>
          <w:b/>
          <w:bCs/>
          <w:sz w:val="24"/>
          <w:szCs w:val="24"/>
        </w:rPr>
        <w:t xml:space="preserve"> ale firmy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čekají</w:t>
      </w:r>
      <w:r w:rsidRP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4127F7" w:rsidRPr="004127F7">
        <w:rPr>
          <w:rFonts w:eastAsia="SourceSansVariable-Roman" w:cstheme="minorHAnsi"/>
          <w:b/>
          <w:bCs/>
          <w:sz w:val="24"/>
          <w:szCs w:val="24"/>
        </w:rPr>
        <w:t>další</w:t>
      </w:r>
      <w:r w:rsidRP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821248">
        <w:rPr>
          <w:rFonts w:eastAsia="SourceSansVariable-Roman" w:cstheme="minorHAnsi"/>
          <w:b/>
          <w:bCs/>
          <w:sz w:val="24"/>
          <w:szCs w:val="24"/>
        </w:rPr>
        <w:t>ná</w:t>
      </w:r>
      <w:r w:rsidRPr="004127F7">
        <w:rPr>
          <w:rFonts w:eastAsia="SourceSansVariable-Roman" w:cstheme="minorHAnsi"/>
          <w:b/>
          <w:bCs/>
          <w:sz w:val="24"/>
          <w:szCs w:val="24"/>
        </w:rPr>
        <w:t xml:space="preserve">růst </w:t>
      </w:r>
      <w:proofErr w:type="gramStart"/>
      <w:r w:rsidR="004127F7" w:rsidRPr="004127F7">
        <w:rPr>
          <w:rFonts w:eastAsia="SourceSansVariable-Roman" w:cstheme="minorHAnsi"/>
          <w:b/>
          <w:bCs/>
          <w:sz w:val="24"/>
          <w:szCs w:val="24"/>
        </w:rPr>
        <w:t>vytížen</w:t>
      </w:r>
      <w:r w:rsidR="00821248">
        <w:rPr>
          <w:rFonts w:eastAsia="SourceSansVariable-Roman" w:cstheme="minorHAnsi"/>
          <w:b/>
          <w:bCs/>
          <w:sz w:val="24"/>
          <w:szCs w:val="24"/>
        </w:rPr>
        <w:t>osti</w:t>
      </w:r>
      <w:r w:rsidRPr="004127F7">
        <w:rPr>
          <w:rFonts w:eastAsia="SourceSansVariable-Roman" w:cstheme="minorHAnsi"/>
          <w:b/>
          <w:bCs/>
          <w:sz w:val="24"/>
          <w:szCs w:val="24"/>
        </w:rPr>
        <w:t xml:space="preserve"> </w:t>
      </w:r>
      <w:r w:rsidR="00C207A8">
        <w:rPr>
          <w:rFonts w:eastAsia="SourceSansVariable-Roman" w:cstheme="minorHAnsi"/>
          <w:b/>
          <w:bCs/>
          <w:sz w:val="24"/>
          <w:szCs w:val="24"/>
        </w:rPr>
        <w:t xml:space="preserve"> -</w:t>
      </w:r>
      <w:proofErr w:type="gramEnd"/>
      <w:r w:rsidR="00C207A8">
        <w:rPr>
          <w:rFonts w:eastAsia="SourceSansVariable-Roman" w:cstheme="minorHAnsi"/>
          <w:b/>
          <w:bCs/>
          <w:sz w:val="24"/>
          <w:szCs w:val="24"/>
        </w:rPr>
        <w:t xml:space="preserve"> a to </w:t>
      </w:r>
      <w:r w:rsidRPr="004127F7">
        <w:rPr>
          <w:rFonts w:eastAsia="SourceSansVariable-Roman" w:cstheme="minorHAnsi"/>
          <w:b/>
          <w:bCs/>
          <w:sz w:val="24"/>
          <w:szCs w:val="24"/>
        </w:rPr>
        <w:t>až k 92 procentům.</w:t>
      </w:r>
    </w:p>
    <w:p w14:paraId="362AC9DF" w14:textId="2E625EC2" w:rsidR="008C3519" w:rsidRDefault="008C3519" w:rsidP="008C3519">
      <w:pPr>
        <w:rPr>
          <w:b/>
          <w:bCs/>
          <w:sz w:val="24"/>
          <w:szCs w:val="24"/>
        </w:rPr>
      </w:pPr>
      <w:r w:rsidRPr="008C3519">
        <w:rPr>
          <w:b/>
          <w:bCs/>
          <w:sz w:val="24"/>
          <w:szCs w:val="24"/>
        </w:rPr>
        <w:t>Vyplývá to z</w:t>
      </w:r>
      <w:r w:rsidR="00BE78A0">
        <w:rPr>
          <w:b/>
          <w:bCs/>
          <w:sz w:val="24"/>
          <w:szCs w:val="24"/>
        </w:rPr>
        <w:t> Kvartální analýzy českého stavebnictví Q</w:t>
      </w:r>
      <w:r>
        <w:rPr>
          <w:b/>
          <w:bCs/>
          <w:sz w:val="24"/>
          <w:szCs w:val="24"/>
        </w:rPr>
        <w:t>1</w:t>
      </w:r>
      <w:r w:rsidRPr="008C3519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 w:rsidRPr="008C3519">
        <w:rPr>
          <w:b/>
          <w:bCs/>
          <w:sz w:val="24"/>
          <w:szCs w:val="24"/>
        </w:rPr>
        <w:t xml:space="preserve"> zpracované analytickou společností CEEC </w:t>
      </w:r>
      <w:proofErr w:type="spellStart"/>
      <w:r w:rsidRPr="008C3519">
        <w:rPr>
          <w:b/>
          <w:bCs/>
          <w:sz w:val="24"/>
          <w:szCs w:val="24"/>
        </w:rPr>
        <w:t>Research</w:t>
      </w:r>
      <w:proofErr w:type="spellEnd"/>
      <w:r w:rsidRPr="008C3519">
        <w:rPr>
          <w:b/>
          <w:bCs/>
          <w:sz w:val="24"/>
          <w:szCs w:val="24"/>
        </w:rPr>
        <w:t>.</w:t>
      </w:r>
    </w:p>
    <w:p w14:paraId="6682C842" w14:textId="1FE73672" w:rsidR="000B640B" w:rsidRPr="0034269B" w:rsidRDefault="000B640B" w:rsidP="000B640B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její ředitel, </w:t>
      </w:r>
      <w:r w:rsidRPr="000B640B">
        <w:rPr>
          <w:rFonts w:cstheme="minorHAnsi"/>
          <w:b/>
          <w:bCs/>
          <w:sz w:val="24"/>
          <w:szCs w:val="24"/>
        </w:rPr>
        <w:t>Michal Vacek</w:t>
      </w:r>
      <w:r>
        <w:rPr>
          <w:rFonts w:cstheme="minorHAnsi"/>
          <w:sz w:val="24"/>
          <w:szCs w:val="24"/>
        </w:rPr>
        <w:t xml:space="preserve"> </w:t>
      </w:r>
      <w:r w:rsidR="000F1F44">
        <w:rPr>
          <w:rFonts w:cstheme="minorHAnsi"/>
          <w:sz w:val="24"/>
          <w:szCs w:val="24"/>
        </w:rPr>
        <w:t xml:space="preserve">říká, že: </w:t>
      </w:r>
      <w:r w:rsidR="0034269B">
        <w:rPr>
          <w:rFonts w:cstheme="minorHAnsi"/>
          <w:sz w:val="24"/>
          <w:szCs w:val="24"/>
        </w:rPr>
        <w:t>„</w:t>
      </w:r>
      <w:r w:rsidR="0034269B" w:rsidRPr="0034269B">
        <w:rPr>
          <w:rFonts w:cstheme="minorHAnsi"/>
          <w:i/>
          <w:iCs/>
          <w:sz w:val="24"/>
          <w:szCs w:val="24"/>
        </w:rPr>
        <w:t xml:space="preserve">Dle rozhovorů s řediteli stavebních společností, které pravidelně realizujeme v rámci sběru dat do našich analýz a predikcí pro rok 2024 a 2025 jasně vyplývá pozitivní výhled v podobě oživení trhu a stavební produkce. Přispívá </w:t>
      </w:r>
      <w:r w:rsidR="0034269B">
        <w:rPr>
          <w:rFonts w:cstheme="minorHAnsi"/>
          <w:i/>
          <w:iCs/>
          <w:sz w:val="24"/>
          <w:szCs w:val="24"/>
        </w:rPr>
        <w:t xml:space="preserve">k </w:t>
      </w:r>
      <w:r w:rsidR="0034269B" w:rsidRPr="0034269B">
        <w:rPr>
          <w:rFonts w:cstheme="minorHAnsi"/>
          <w:i/>
          <w:iCs/>
          <w:sz w:val="24"/>
          <w:szCs w:val="24"/>
        </w:rPr>
        <w:t>tomu dodržení příslibu veřejných investorů v podobě investic do dopravní infrastruktury, kde nedošlo k žádným škrtům a nic nenaznačuje, že by se na tomto faktu mělo něco měnit.</w:t>
      </w:r>
      <w:r w:rsidR="0034269B">
        <w:rPr>
          <w:rFonts w:cstheme="minorHAnsi"/>
          <w:i/>
          <w:iCs/>
          <w:sz w:val="24"/>
          <w:szCs w:val="24"/>
        </w:rPr>
        <w:t>“</w:t>
      </w:r>
    </w:p>
    <w:p w14:paraId="7D330EA9" w14:textId="798BDF68" w:rsidR="00DC6CC7" w:rsidRPr="00B31C12" w:rsidRDefault="00B036F6" w:rsidP="002E01A8">
      <w:pPr>
        <w:pStyle w:val="Normlnweb"/>
        <w:shd w:val="clear" w:color="auto" w:fill="FFFFFF"/>
        <w:spacing w:before="300" w:after="0"/>
        <w:jc w:val="both"/>
        <w:rPr>
          <w:rFonts w:ascii="Calibri" w:eastAsia="Aptos" w:hAnsi="Calibri" w:cs="Calibri"/>
          <w:lang w:eastAsia="en-US"/>
        </w:rPr>
      </w:pPr>
      <w:r w:rsidRPr="00B036F6">
        <w:rPr>
          <w:rFonts w:ascii="Calibri" w:eastAsia="Aptos" w:hAnsi="Calibri" w:cs="Calibri"/>
          <w:noProof/>
          <w:lang w:eastAsia="en-US"/>
        </w:rPr>
        <w:drawing>
          <wp:inline distT="0" distB="0" distL="0" distR="0" wp14:anchorId="0606A414" wp14:editId="34F848A6">
            <wp:extent cx="5034879" cy="3419855"/>
            <wp:effectExtent l="0" t="0" r="0" b="0"/>
            <wp:docPr id="1484715377" name="Obrázek 1" descr="Obsah obrázku text, snímek obrazovky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715377" name="Obrázek 1" descr="Obsah obrázku text, snímek obrazovky, Písmo, diagram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0416" cy="343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AE850" w14:textId="3BBEBBCD" w:rsidR="00960C56" w:rsidRDefault="00960C56" w:rsidP="002E01A8">
      <w:pPr>
        <w:pStyle w:val="Normlnweb"/>
        <w:shd w:val="clear" w:color="auto" w:fill="FFFFFF"/>
        <w:spacing w:before="300" w:after="0"/>
        <w:jc w:val="both"/>
        <w:rPr>
          <w:rFonts w:ascii="Calibri" w:hAnsi="Calibri" w:cs="Calibri"/>
        </w:rPr>
      </w:pPr>
    </w:p>
    <w:p w14:paraId="184A3FCF" w14:textId="4871032F" w:rsidR="004E6BF7" w:rsidRDefault="004E6BF7" w:rsidP="004E6B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>„</w:t>
      </w:r>
      <w:r w:rsidRPr="004E6BF7">
        <w:rPr>
          <w:rFonts w:cstheme="minorHAnsi"/>
          <w:i/>
          <w:iCs/>
          <w:sz w:val="24"/>
          <w:szCs w:val="24"/>
        </w:rPr>
        <w:t xml:space="preserve">Po útlumu stavebnictví v loňském roce se letos očekává zlepšení. Vidíme to zejména ve slibném objemu práce, které se nejen nám </w:t>
      </w:r>
      <w:proofErr w:type="gramStart"/>
      <w:r w:rsidRPr="004E6BF7">
        <w:rPr>
          <w:rFonts w:cstheme="minorHAnsi"/>
          <w:i/>
          <w:iCs/>
          <w:sz w:val="24"/>
          <w:szCs w:val="24"/>
        </w:rPr>
        <w:t>daří</w:t>
      </w:r>
      <w:proofErr w:type="gramEnd"/>
      <w:r w:rsidRPr="004E6BF7">
        <w:rPr>
          <w:rFonts w:cstheme="minorHAnsi"/>
          <w:i/>
          <w:iCs/>
          <w:sz w:val="24"/>
          <w:szCs w:val="24"/>
        </w:rPr>
        <w:t xml:space="preserve"> dostat pod smlouvy.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E6BF7">
        <w:rPr>
          <w:rFonts w:cstheme="minorHAnsi"/>
          <w:i/>
          <w:iCs/>
          <w:sz w:val="24"/>
          <w:szCs w:val="24"/>
        </w:rPr>
        <w:t>Pozemní stavitelství by mělo vyhlížet klesání úrokových sazeb, které by ke konci roku mohlo oživit prodeje. Kdo bude připraven by mohl mít výhodu.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E6BF7">
        <w:rPr>
          <w:rFonts w:cstheme="minorHAnsi"/>
          <w:i/>
          <w:iCs/>
          <w:sz w:val="24"/>
          <w:szCs w:val="24"/>
        </w:rPr>
        <w:t xml:space="preserve">V dopravních stavbách se </w:t>
      </w:r>
      <w:proofErr w:type="gramStart"/>
      <w:r w:rsidRPr="004E6BF7">
        <w:rPr>
          <w:rFonts w:cstheme="minorHAnsi"/>
          <w:i/>
          <w:iCs/>
          <w:sz w:val="24"/>
          <w:szCs w:val="24"/>
        </w:rPr>
        <w:t>daří</w:t>
      </w:r>
      <w:proofErr w:type="gramEnd"/>
      <w:r w:rsidRPr="004E6BF7">
        <w:rPr>
          <w:rFonts w:cstheme="minorHAnsi"/>
          <w:i/>
          <w:iCs/>
          <w:sz w:val="24"/>
          <w:szCs w:val="24"/>
        </w:rPr>
        <w:t xml:space="preserve"> udržet velmi zajímavá čísla a </w:t>
      </w:r>
      <w:r>
        <w:rPr>
          <w:rFonts w:cstheme="minorHAnsi"/>
          <w:i/>
          <w:iCs/>
          <w:sz w:val="24"/>
          <w:szCs w:val="24"/>
        </w:rPr>
        <w:t xml:space="preserve">ta </w:t>
      </w:r>
      <w:r w:rsidRPr="004E6BF7">
        <w:rPr>
          <w:rFonts w:cstheme="minorHAnsi"/>
          <w:i/>
          <w:iCs/>
          <w:sz w:val="24"/>
          <w:szCs w:val="24"/>
        </w:rPr>
        <w:t>avizovaná na letošní rok by měla potvrdit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E6BF7">
        <w:rPr>
          <w:rFonts w:cstheme="minorHAnsi"/>
          <w:i/>
          <w:iCs/>
          <w:sz w:val="24"/>
          <w:szCs w:val="24"/>
        </w:rPr>
        <w:t>roky</w:t>
      </w:r>
      <w:r>
        <w:rPr>
          <w:rFonts w:cstheme="minorHAnsi"/>
          <w:i/>
          <w:iCs/>
          <w:sz w:val="24"/>
          <w:szCs w:val="24"/>
        </w:rPr>
        <w:t xml:space="preserve"> poslední</w:t>
      </w:r>
      <w:r w:rsidRPr="004E6BF7">
        <w:rPr>
          <w:rFonts w:cstheme="minorHAnsi"/>
          <w:i/>
          <w:iCs/>
          <w:sz w:val="24"/>
          <w:szCs w:val="24"/>
        </w:rPr>
        <w:t>. Nesmíme zapomínat mimo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E6BF7">
        <w:rPr>
          <w:rFonts w:cstheme="minorHAnsi"/>
          <w:i/>
          <w:iCs/>
          <w:sz w:val="24"/>
          <w:szCs w:val="24"/>
        </w:rPr>
        <w:t>rozběhlé investice také na opravné práce a údržbu. Zde vidíme příležitosti a progres</w:t>
      </w:r>
      <w:r>
        <w:rPr>
          <w:rFonts w:cstheme="minorHAnsi"/>
          <w:i/>
          <w:iCs/>
          <w:sz w:val="24"/>
          <w:szCs w:val="24"/>
        </w:rPr>
        <w:t xml:space="preserve">,“ </w:t>
      </w:r>
      <w:r w:rsidRPr="004E6BF7">
        <w:rPr>
          <w:rFonts w:cstheme="minorHAnsi"/>
          <w:sz w:val="24"/>
          <w:szCs w:val="24"/>
        </w:rPr>
        <w:t xml:space="preserve">říká předseda dozorčí rady </w:t>
      </w:r>
      <w:r>
        <w:rPr>
          <w:rFonts w:cstheme="minorHAnsi"/>
          <w:sz w:val="24"/>
          <w:szCs w:val="24"/>
        </w:rPr>
        <w:t xml:space="preserve">společnosti </w:t>
      </w:r>
      <w:proofErr w:type="spellStart"/>
      <w:r>
        <w:rPr>
          <w:rFonts w:cstheme="minorHAnsi"/>
          <w:sz w:val="24"/>
          <w:szCs w:val="24"/>
        </w:rPr>
        <w:t>Enteria</w:t>
      </w:r>
      <w:proofErr w:type="spellEnd"/>
      <w:r>
        <w:rPr>
          <w:rFonts w:cstheme="minorHAnsi"/>
          <w:sz w:val="24"/>
          <w:szCs w:val="24"/>
        </w:rPr>
        <w:t xml:space="preserve"> a.s., </w:t>
      </w:r>
      <w:r w:rsidRPr="004E6BF7">
        <w:rPr>
          <w:rFonts w:cstheme="minorHAnsi"/>
          <w:b/>
          <w:bCs/>
          <w:sz w:val="24"/>
          <w:szCs w:val="24"/>
        </w:rPr>
        <w:t>Ondřej Joska</w:t>
      </w:r>
      <w:r>
        <w:rPr>
          <w:rFonts w:cstheme="minorHAnsi"/>
          <w:sz w:val="24"/>
          <w:szCs w:val="24"/>
        </w:rPr>
        <w:t>.</w:t>
      </w:r>
    </w:p>
    <w:p w14:paraId="0E4A4808" w14:textId="77777777" w:rsidR="001E6722" w:rsidRDefault="001E6722" w:rsidP="004E6B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D80202" w14:textId="35A18BED" w:rsidR="001E6722" w:rsidRDefault="001E6722" w:rsidP="001E67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362A83">
        <w:rPr>
          <w:rFonts w:cstheme="minorHAnsi"/>
          <w:b/>
          <w:bCs/>
          <w:sz w:val="24"/>
          <w:szCs w:val="24"/>
        </w:rPr>
        <w:t>Jiří Tesař</w:t>
      </w:r>
      <w:r>
        <w:rPr>
          <w:rFonts w:cstheme="minorHAnsi"/>
          <w:sz w:val="24"/>
          <w:szCs w:val="24"/>
        </w:rPr>
        <w:t xml:space="preserve">, </w:t>
      </w:r>
      <w:r w:rsidR="00362A83">
        <w:rPr>
          <w:rFonts w:cstheme="minorHAnsi"/>
          <w:sz w:val="24"/>
          <w:szCs w:val="24"/>
        </w:rPr>
        <w:t xml:space="preserve">obchodní ředitel </w:t>
      </w:r>
      <w:proofErr w:type="spellStart"/>
      <w:r w:rsidR="00362A83">
        <w:rPr>
          <w:rFonts w:cstheme="minorHAnsi"/>
          <w:sz w:val="24"/>
          <w:szCs w:val="24"/>
        </w:rPr>
        <w:t>Subterra</w:t>
      </w:r>
      <w:proofErr w:type="spellEnd"/>
      <w:r w:rsidR="00362A83">
        <w:rPr>
          <w:rFonts w:cstheme="minorHAnsi"/>
          <w:sz w:val="24"/>
          <w:szCs w:val="24"/>
        </w:rPr>
        <w:t>, a.s. dodává: „</w:t>
      </w:r>
      <w:r w:rsidRPr="001E6722">
        <w:rPr>
          <w:rFonts w:cstheme="minorHAnsi"/>
          <w:i/>
          <w:iCs/>
          <w:sz w:val="24"/>
          <w:szCs w:val="24"/>
        </w:rPr>
        <w:t>Očekávám velmi mírné zlepšení ruku v ruce s celým národním hospodářstvím. Rozhodně však nepůjde o nic oslnivého; ve svém posledním výhledu to ostatně</w:t>
      </w:r>
      <w:r w:rsidR="00362A83">
        <w:rPr>
          <w:rFonts w:cstheme="minorHAnsi"/>
          <w:i/>
          <w:iCs/>
          <w:sz w:val="24"/>
          <w:szCs w:val="24"/>
        </w:rPr>
        <w:t xml:space="preserve"> </w:t>
      </w:r>
      <w:r w:rsidRPr="001E6722">
        <w:rPr>
          <w:rFonts w:cstheme="minorHAnsi"/>
          <w:i/>
          <w:iCs/>
          <w:sz w:val="24"/>
          <w:szCs w:val="24"/>
        </w:rPr>
        <w:t>nepředpokládá ani ČNB. Pokud budeme letos moci mluvit alespoň o náznacích restartu české ekonomiky, potažmo stavebnictví, bude to úspěch</w:t>
      </w:r>
      <w:r w:rsidR="00362A83">
        <w:rPr>
          <w:rFonts w:cstheme="minorHAnsi"/>
          <w:i/>
          <w:iCs/>
          <w:sz w:val="24"/>
          <w:szCs w:val="24"/>
        </w:rPr>
        <w:t>“</w:t>
      </w:r>
      <w:r w:rsidRPr="001E6722">
        <w:rPr>
          <w:rFonts w:cstheme="minorHAnsi"/>
          <w:i/>
          <w:iCs/>
          <w:sz w:val="24"/>
          <w:szCs w:val="24"/>
        </w:rPr>
        <w:t>.</w:t>
      </w:r>
    </w:p>
    <w:p w14:paraId="758598C4" w14:textId="77777777" w:rsidR="00A533D0" w:rsidRPr="001E6722" w:rsidRDefault="00A533D0" w:rsidP="001E67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F0C80A4" w14:textId="581C1D02" w:rsidR="004E6BF7" w:rsidRPr="00A533D0" w:rsidRDefault="00A533D0" w:rsidP="00C207A8">
      <w:pPr>
        <w:autoSpaceDE w:val="0"/>
        <w:autoSpaceDN w:val="0"/>
        <w:adjustRightInd w:val="0"/>
        <w:spacing w:after="0" w:line="240" w:lineRule="auto"/>
        <w:rPr>
          <w:rFonts w:eastAsia="SourceSansVariable-Roman" w:cstheme="minorHAnsi"/>
          <w:b/>
          <w:bCs/>
          <w:sz w:val="28"/>
          <w:szCs w:val="28"/>
        </w:rPr>
      </w:pPr>
      <w:r w:rsidRPr="00A533D0">
        <w:rPr>
          <w:rFonts w:eastAsia="SourceSansVariable-Roman" w:cstheme="minorHAnsi"/>
          <w:b/>
          <w:bCs/>
          <w:sz w:val="28"/>
          <w:szCs w:val="28"/>
        </w:rPr>
        <w:t>Stavební firmy počítají s</w:t>
      </w:r>
      <w:r w:rsidR="008A3946">
        <w:rPr>
          <w:rFonts w:eastAsia="SourceSansVariable-Roman" w:cstheme="minorHAnsi"/>
          <w:b/>
          <w:bCs/>
          <w:sz w:val="28"/>
          <w:szCs w:val="28"/>
        </w:rPr>
        <w:t> vyšším vytížením svých</w:t>
      </w:r>
      <w:r w:rsidRPr="00A533D0">
        <w:rPr>
          <w:rFonts w:eastAsia="SourceSansVariable-Roman" w:cstheme="minorHAnsi"/>
          <w:b/>
          <w:bCs/>
          <w:sz w:val="28"/>
          <w:szCs w:val="28"/>
        </w:rPr>
        <w:t xml:space="preserve"> kapacit</w:t>
      </w:r>
    </w:p>
    <w:p w14:paraId="51842DC6" w14:textId="77777777" w:rsidR="00A533D0" w:rsidRPr="001E6722" w:rsidRDefault="00A533D0" w:rsidP="00C207A8">
      <w:pPr>
        <w:autoSpaceDE w:val="0"/>
        <w:autoSpaceDN w:val="0"/>
        <w:adjustRightInd w:val="0"/>
        <w:spacing w:after="0" w:line="240" w:lineRule="auto"/>
        <w:rPr>
          <w:rFonts w:eastAsia="SourceSansVariable-Roman" w:cstheme="minorHAnsi"/>
          <w:sz w:val="24"/>
          <w:szCs w:val="24"/>
        </w:rPr>
      </w:pPr>
    </w:p>
    <w:p w14:paraId="73E3D7AE" w14:textId="686AAA74" w:rsidR="00DC6CC7" w:rsidRDefault="00C207A8" w:rsidP="00912704">
      <w:pPr>
        <w:autoSpaceDE w:val="0"/>
        <w:autoSpaceDN w:val="0"/>
        <w:adjustRightInd w:val="0"/>
        <w:spacing w:after="0" w:line="240" w:lineRule="auto"/>
        <w:rPr>
          <w:rFonts w:eastAsia="SourceSansVariable-Roman" w:cstheme="minorHAnsi"/>
          <w:sz w:val="24"/>
          <w:szCs w:val="24"/>
        </w:rPr>
      </w:pPr>
      <w:r w:rsidRPr="00C207A8">
        <w:rPr>
          <w:rFonts w:eastAsia="SourceSansVariable-Roman" w:cstheme="minorHAnsi"/>
          <w:sz w:val="24"/>
          <w:szCs w:val="24"/>
        </w:rPr>
        <w:t>Kapacity stavebních společnost</w:t>
      </w:r>
      <w:r w:rsidR="00821248">
        <w:rPr>
          <w:rFonts w:eastAsia="SourceSansVariable-Roman" w:cstheme="minorHAnsi"/>
          <w:sz w:val="24"/>
          <w:szCs w:val="24"/>
        </w:rPr>
        <w:t>í</w:t>
      </w:r>
      <w:r w:rsidRPr="00C207A8">
        <w:rPr>
          <w:rFonts w:eastAsia="SourceSansVariable-Roman" w:cstheme="minorHAnsi"/>
          <w:sz w:val="24"/>
          <w:szCs w:val="24"/>
        </w:rPr>
        <w:t xml:space="preserve"> jsou </w:t>
      </w:r>
      <w:r w:rsidR="00821248">
        <w:rPr>
          <w:rFonts w:eastAsia="SourceSansVariable-Roman" w:cstheme="minorHAnsi"/>
          <w:sz w:val="24"/>
          <w:szCs w:val="24"/>
        </w:rPr>
        <w:t xml:space="preserve">opět </w:t>
      </w:r>
      <w:r w:rsidRPr="00C207A8">
        <w:rPr>
          <w:rFonts w:eastAsia="SourceSansVariable-Roman" w:cstheme="minorHAnsi"/>
          <w:sz w:val="24"/>
          <w:szCs w:val="24"/>
        </w:rPr>
        <w:t>vysoce vytížené</w:t>
      </w:r>
      <w:r>
        <w:rPr>
          <w:rFonts w:eastAsia="SourceSansVariable-Roman" w:cstheme="minorHAnsi"/>
          <w:sz w:val="24"/>
          <w:szCs w:val="24"/>
        </w:rPr>
        <w:t xml:space="preserve">. </w:t>
      </w:r>
      <w:r w:rsidRPr="00C207A8">
        <w:rPr>
          <w:rFonts w:eastAsia="SourceSansVariable-Roman" w:cstheme="minorHAnsi"/>
          <w:sz w:val="24"/>
          <w:szCs w:val="24"/>
        </w:rPr>
        <w:t>To</w:t>
      </w:r>
      <w:r>
        <w:rPr>
          <w:rFonts w:eastAsia="SourceSansVariable-Roman" w:cstheme="minorHAnsi"/>
          <w:sz w:val="24"/>
          <w:szCs w:val="24"/>
        </w:rPr>
        <w:t xml:space="preserve"> </w:t>
      </w:r>
      <w:r w:rsidR="00821248">
        <w:rPr>
          <w:rFonts w:eastAsia="SourceSansVariable-Roman" w:cstheme="minorHAnsi"/>
          <w:sz w:val="24"/>
          <w:szCs w:val="24"/>
        </w:rPr>
        <w:t>potvrzuje</w:t>
      </w:r>
      <w:r w:rsidRPr="00C207A8">
        <w:rPr>
          <w:rFonts w:eastAsia="SourceSansVariable-Roman" w:cstheme="minorHAnsi"/>
          <w:sz w:val="24"/>
          <w:szCs w:val="24"/>
        </w:rPr>
        <w:t xml:space="preserve"> jejich očekávání z minulého roku, kdy </w:t>
      </w:r>
      <w:r w:rsidR="00821248">
        <w:rPr>
          <w:rFonts w:eastAsia="SourceSansVariable-Roman" w:cstheme="minorHAnsi"/>
          <w:sz w:val="24"/>
          <w:szCs w:val="24"/>
        </w:rPr>
        <w:t>předpokládaly</w:t>
      </w:r>
      <w:r w:rsidRPr="00C207A8">
        <w:rPr>
          <w:rFonts w:eastAsia="SourceSansVariable-Roman" w:cstheme="minorHAnsi"/>
          <w:sz w:val="24"/>
          <w:szCs w:val="24"/>
        </w:rPr>
        <w:t xml:space="preserve"> budoucí vytíženi svých kapacit na 85 %. I přes očekávaný pokles</w:t>
      </w:r>
      <w:r>
        <w:rPr>
          <w:rFonts w:eastAsia="SourceSansVariable-Roman" w:cstheme="minorHAnsi"/>
          <w:sz w:val="24"/>
          <w:szCs w:val="24"/>
        </w:rPr>
        <w:t xml:space="preserve"> </w:t>
      </w:r>
      <w:r w:rsidRPr="00C207A8">
        <w:rPr>
          <w:rFonts w:eastAsia="SourceSansVariable-Roman" w:cstheme="minorHAnsi"/>
          <w:sz w:val="24"/>
          <w:szCs w:val="24"/>
        </w:rPr>
        <w:t xml:space="preserve">trhu firmy počítají </w:t>
      </w:r>
      <w:r w:rsidR="00700E49">
        <w:rPr>
          <w:rFonts w:eastAsia="SourceSansVariable-Roman" w:cstheme="minorHAnsi"/>
          <w:sz w:val="24"/>
          <w:szCs w:val="24"/>
        </w:rPr>
        <w:t xml:space="preserve">v následujícím kvartálu </w:t>
      </w:r>
      <w:r w:rsidRPr="00C207A8">
        <w:rPr>
          <w:rFonts w:eastAsia="SourceSansVariable-Roman" w:cstheme="minorHAnsi"/>
          <w:sz w:val="24"/>
          <w:szCs w:val="24"/>
        </w:rPr>
        <w:t>s</w:t>
      </w:r>
      <w:r w:rsidR="00821248">
        <w:rPr>
          <w:rFonts w:eastAsia="SourceSansVariable-Roman" w:cstheme="minorHAnsi"/>
          <w:sz w:val="24"/>
          <w:szCs w:val="24"/>
        </w:rPr>
        <w:t xml:space="preserve"> ještě </w:t>
      </w:r>
      <w:r w:rsidRPr="00C207A8">
        <w:rPr>
          <w:rFonts w:eastAsia="SourceSansVariable-Roman" w:cstheme="minorHAnsi"/>
          <w:sz w:val="24"/>
          <w:szCs w:val="24"/>
        </w:rPr>
        <w:t xml:space="preserve">vyšším vytížením, a to z 92 %, </w:t>
      </w:r>
      <w:r>
        <w:rPr>
          <w:rFonts w:eastAsia="SourceSansVariable-Roman" w:cstheme="minorHAnsi"/>
          <w:sz w:val="24"/>
          <w:szCs w:val="24"/>
        </w:rPr>
        <w:t>s ohledem na</w:t>
      </w:r>
      <w:r w:rsidRPr="00C207A8">
        <w:rPr>
          <w:rFonts w:eastAsia="SourceSansVariable-Roman" w:cstheme="minorHAnsi"/>
          <w:sz w:val="24"/>
          <w:szCs w:val="24"/>
        </w:rPr>
        <w:t xml:space="preserve"> </w:t>
      </w:r>
      <w:r w:rsidR="00864C08">
        <w:rPr>
          <w:rFonts w:eastAsia="SourceSansVariable-Roman" w:cstheme="minorHAnsi"/>
          <w:sz w:val="24"/>
          <w:szCs w:val="24"/>
        </w:rPr>
        <w:t>příznivější</w:t>
      </w:r>
      <w:r w:rsidRPr="00C207A8">
        <w:rPr>
          <w:rFonts w:eastAsia="SourceSansVariable-Roman" w:cstheme="minorHAnsi"/>
          <w:sz w:val="24"/>
          <w:szCs w:val="24"/>
        </w:rPr>
        <w:t xml:space="preserve"> počasí a start</w:t>
      </w:r>
      <w:r>
        <w:rPr>
          <w:rFonts w:eastAsia="SourceSansVariable-Roman" w:cstheme="minorHAnsi"/>
          <w:sz w:val="24"/>
          <w:szCs w:val="24"/>
        </w:rPr>
        <w:t xml:space="preserve"> stavařské sezony.</w:t>
      </w:r>
    </w:p>
    <w:p w14:paraId="3BF50F52" w14:textId="23F2FF25" w:rsidR="00700E49" w:rsidRDefault="00700E49" w:rsidP="00912704">
      <w:pPr>
        <w:autoSpaceDE w:val="0"/>
        <w:autoSpaceDN w:val="0"/>
        <w:adjustRightInd w:val="0"/>
        <w:spacing w:after="0" w:line="240" w:lineRule="auto"/>
        <w:rPr>
          <w:rFonts w:eastAsia="SourceSansVariable-Roman" w:cstheme="minorHAnsi"/>
          <w:sz w:val="24"/>
          <w:szCs w:val="24"/>
        </w:rPr>
      </w:pPr>
      <w:r w:rsidRPr="00700E49">
        <w:rPr>
          <w:rFonts w:eastAsia="SourceSansVariable-Roman" w:cstheme="minorHAnsi"/>
          <w:noProof/>
          <w:sz w:val="24"/>
          <w:szCs w:val="24"/>
        </w:rPr>
        <w:drawing>
          <wp:inline distT="0" distB="0" distL="0" distR="0" wp14:anchorId="3C32FEC4" wp14:editId="7188319D">
            <wp:extent cx="5760720" cy="3651250"/>
            <wp:effectExtent l="0" t="0" r="0" b="6350"/>
            <wp:docPr id="1743242850" name="Obrázek 1" descr="Obsah obrázku text, řada/pruh, Vykreslený graf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242850" name="Obrázek 1" descr="Obsah obrázku text, řada/pruh, Vykreslený graf, diagram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63607" w14:textId="77777777" w:rsidR="00786845" w:rsidRPr="00912704" w:rsidRDefault="00786845" w:rsidP="00912704">
      <w:pPr>
        <w:autoSpaceDE w:val="0"/>
        <w:autoSpaceDN w:val="0"/>
        <w:adjustRightInd w:val="0"/>
        <w:spacing w:after="0" w:line="240" w:lineRule="auto"/>
        <w:rPr>
          <w:rFonts w:eastAsia="SourceSansVariable-Roman" w:cstheme="minorHAnsi"/>
          <w:sz w:val="24"/>
          <w:szCs w:val="24"/>
        </w:rPr>
      </w:pPr>
    </w:p>
    <w:p w14:paraId="07BBA26D" w14:textId="362A8498" w:rsidR="002E01A8" w:rsidRPr="00B1402A" w:rsidRDefault="00B1402A" w:rsidP="002E0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1402A">
        <w:rPr>
          <w:rFonts w:ascii="Calibri" w:hAnsi="Calibri" w:cs="Calibri"/>
          <w:b/>
          <w:bCs/>
          <w:color w:val="000000"/>
          <w:sz w:val="28"/>
          <w:szCs w:val="28"/>
        </w:rPr>
        <w:t>Stavební zakázky na 9 měsíců dopředu</w:t>
      </w:r>
    </w:p>
    <w:p w14:paraId="26E1BBF4" w14:textId="77777777" w:rsidR="00B1402A" w:rsidRDefault="00B1402A" w:rsidP="002E0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9614E4" w14:textId="7C92A015" w:rsidR="005F28E8" w:rsidRPr="00B1402A" w:rsidRDefault="00B1402A" w:rsidP="00B1402A">
      <w:pPr>
        <w:autoSpaceDE w:val="0"/>
        <w:autoSpaceDN w:val="0"/>
        <w:adjustRightInd w:val="0"/>
        <w:spacing w:after="0" w:line="240" w:lineRule="auto"/>
        <w:rPr>
          <w:rFonts w:eastAsia="SourceSansVariable-Roman" w:cstheme="minorHAnsi"/>
          <w:sz w:val="24"/>
          <w:szCs w:val="24"/>
        </w:rPr>
      </w:pPr>
      <w:r w:rsidRPr="00B1402A">
        <w:rPr>
          <w:rFonts w:eastAsia="SourceSansVariable-Roman" w:cstheme="minorHAnsi"/>
          <w:sz w:val="24"/>
          <w:szCs w:val="24"/>
        </w:rPr>
        <w:t>V současné chvíli mají stavební společnosti nasmlouvané zakázky v průměru na 9 měsíců dopředu. Ve srovnaní se stejným</w:t>
      </w:r>
      <w:r>
        <w:rPr>
          <w:rFonts w:eastAsia="SourceSansVariable-Roman" w:cstheme="minorHAnsi"/>
          <w:sz w:val="24"/>
          <w:szCs w:val="24"/>
        </w:rPr>
        <w:t xml:space="preserve"> </w:t>
      </w:r>
      <w:r w:rsidRPr="00B1402A">
        <w:rPr>
          <w:rFonts w:eastAsia="SourceSansVariable-Roman" w:cstheme="minorHAnsi"/>
          <w:sz w:val="24"/>
          <w:szCs w:val="24"/>
        </w:rPr>
        <w:t xml:space="preserve">obdobím minulého roku to je pro 38 % dotázaných stejně </w:t>
      </w:r>
      <w:r w:rsidRPr="00B1402A">
        <w:rPr>
          <w:rFonts w:eastAsia="SourceSansVariable-Roman" w:cstheme="minorHAnsi"/>
          <w:sz w:val="24"/>
          <w:szCs w:val="24"/>
        </w:rPr>
        <w:lastRenderedPageBreak/>
        <w:t xml:space="preserve">dlouhá doba. Pro </w:t>
      </w:r>
      <w:r w:rsidR="00057001">
        <w:rPr>
          <w:rFonts w:eastAsia="SourceSansVariable-Roman" w:cstheme="minorHAnsi"/>
          <w:sz w:val="24"/>
          <w:szCs w:val="24"/>
        </w:rPr>
        <w:t>15 %</w:t>
      </w:r>
      <w:r w:rsidRPr="00B1402A">
        <w:rPr>
          <w:rFonts w:eastAsia="SourceSansVariable-Roman" w:cstheme="minorHAnsi"/>
          <w:sz w:val="24"/>
          <w:szCs w:val="24"/>
        </w:rPr>
        <w:t xml:space="preserve"> se dokonce jedn</w:t>
      </w:r>
      <w:r>
        <w:rPr>
          <w:rFonts w:eastAsia="SourceSansVariable-Roman" w:cstheme="minorHAnsi"/>
          <w:sz w:val="24"/>
          <w:szCs w:val="24"/>
        </w:rPr>
        <w:t>á</w:t>
      </w:r>
      <w:r w:rsidRPr="00B1402A">
        <w:rPr>
          <w:rFonts w:eastAsia="SourceSansVariable-Roman" w:cstheme="minorHAnsi"/>
          <w:sz w:val="24"/>
          <w:szCs w:val="24"/>
        </w:rPr>
        <w:t xml:space="preserve"> o narůst t</w:t>
      </w:r>
      <w:r w:rsidR="00057001">
        <w:rPr>
          <w:rFonts w:eastAsia="SourceSansVariable-Roman" w:cstheme="minorHAnsi"/>
          <w:sz w:val="24"/>
          <w:szCs w:val="24"/>
        </w:rPr>
        <w:t>é</w:t>
      </w:r>
      <w:r w:rsidRPr="00B1402A">
        <w:rPr>
          <w:rFonts w:eastAsia="SourceSansVariable-Roman" w:cstheme="minorHAnsi"/>
          <w:sz w:val="24"/>
          <w:szCs w:val="24"/>
        </w:rPr>
        <w:t>to doby</w:t>
      </w:r>
      <w:r>
        <w:rPr>
          <w:rFonts w:eastAsia="SourceSansVariable-Roman" w:cstheme="minorHAnsi"/>
          <w:sz w:val="24"/>
          <w:szCs w:val="24"/>
        </w:rPr>
        <w:t xml:space="preserve"> </w:t>
      </w:r>
      <w:r w:rsidRPr="00B1402A">
        <w:rPr>
          <w:rFonts w:eastAsia="SourceSansVariable-Roman" w:cstheme="minorHAnsi"/>
          <w:sz w:val="24"/>
          <w:szCs w:val="24"/>
        </w:rPr>
        <w:t>a pro necelou polovinu naopak o její pokles (</w:t>
      </w:r>
      <w:r>
        <w:rPr>
          <w:rFonts w:eastAsia="SourceSansVariable-Roman" w:cstheme="minorHAnsi"/>
          <w:sz w:val="24"/>
          <w:szCs w:val="24"/>
        </w:rPr>
        <w:t>47</w:t>
      </w:r>
      <w:r w:rsidRPr="00B1402A">
        <w:rPr>
          <w:rFonts w:eastAsia="SourceSansVariable-Roman" w:cstheme="minorHAnsi"/>
          <w:sz w:val="24"/>
          <w:szCs w:val="24"/>
        </w:rPr>
        <w:t xml:space="preserve"> %).</w:t>
      </w:r>
    </w:p>
    <w:p w14:paraId="71AF2DA7" w14:textId="3E425F78" w:rsidR="00B1402A" w:rsidRPr="005F28E8" w:rsidRDefault="00B1402A" w:rsidP="00B1402A">
      <w:pPr>
        <w:autoSpaceDE w:val="0"/>
        <w:autoSpaceDN w:val="0"/>
        <w:adjustRightInd w:val="0"/>
        <w:spacing w:after="0" w:line="240" w:lineRule="auto"/>
        <w:rPr>
          <w:rFonts w:eastAsia="SourceSansVariable-Roman" w:cstheme="minorHAnsi"/>
          <w:sz w:val="24"/>
          <w:szCs w:val="24"/>
        </w:rPr>
      </w:pPr>
      <w:r w:rsidRPr="00B1402A">
        <w:rPr>
          <w:rFonts w:eastAsia="SourceSansVariable-Roman" w:cstheme="minorHAnsi"/>
          <w:noProof/>
          <w:sz w:val="24"/>
          <w:szCs w:val="24"/>
        </w:rPr>
        <w:drawing>
          <wp:inline distT="0" distB="0" distL="0" distR="0" wp14:anchorId="13554A59" wp14:editId="0ED800F3">
            <wp:extent cx="5760720" cy="3579495"/>
            <wp:effectExtent l="0" t="0" r="0" b="1905"/>
            <wp:docPr id="189106187" name="Obrázek 1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6187" name="Obrázek 1" descr="Obsah obrázku text, snímek obrazovky, Písmo, kruh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2A6A" w14:textId="77777777" w:rsidR="004D427C" w:rsidRPr="004D427C" w:rsidRDefault="004D427C" w:rsidP="004D42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1FE7CFF" w14:textId="77777777" w:rsidR="00912704" w:rsidRDefault="00912704" w:rsidP="002E01A8">
      <w:pPr>
        <w:spacing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CD463AC" w14:textId="14C1AA56" w:rsidR="002E01A8" w:rsidRPr="003953EE" w:rsidRDefault="002E01A8" w:rsidP="002E01A8">
      <w:pPr>
        <w:spacing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953EE">
        <w:rPr>
          <w:rFonts w:ascii="Calibri" w:hAnsi="Calibri" w:cs="Calibri"/>
          <w:color w:val="000000"/>
          <w:sz w:val="24"/>
          <w:szCs w:val="24"/>
        </w:rPr>
        <w:t>Údaje vycház</w:t>
      </w:r>
      <w:r w:rsidR="00EA29C0">
        <w:rPr>
          <w:rFonts w:ascii="Calibri" w:hAnsi="Calibri" w:cs="Calibri"/>
          <w:color w:val="000000"/>
          <w:sz w:val="24"/>
          <w:szCs w:val="24"/>
        </w:rPr>
        <w:t>ejí</w:t>
      </w:r>
      <w:r w:rsidRPr="003953EE">
        <w:rPr>
          <w:rFonts w:ascii="Calibri" w:hAnsi="Calibri" w:cs="Calibri"/>
          <w:color w:val="000000"/>
          <w:sz w:val="24"/>
          <w:szCs w:val="24"/>
        </w:rPr>
        <w:t xml:space="preserve"> z</w:t>
      </w:r>
      <w:r w:rsidR="00EA29C0">
        <w:rPr>
          <w:rFonts w:ascii="Calibri" w:hAnsi="Calibri" w:cs="Calibri"/>
          <w:color w:val="000000"/>
          <w:sz w:val="24"/>
          <w:szCs w:val="24"/>
        </w:rPr>
        <w:t> </w:t>
      </w:r>
      <w:r w:rsidR="00EA29C0" w:rsidRPr="00EA29C0">
        <w:rPr>
          <w:rFonts w:ascii="Calibri" w:hAnsi="Calibri" w:cs="Calibri"/>
          <w:b/>
          <w:bCs/>
          <w:color w:val="000000"/>
          <w:sz w:val="24"/>
          <w:szCs w:val="24"/>
        </w:rPr>
        <w:t>Kvartální analýzy českého stavebnictví</w:t>
      </w:r>
      <w:r w:rsidR="00EA29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A29C0" w:rsidRPr="00EA29C0">
        <w:rPr>
          <w:rFonts w:ascii="Calibri" w:hAnsi="Calibri" w:cs="Calibri"/>
          <w:b/>
          <w:bCs/>
          <w:color w:val="000000"/>
          <w:sz w:val="24"/>
          <w:szCs w:val="24"/>
        </w:rPr>
        <w:t>Q</w:t>
      </w:r>
      <w:r w:rsidRPr="00EA29C0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Pr="003953EE">
        <w:rPr>
          <w:rFonts w:ascii="Calibri" w:hAnsi="Calibri" w:cs="Calibri"/>
          <w:b/>
          <w:color w:val="000000"/>
          <w:sz w:val="24"/>
          <w:szCs w:val="24"/>
        </w:rPr>
        <w:t>/202</w:t>
      </w:r>
      <w:r>
        <w:rPr>
          <w:rFonts w:ascii="Calibri" w:hAnsi="Calibri" w:cs="Calibri"/>
          <w:b/>
          <w:color w:val="000000"/>
          <w:sz w:val="24"/>
          <w:szCs w:val="24"/>
        </w:rPr>
        <w:t>4</w:t>
      </w:r>
      <w:r w:rsidRPr="00395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53EE">
        <w:rPr>
          <w:rFonts w:ascii="Calibri" w:hAnsi="Calibri" w:cs="Calibri"/>
          <w:sz w:val="24"/>
          <w:szCs w:val="24"/>
        </w:rPr>
        <w:t xml:space="preserve">zpracované analytickou společností CEEC </w:t>
      </w:r>
      <w:proofErr w:type="spellStart"/>
      <w:r w:rsidRPr="003953EE">
        <w:rPr>
          <w:rFonts w:ascii="Calibri" w:hAnsi="Calibri" w:cs="Calibri"/>
          <w:sz w:val="24"/>
          <w:szCs w:val="24"/>
        </w:rPr>
        <w:t>Research</w:t>
      </w:r>
      <w:proofErr w:type="spellEnd"/>
      <w:r w:rsidRPr="003953EE">
        <w:rPr>
          <w:rFonts w:ascii="Calibri" w:hAnsi="Calibri" w:cs="Calibri"/>
          <w:sz w:val="24"/>
          <w:szCs w:val="24"/>
        </w:rPr>
        <w:t>, která je</w:t>
      </w:r>
      <w:r w:rsidRPr="003953EE">
        <w:rPr>
          <w:rFonts w:ascii="Calibri" w:hAnsi="Calibri" w:cs="Calibri"/>
          <w:color w:val="000000"/>
          <w:sz w:val="24"/>
          <w:szCs w:val="24"/>
        </w:rPr>
        <w:t xml:space="preserve"> v plném znění zveřejněna na </w:t>
      </w:r>
      <w:hyperlink r:id="rId9">
        <w:r w:rsidRPr="003953EE">
          <w:rPr>
            <w:rFonts w:ascii="Calibri" w:hAnsi="Calibri" w:cs="Calibri"/>
            <w:color w:val="0563C1"/>
            <w:sz w:val="24"/>
            <w:szCs w:val="24"/>
            <w:u w:val="single"/>
          </w:rPr>
          <w:t>www.ceec.eu</w:t>
        </w:r>
      </w:hyperlink>
      <w:r w:rsidRPr="003953EE">
        <w:rPr>
          <w:rFonts w:ascii="Calibri" w:hAnsi="Calibri" w:cs="Calibri"/>
          <w:color w:val="000000"/>
          <w:sz w:val="24"/>
          <w:szCs w:val="24"/>
        </w:rPr>
        <w:t>.</w:t>
      </w:r>
    </w:p>
    <w:p w14:paraId="0B00ADCE" w14:textId="77777777" w:rsidR="002E01A8" w:rsidRPr="003953EE" w:rsidRDefault="002E01A8" w:rsidP="002E01A8">
      <w:pPr>
        <w:spacing w:line="288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974BB3E" w14:textId="77777777" w:rsidR="002E01A8" w:rsidRPr="006B73AD" w:rsidRDefault="002E01A8" w:rsidP="002E01A8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 w:rsidRPr="006B73AD">
        <w:rPr>
          <w:rFonts w:cstheme="minorHAnsi"/>
        </w:rPr>
        <w:t>MgA. Helena Grofová</w:t>
      </w:r>
    </w:p>
    <w:p w14:paraId="7E40050C" w14:textId="77777777" w:rsidR="002E01A8" w:rsidRDefault="002E01A8" w:rsidP="002E01A8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>
        <w:rPr>
          <w:rFonts w:cstheme="minorHAnsi"/>
        </w:rPr>
        <w:t>t</w:t>
      </w:r>
      <w:r w:rsidRPr="006B73AD">
        <w:rPr>
          <w:rFonts w:cstheme="minorHAnsi"/>
        </w:rPr>
        <w:t xml:space="preserve">isková mluvčí CEEC </w:t>
      </w:r>
      <w:proofErr w:type="spellStart"/>
      <w:r w:rsidRPr="006B73AD">
        <w:rPr>
          <w:rFonts w:cstheme="minorHAnsi"/>
        </w:rPr>
        <w:t>Research</w:t>
      </w:r>
      <w:proofErr w:type="spellEnd"/>
    </w:p>
    <w:p w14:paraId="414968DA" w14:textId="77777777" w:rsidR="002E01A8" w:rsidRDefault="002E01A8" w:rsidP="002E01A8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>
        <w:rPr>
          <w:rFonts w:cstheme="minorHAnsi"/>
        </w:rPr>
        <w:t>602 303 990</w:t>
      </w:r>
    </w:p>
    <w:p w14:paraId="38484DA2" w14:textId="77777777" w:rsidR="002E01A8" w:rsidRDefault="002E01A8" w:rsidP="002E01A8">
      <w:pPr>
        <w:pStyle w:val="Normlnweb"/>
        <w:spacing w:before="0" w:beforeAutospacing="0" w:after="0" w:afterAutospacing="0"/>
        <w:jc w:val="both"/>
        <w:rPr>
          <w:rFonts w:cstheme="minorHAnsi"/>
        </w:rPr>
      </w:pPr>
      <w:r>
        <w:rPr>
          <w:rFonts w:cstheme="minorHAnsi"/>
        </w:rPr>
        <w:t>grofova@ceec.eu</w:t>
      </w:r>
    </w:p>
    <w:p w14:paraId="48D722E8" w14:textId="77777777" w:rsidR="002E01A8" w:rsidRPr="006B73AD" w:rsidRDefault="002E01A8" w:rsidP="002E01A8">
      <w:pPr>
        <w:pStyle w:val="Normlnweb"/>
        <w:spacing w:before="0" w:beforeAutospacing="0" w:after="0" w:afterAutospacing="0"/>
        <w:jc w:val="both"/>
        <w:rPr>
          <w:rFonts w:cstheme="minorHAnsi"/>
        </w:rPr>
      </w:pPr>
    </w:p>
    <w:p w14:paraId="0062FD12" w14:textId="77777777" w:rsidR="002E01A8" w:rsidRDefault="002E01A8" w:rsidP="002E01A8"/>
    <w:p w14:paraId="0681C103" w14:textId="77777777" w:rsidR="002E01A8" w:rsidRDefault="002E01A8" w:rsidP="00B32E5B">
      <w:pPr>
        <w:pStyle w:val="Normlnweb"/>
        <w:spacing w:before="0" w:beforeAutospacing="0" w:after="160" w:afterAutospacing="0" w:line="288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</w:p>
    <w:p w14:paraId="4B2F8939" w14:textId="77777777" w:rsidR="002E01A8" w:rsidRDefault="002E01A8" w:rsidP="00B32E5B">
      <w:pPr>
        <w:pStyle w:val="Normlnweb"/>
        <w:spacing w:before="0" w:beforeAutospacing="0" w:after="160" w:afterAutospacing="0" w:line="288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</w:p>
    <w:p w14:paraId="77E01E63" w14:textId="77777777" w:rsidR="002E01A8" w:rsidRDefault="002E01A8" w:rsidP="00B32E5B">
      <w:pPr>
        <w:pStyle w:val="Normlnweb"/>
        <w:spacing w:before="0" w:beforeAutospacing="0" w:after="160" w:afterAutospacing="0" w:line="288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</w:p>
    <w:p w14:paraId="03AE8F06" w14:textId="112F1379" w:rsidR="00F34C9F" w:rsidRDefault="00F34C9F" w:rsidP="00B32E5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</w:p>
    <w:sectPr w:rsidR="00F34C9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91851" w14:textId="77777777" w:rsidR="00CD0243" w:rsidRDefault="00CD0243" w:rsidP="003E0618">
      <w:pPr>
        <w:spacing w:after="0" w:line="240" w:lineRule="auto"/>
      </w:pPr>
      <w:r>
        <w:separator/>
      </w:r>
    </w:p>
  </w:endnote>
  <w:endnote w:type="continuationSeparator" w:id="0">
    <w:p w14:paraId="5C82557B" w14:textId="77777777" w:rsidR="00CD0243" w:rsidRDefault="00CD0243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Variable-Roman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A714A" w14:textId="77777777" w:rsidR="00CD0243" w:rsidRDefault="00CD0243" w:rsidP="003E0618">
      <w:pPr>
        <w:spacing w:after="0" w:line="240" w:lineRule="auto"/>
      </w:pPr>
      <w:r>
        <w:separator/>
      </w:r>
    </w:p>
  </w:footnote>
  <w:footnote w:type="continuationSeparator" w:id="0">
    <w:p w14:paraId="49315E56" w14:textId="77777777" w:rsidR="00CD0243" w:rsidRDefault="00CD0243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719"/>
    <w:rsid w:val="00000EF0"/>
    <w:rsid w:val="0000561E"/>
    <w:rsid w:val="000073DF"/>
    <w:rsid w:val="00013280"/>
    <w:rsid w:val="00014D96"/>
    <w:rsid w:val="0001546E"/>
    <w:rsid w:val="000203B3"/>
    <w:rsid w:val="00022B1D"/>
    <w:rsid w:val="0003358D"/>
    <w:rsid w:val="0004515E"/>
    <w:rsid w:val="00050048"/>
    <w:rsid w:val="00057001"/>
    <w:rsid w:val="00061B21"/>
    <w:rsid w:val="00070BD8"/>
    <w:rsid w:val="00094AE8"/>
    <w:rsid w:val="00095DF1"/>
    <w:rsid w:val="000A23D3"/>
    <w:rsid w:val="000A3207"/>
    <w:rsid w:val="000A44DD"/>
    <w:rsid w:val="000B640B"/>
    <w:rsid w:val="000C0FDC"/>
    <w:rsid w:val="000D6AB4"/>
    <w:rsid w:val="000E2C23"/>
    <w:rsid w:val="000E2E42"/>
    <w:rsid w:val="000E2F52"/>
    <w:rsid w:val="000F1515"/>
    <w:rsid w:val="000F1F44"/>
    <w:rsid w:val="000F778D"/>
    <w:rsid w:val="001019D7"/>
    <w:rsid w:val="00107C93"/>
    <w:rsid w:val="00113270"/>
    <w:rsid w:val="00121409"/>
    <w:rsid w:val="00131712"/>
    <w:rsid w:val="00140274"/>
    <w:rsid w:val="0015108E"/>
    <w:rsid w:val="0016119C"/>
    <w:rsid w:val="00170EAF"/>
    <w:rsid w:val="00171501"/>
    <w:rsid w:val="001768A4"/>
    <w:rsid w:val="00182F82"/>
    <w:rsid w:val="0018568B"/>
    <w:rsid w:val="00186A14"/>
    <w:rsid w:val="001A1244"/>
    <w:rsid w:val="001A2CCA"/>
    <w:rsid w:val="001C48B0"/>
    <w:rsid w:val="001C56F4"/>
    <w:rsid w:val="001E3DDD"/>
    <w:rsid w:val="001E6722"/>
    <w:rsid w:val="001F3AEB"/>
    <w:rsid w:val="00203827"/>
    <w:rsid w:val="00211955"/>
    <w:rsid w:val="00221821"/>
    <w:rsid w:val="002462CF"/>
    <w:rsid w:val="002625AB"/>
    <w:rsid w:val="00275DEB"/>
    <w:rsid w:val="002A2565"/>
    <w:rsid w:val="002B6812"/>
    <w:rsid w:val="002D2DAB"/>
    <w:rsid w:val="002E01A8"/>
    <w:rsid w:val="002F3EB7"/>
    <w:rsid w:val="00302068"/>
    <w:rsid w:val="003151DA"/>
    <w:rsid w:val="00315909"/>
    <w:rsid w:val="003366B3"/>
    <w:rsid w:val="00341E23"/>
    <w:rsid w:val="0034269B"/>
    <w:rsid w:val="00362A83"/>
    <w:rsid w:val="00364FE1"/>
    <w:rsid w:val="003A72EC"/>
    <w:rsid w:val="003B1830"/>
    <w:rsid w:val="003B7F79"/>
    <w:rsid w:val="003C26FE"/>
    <w:rsid w:val="003C3C06"/>
    <w:rsid w:val="003C3D77"/>
    <w:rsid w:val="003D68A7"/>
    <w:rsid w:val="003D6D5D"/>
    <w:rsid w:val="003E0618"/>
    <w:rsid w:val="004127F7"/>
    <w:rsid w:val="004150A5"/>
    <w:rsid w:val="0041530B"/>
    <w:rsid w:val="00417531"/>
    <w:rsid w:val="004425BA"/>
    <w:rsid w:val="00444950"/>
    <w:rsid w:val="00445D22"/>
    <w:rsid w:val="00447555"/>
    <w:rsid w:val="0045182F"/>
    <w:rsid w:val="00451ED7"/>
    <w:rsid w:val="00467E96"/>
    <w:rsid w:val="004A1590"/>
    <w:rsid w:val="004C5BF4"/>
    <w:rsid w:val="004D1C5A"/>
    <w:rsid w:val="004D20F6"/>
    <w:rsid w:val="004D427C"/>
    <w:rsid w:val="004E300B"/>
    <w:rsid w:val="004E6BF7"/>
    <w:rsid w:val="005013E9"/>
    <w:rsid w:val="005107E4"/>
    <w:rsid w:val="005116ED"/>
    <w:rsid w:val="00544518"/>
    <w:rsid w:val="00571615"/>
    <w:rsid w:val="0057197D"/>
    <w:rsid w:val="00584424"/>
    <w:rsid w:val="00595AE4"/>
    <w:rsid w:val="00596C51"/>
    <w:rsid w:val="005A1209"/>
    <w:rsid w:val="005D029C"/>
    <w:rsid w:val="005D7450"/>
    <w:rsid w:val="005F28E8"/>
    <w:rsid w:val="006059EC"/>
    <w:rsid w:val="00631D5F"/>
    <w:rsid w:val="00632004"/>
    <w:rsid w:val="006460AD"/>
    <w:rsid w:val="0065261C"/>
    <w:rsid w:val="00657503"/>
    <w:rsid w:val="00657601"/>
    <w:rsid w:val="00665A92"/>
    <w:rsid w:val="00675F9B"/>
    <w:rsid w:val="006942AF"/>
    <w:rsid w:val="006A72F6"/>
    <w:rsid w:val="006A736E"/>
    <w:rsid w:val="006B2B70"/>
    <w:rsid w:val="006B6BC7"/>
    <w:rsid w:val="006C461C"/>
    <w:rsid w:val="006C4CFB"/>
    <w:rsid w:val="006E1F6C"/>
    <w:rsid w:val="00700E49"/>
    <w:rsid w:val="007055DE"/>
    <w:rsid w:val="007066FC"/>
    <w:rsid w:val="00730B0D"/>
    <w:rsid w:val="00733B16"/>
    <w:rsid w:val="007511A6"/>
    <w:rsid w:val="0075619C"/>
    <w:rsid w:val="00766883"/>
    <w:rsid w:val="0078628D"/>
    <w:rsid w:val="00786845"/>
    <w:rsid w:val="007A247F"/>
    <w:rsid w:val="007A7873"/>
    <w:rsid w:val="007C0AF5"/>
    <w:rsid w:val="007C1D8B"/>
    <w:rsid w:val="00813413"/>
    <w:rsid w:val="00816B62"/>
    <w:rsid w:val="00821248"/>
    <w:rsid w:val="00830ED4"/>
    <w:rsid w:val="00837BFB"/>
    <w:rsid w:val="00850CB1"/>
    <w:rsid w:val="00852F36"/>
    <w:rsid w:val="008544A0"/>
    <w:rsid w:val="00864C08"/>
    <w:rsid w:val="008707CC"/>
    <w:rsid w:val="0087186B"/>
    <w:rsid w:val="0088466F"/>
    <w:rsid w:val="008A3946"/>
    <w:rsid w:val="008C2681"/>
    <w:rsid w:val="008C3519"/>
    <w:rsid w:val="008D1608"/>
    <w:rsid w:val="008D22BD"/>
    <w:rsid w:val="008D24CF"/>
    <w:rsid w:val="008D4B0B"/>
    <w:rsid w:val="00912704"/>
    <w:rsid w:val="00923F4E"/>
    <w:rsid w:val="00926BCF"/>
    <w:rsid w:val="00926ED7"/>
    <w:rsid w:val="009404B3"/>
    <w:rsid w:val="00960C56"/>
    <w:rsid w:val="009757DB"/>
    <w:rsid w:val="009A115D"/>
    <w:rsid w:val="009A7C61"/>
    <w:rsid w:val="009B72A4"/>
    <w:rsid w:val="009C09E6"/>
    <w:rsid w:val="009D2037"/>
    <w:rsid w:val="009D26ED"/>
    <w:rsid w:val="009D2FEF"/>
    <w:rsid w:val="009D485C"/>
    <w:rsid w:val="009D578C"/>
    <w:rsid w:val="009F02E6"/>
    <w:rsid w:val="00A061BA"/>
    <w:rsid w:val="00A2086C"/>
    <w:rsid w:val="00A31F68"/>
    <w:rsid w:val="00A533D0"/>
    <w:rsid w:val="00A6043D"/>
    <w:rsid w:val="00A67EE5"/>
    <w:rsid w:val="00A827EF"/>
    <w:rsid w:val="00A84146"/>
    <w:rsid w:val="00A85ABF"/>
    <w:rsid w:val="00AA6950"/>
    <w:rsid w:val="00AC1A51"/>
    <w:rsid w:val="00AE0426"/>
    <w:rsid w:val="00AF084A"/>
    <w:rsid w:val="00AF6921"/>
    <w:rsid w:val="00B036F6"/>
    <w:rsid w:val="00B1402A"/>
    <w:rsid w:val="00B15D39"/>
    <w:rsid w:val="00B32E5B"/>
    <w:rsid w:val="00B53FEB"/>
    <w:rsid w:val="00B94119"/>
    <w:rsid w:val="00BA10E1"/>
    <w:rsid w:val="00BA2008"/>
    <w:rsid w:val="00BA5061"/>
    <w:rsid w:val="00BB52E7"/>
    <w:rsid w:val="00BC3FFE"/>
    <w:rsid w:val="00BC403E"/>
    <w:rsid w:val="00BD69F3"/>
    <w:rsid w:val="00BE4AC8"/>
    <w:rsid w:val="00BE61DB"/>
    <w:rsid w:val="00BE78A0"/>
    <w:rsid w:val="00BF74B3"/>
    <w:rsid w:val="00C04B46"/>
    <w:rsid w:val="00C12FA2"/>
    <w:rsid w:val="00C207A8"/>
    <w:rsid w:val="00C35F92"/>
    <w:rsid w:val="00C36A1A"/>
    <w:rsid w:val="00C527CB"/>
    <w:rsid w:val="00C53637"/>
    <w:rsid w:val="00C543BD"/>
    <w:rsid w:val="00C55CB6"/>
    <w:rsid w:val="00C723B6"/>
    <w:rsid w:val="00C903FC"/>
    <w:rsid w:val="00C90F60"/>
    <w:rsid w:val="00CA18D3"/>
    <w:rsid w:val="00CB71F8"/>
    <w:rsid w:val="00CD0243"/>
    <w:rsid w:val="00CF251B"/>
    <w:rsid w:val="00CF54A8"/>
    <w:rsid w:val="00D06DEA"/>
    <w:rsid w:val="00D137FE"/>
    <w:rsid w:val="00D16AA7"/>
    <w:rsid w:val="00D347F3"/>
    <w:rsid w:val="00D4628F"/>
    <w:rsid w:val="00DA5329"/>
    <w:rsid w:val="00DC1A23"/>
    <w:rsid w:val="00DC6CC7"/>
    <w:rsid w:val="00DC7951"/>
    <w:rsid w:val="00DE3188"/>
    <w:rsid w:val="00E01330"/>
    <w:rsid w:val="00E01430"/>
    <w:rsid w:val="00E03566"/>
    <w:rsid w:val="00E060FE"/>
    <w:rsid w:val="00E206F6"/>
    <w:rsid w:val="00E657AC"/>
    <w:rsid w:val="00E714A0"/>
    <w:rsid w:val="00EA29C0"/>
    <w:rsid w:val="00EB3F1F"/>
    <w:rsid w:val="00EB5890"/>
    <w:rsid w:val="00EE3EDC"/>
    <w:rsid w:val="00F11782"/>
    <w:rsid w:val="00F136B9"/>
    <w:rsid w:val="00F272AC"/>
    <w:rsid w:val="00F337BB"/>
    <w:rsid w:val="00F34454"/>
    <w:rsid w:val="00F344B5"/>
    <w:rsid w:val="00F34C9F"/>
    <w:rsid w:val="00F41F55"/>
    <w:rsid w:val="00F42A4A"/>
    <w:rsid w:val="00F53C70"/>
    <w:rsid w:val="00F74990"/>
    <w:rsid w:val="00F76612"/>
    <w:rsid w:val="00F76FF6"/>
    <w:rsid w:val="00F90DD8"/>
    <w:rsid w:val="00FA657A"/>
    <w:rsid w:val="00FA7AE7"/>
    <w:rsid w:val="00FA7C92"/>
    <w:rsid w:val="00FB7A5C"/>
    <w:rsid w:val="00FC4640"/>
    <w:rsid w:val="00FD1579"/>
    <w:rsid w:val="00FD7A63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095DF1"/>
    <w:rPr>
      <w:b/>
      <w:bCs/>
    </w:rPr>
  </w:style>
  <w:style w:type="paragraph" w:customStyle="1" w:styleId="xxmsonormal">
    <w:name w:val="x_xmsonormal"/>
    <w:basedOn w:val="Normln"/>
    <w:uiPriority w:val="99"/>
    <w:rsid w:val="00095DF1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0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2024-05-04T16:25:00Z</dcterms:created>
  <dcterms:modified xsi:type="dcterms:W3CDTF">2024-05-04T16:25:00Z</dcterms:modified>
</cp:coreProperties>
</file>