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39A5B1F9" w:rsidR="00022B1D" w:rsidRPr="001F3AEB" w:rsidRDefault="005D31DC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Veřejný sektor letos utrácí za zadané veřejné zakázky více než vloni</w:t>
      </w:r>
    </w:p>
    <w:p w14:paraId="404FF983" w14:textId="39B281E4" w:rsidR="00DA3CE4" w:rsidRDefault="00364FE1" w:rsidP="00DA3CE4">
      <w:pPr>
        <w:spacing w:line="276" w:lineRule="auto"/>
        <w:jc w:val="both"/>
        <w:rPr>
          <w:b/>
          <w:bCs/>
        </w:rPr>
      </w:pPr>
      <w:r>
        <w:rPr>
          <w:rFonts w:cstheme="minorHAnsi"/>
          <w:b/>
          <w:bCs/>
        </w:rPr>
        <w:t>2</w:t>
      </w:r>
      <w:r w:rsidR="00FA7AE7">
        <w:rPr>
          <w:rFonts w:cstheme="minorHAnsi"/>
          <w:b/>
          <w:bCs/>
        </w:rPr>
        <w:t xml:space="preserve">. </w:t>
      </w:r>
      <w:r w:rsidR="00054402">
        <w:rPr>
          <w:rFonts w:cstheme="minorHAnsi"/>
          <w:b/>
          <w:bCs/>
        </w:rPr>
        <w:t>10</w:t>
      </w:r>
      <w:r w:rsidR="00FA7AE7">
        <w:rPr>
          <w:rFonts w:cstheme="minorHAnsi"/>
          <w:b/>
          <w:bCs/>
        </w:rPr>
        <w:t xml:space="preserve">. 2023 </w:t>
      </w:r>
      <w:r w:rsidR="00C36A1A">
        <w:rPr>
          <w:rFonts w:cstheme="minorHAnsi"/>
          <w:b/>
          <w:bCs/>
        </w:rPr>
        <w:t>–</w:t>
      </w:r>
      <w:r w:rsidR="00FA7AE7">
        <w:rPr>
          <w:rFonts w:cstheme="minorHAnsi"/>
          <w:b/>
          <w:bCs/>
        </w:rPr>
        <w:t xml:space="preserve"> </w:t>
      </w:r>
      <w:r w:rsidR="005D31DC" w:rsidRPr="005D31DC">
        <w:rPr>
          <w:rFonts w:cstheme="minorHAnsi"/>
          <w:b/>
          <w:bCs/>
        </w:rPr>
        <w:t>V</w:t>
      </w:r>
      <w:r w:rsidR="00DA3CE4">
        <w:rPr>
          <w:rFonts w:cstheme="minorHAnsi"/>
          <w:b/>
          <w:bCs/>
        </w:rPr>
        <w:t> </w:t>
      </w:r>
      <w:r w:rsidR="005D31DC">
        <w:rPr>
          <w:rFonts w:cstheme="minorHAnsi"/>
          <w:b/>
          <w:bCs/>
        </w:rPr>
        <w:t>první</w:t>
      </w:r>
      <w:r w:rsidR="00DA3CE4">
        <w:rPr>
          <w:rFonts w:cstheme="minorHAnsi"/>
          <w:b/>
          <w:bCs/>
        </w:rPr>
        <w:t xml:space="preserve"> polovině</w:t>
      </w:r>
      <w:r w:rsidR="005D31DC" w:rsidRPr="005D31DC">
        <w:rPr>
          <w:rFonts w:cstheme="minorHAnsi"/>
          <w:b/>
          <w:bCs/>
        </w:rPr>
        <w:t xml:space="preserve"> </w:t>
      </w:r>
      <w:r w:rsidR="005D31DC">
        <w:rPr>
          <w:rFonts w:cstheme="minorHAnsi"/>
          <w:b/>
          <w:bCs/>
        </w:rPr>
        <w:t xml:space="preserve">letošního roku </w:t>
      </w:r>
      <w:r w:rsidR="005D31DC" w:rsidRPr="005D31DC">
        <w:rPr>
          <w:rFonts w:cstheme="minorHAnsi"/>
          <w:b/>
          <w:bCs/>
        </w:rPr>
        <w:t xml:space="preserve">bylo </w:t>
      </w:r>
      <w:r w:rsidR="005D31DC">
        <w:rPr>
          <w:rFonts w:cstheme="minorHAnsi"/>
          <w:b/>
          <w:bCs/>
        </w:rPr>
        <w:t xml:space="preserve">veřejnými zadavateli vysoutěženo a </w:t>
      </w:r>
      <w:r w:rsidR="005D31DC" w:rsidRPr="005D31DC">
        <w:rPr>
          <w:rFonts w:cstheme="minorHAnsi"/>
          <w:b/>
          <w:bCs/>
        </w:rPr>
        <w:t>zadáno 18</w:t>
      </w:r>
      <w:r w:rsidR="00EF5C0D">
        <w:rPr>
          <w:rFonts w:cstheme="minorHAnsi"/>
          <w:b/>
          <w:bCs/>
        </w:rPr>
        <w:t> </w:t>
      </w:r>
      <w:r w:rsidR="005D31DC" w:rsidRPr="005D31DC">
        <w:rPr>
          <w:rFonts w:cstheme="minorHAnsi"/>
          <w:b/>
          <w:bCs/>
        </w:rPr>
        <w:t>753</w:t>
      </w:r>
      <w:r w:rsidR="00EF5C0D">
        <w:rPr>
          <w:rFonts w:cstheme="minorHAnsi"/>
          <w:b/>
          <w:bCs/>
        </w:rPr>
        <w:t> </w:t>
      </w:r>
      <w:r w:rsidR="005D31DC">
        <w:rPr>
          <w:rFonts w:cstheme="minorHAnsi"/>
          <w:b/>
          <w:bCs/>
        </w:rPr>
        <w:t xml:space="preserve">veřejných </w:t>
      </w:r>
      <w:r w:rsidR="005D31DC" w:rsidRPr="005D31DC">
        <w:rPr>
          <w:rFonts w:cstheme="minorHAnsi"/>
          <w:b/>
          <w:bCs/>
        </w:rPr>
        <w:t>zakázek, což je o 32,1</w:t>
      </w:r>
      <w:r w:rsidR="00EF5C0D">
        <w:rPr>
          <w:rFonts w:cstheme="minorHAnsi"/>
          <w:b/>
          <w:bCs/>
        </w:rPr>
        <w:t> </w:t>
      </w:r>
      <w:r w:rsidR="005D31DC" w:rsidRPr="005D31DC">
        <w:rPr>
          <w:rFonts w:cstheme="minorHAnsi"/>
          <w:b/>
          <w:bCs/>
        </w:rPr>
        <w:t>% více než ve stejném období předchozího roku. Hodnota zakázek zadaných v</w:t>
      </w:r>
      <w:r w:rsidR="00EF5C0D">
        <w:rPr>
          <w:rFonts w:cstheme="minorHAnsi"/>
          <w:b/>
          <w:bCs/>
        </w:rPr>
        <w:t> </w:t>
      </w:r>
      <w:r w:rsidR="005D31DC" w:rsidRPr="005D31DC">
        <w:rPr>
          <w:rFonts w:cstheme="minorHAnsi"/>
          <w:b/>
          <w:bCs/>
        </w:rPr>
        <w:t>1.</w:t>
      </w:r>
      <w:r w:rsidR="00EF5C0D">
        <w:rPr>
          <w:rFonts w:cstheme="minorHAnsi"/>
          <w:b/>
          <w:bCs/>
        </w:rPr>
        <w:t> </w:t>
      </w:r>
      <w:r w:rsidR="005D31DC" w:rsidRPr="005D31DC">
        <w:rPr>
          <w:rFonts w:cstheme="minorHAnsi"/>
          <w:b/>
          <w:bCs/>
        </w:rPr>
        <w:t>pololetí 2023 činila 303,6</w:t>
      </w:r>
      <w:r w:rsidR="00EF5C0D">
        <w:rPr>
          <w:rFonts w:cstheme="minorHAnsi"/>
          <w:b/>
          <w:bCs/>
        </w:rPr>
        <w:t> </w:t>
      </w:r>
      <w:r w:rsidR="005D31DC" w:rsidRPr="005D31DC">
        <w:rPr>
          <w:rFonts w:cstheme="minorHAnsi"/>
          <w:b/>
          <w:bCs/>
        </w:rPr>
        <w:t>m</w:t>
      </w:r>
      <w:r w:rsidR="005D31DC">
        <w:rPr>
          <w:rFonts w:cstheme="minorHAnsi"/>
          <w:b/>
          <w:bCs/>
        </w:rPr>
        <w:t>iliard korun</w:t>
      </w:r>
      <w:r w:rsidR="005D31DC" w:rsidRPr="005D31DC">
        <w:rPr>
          <w:rFonts w:cstheme="minorHAnsi"/>
          <w:b/>
          <w:bCs/>
        </w:rPr>
        <w:t xml:space="preserve"> a vzrostla o</w:t>
      </w:r>
      <w:r w:rsidR="00EF5C0D">
        <w:rPr>
          <w:rFonts w:cstheme="minorHAnsi"/>
          <w:b/>
          <w:bCs/>
        </w:rPr>
        <w:t> </w:t>
      </w:r>
      <w:r w:rsidR="005D31DC" w:rsidRPr="005D31DC">
        <w:rPr>
          <w:rFonts w:cstheme="minorHAnsi"/>
          <w:b/>
          <w:bCs/>
        </w:rPr>
        <w:t>26,0</w:t>
      </w:r>
      <w:r w:rsidR="00EF5C0D">
        <w:rPr>
          <w:rFonts w:cstheme="minorHAnsi"/>
          <w:b/>
          <w:bCs/>
        </w:rPr>
        <w:t> </w:t>
      </w:r>
      <w:r w:rsidR="005D31DC" w:rsidRPr="005D31DC">
        <w:rPr>
          <w:rFonts w:cstheme="minorHAnsi"/>
          <w:b/>
          <w:bCs/>
        </w:rPr>
        <w:t xml:space="preserve">%. </w:t>
      </w:r>
      <w:r w:rsidR="005D31DC">
        <w:rPr>
          <w:rFonts w:cstheme="minorHAnsi"/>
          <w:b/>
          <w:bCs/>
        </w:rPr>
        <w:t>Nejvýznamnější objem představují v</w:t>
      </w:r>
      <w:r w:rsidR="005D31DC" w:rsidRPr="00000EF0">
        <w:rPr>
          <w:b/>
          <w:bCs/>
        </w:rPr>
        <w:t xml:space="preserve">eřejné zakázky </w:t>
      </w:r>
      <w:r w:rsidR="005D31DC">
        <w:rPr>
          <w:b/>
          <w:bCs/>
        </w:rPr>
        <w:t>na stavební práce, které</w:t>
      </w:r>
      <w:r w:rsidR="005D31DC" w:rsidRPr="00000EF0">
        <w:rPr>
          <w:b/>
          <w:bCs/>
        </w:rPr>
        <w:t xml:space="preserve"> tvořily 3</w:t>
      </w:r>
      <w:r w:rsidR="005D31DC">
        <w:rPr>
          <w:b/>
          <w:bCs/>
        </w:rPr>
        <w:t>1</w:t>
      </w:r>
      <w:r w:rsidR="005D31DC" w:rsidRPr="00000EF0">
        <w:rPr>
          <w:b/>
          <w:bCs/>
        </w:rPr>
        <w:t>,</w:t>
      </w:r>
      <w:r w:rsidR="005D31DC">
        <w:rPr>
          <w:b/>
          <w:bCs/>
        </w:rPr>
        <w:t>8</w:t>
      </w:r>
      <w:r w:rsidR="00EF5C0D">
        <w:rPr>
          <w:b/>
          <w:bCs/>
        </w:rPr>
        <w:t> </w:t>
      </w:r>
      <w:r w:rsidR="005D31DC" w:rsidRPr="00000EF0">
        <w:rPr>
          <w:b/>
          <w:bCs/>
        </w:rPr>
        <w:t xml:space="preserve">% z celkového </w:t>
      </w:r>
      <w:r w:rsidR="005D31DC">
        <w:rPr>
          <w:b/>
          <w:bCs/>
        </w:rPr>
        <w:t xml:space="preserve">hodnoty. </w:t>
      </w:r>
      <w:r w:rsidR="00DA3CE4">
        <w:rPr>
          <w:b/>
          <w:bCs/>
        </w:rPr>
        <w:t>Finanční hodnota stavebních zakázek zadaných veřejným sektorem ale meziročně klesla o</w:t>
      </w:r>
      <w:r w:rsidR="00EF5C0D">
        <w:rPr>
          <w:b/>
          <w:bCs/>
        </w:rPr>
        <w:t> </w:t>
      </w:r>
      <w:r w:rsidR="00DA3CE4">
        <w:rPr>
          <w:b/>
          <w:bCs/>
        </w:rPr>
        <w:t>1,5</w:t>
      </w:r>
      <w:r w:rsidR="00EF5C0D">
        <w:rPr>
          <w:b/>
          <w:bCs/>
        </w:rPr>
        <w:t> </w:t>
      </w:r>
      <w:r w:rsidR="00DA3CE4">
        <w:rPr>
          <w:b/>
          <w:bCs/>
        </w:rPr>
        <w:t xml:space="preserve">%. </w:t>
      </w:r>
      <w:r w:rsidR="005D31DC" w:rsidRPr="00000EF0">
        <w:rPr>
          <w:b/>
          <w:bCs/>
        </w:rPr>
        <w:t xml:space="preserve">Vyplývá to </w:t>
      </w:r>
      <w:r w:rsidR="005D31DC">
        <w:rPr>
          <w:b/>
          <w:bCs/>
        </w:rPr>
        <w:t>ze studie</w:t>
      </w:r>
      <w:r w:rsidR="005D31DC" w:rsidRPr="00000EF0">
        <w:rPr>
          <w:b/>
          <w:bCs/>
        </w:rPr>
        <w:t xml:space="preserve"> zpracované analytickou společností CEEC Research.</w:t>
      </w:r>
    </w:p>
    <w:p w14:paraId="1F04558F" w14:textId="70FC1081" w:rsidR="0022713E" w:rsidRPr="0022713E" w:rsidRDefault="00CC732D" w:rsidP="00DA3CE4">
      <w:pPr>
        <w:spacing w:line="276" w:lineRule="auto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</w:t>
      </w:r>
      <w:r w:rsidR="0022713E" w:rsidRPr="0022713E">
        <w:rPr>
          <w:b/>
          <w:color w:val="0070C0"/>
          <w:sz w:val="32"/>
          <w:szCs w:val="32"/>
        </w:rPr>
        <w:t>známení</w:t>
      </w:r>
      <w:r w:rsidR="0022713E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o veřejné zakázce </w:t>
      </w:r>
    </w:p>
    <w:p w14:paraId="426264EC" w14:textId="08BC4465" w:rsidR="00F34C9F" w:rsidRDefault="00DA3CE4" w:rsidP="00DA3CE4">
      <w:pPr>
        <w:spacing w:line="276" w:lineRule="auto"/>
        <w:jc w:val="both"/>
        <w:rPr>
          <w:bCs/>
          <w:color w:val="000000"/>
        </w:rPr>
      </w:pPr>
      <w:r w:rsidRPr="00DA3CE4">
        <w:rPr>
          <w:bCs/>
          <w:color w:val="000000"/>
        </w:rPr>
        <w:t>V 1. pololetí 2023 bylo vydáno 5</w:t>
      </w:r>
      <w:r w:rsidR="00EF5C0D">
        <w:rPr>
          <w:bCs/>
          <w:color w:val="000000"/>
        </w:rPr>
        <w:t> </w:t>
      </w:r>
      <w:r w:rsidRPr="00DA3CE4">
        <w:rPr>
          <w:bCs/>
          <w:color w:val="000000"/>
        </w:rPr>
        <w:t xml:space="preserve">191 oznámení o </w:t>
      </w:r>
      <w:r>
        <w:rPr>
          <w:bCs/>
          <w:color w:val="000000"/>
        </w:rPr>
        <w:t xml:space="preserve">veřejné </w:t>
      </w:r>
      <w:r w:rsidRPr="00DA3CE4">
        <w:rPr>
          <w:bCs/>
          <w:color w:val="000000"/>
        </w:rPr>
        <w:t>zakázce, což ve srovnání se stejným obdobím předchozího roku představovalo růst o</w:t>
      </w:r>
      <w:r w:rsidR="00EF5C0D">
        <w:rPr>
          <w:bCs/>
          <w:color w:val="000000"/>
        </w:rPr>
        <w:t> </w:t>
      </w:r>
      <w:r w:rsidRPr="00DA3CE4">
        <w:rPr>
          <w:bCs/>
          <w:color w:val="000000"/>
        </w:rPr>
        <w:t>6,3</w:t>
      </w:r>
      <w:r w:rsidR="00EF5C0D">
        <w:rPr>
          <w:bCs/>
          <w:color w:val="000000"/>
        </w:rPr>
        <w:t> </w:t>
      </w:r>
      <w:r w:rsidRPr="00DA3CE4">
        <w:rPr>
          <w:bCs/>
          <w:color w:val="000000"/>
        </w:rPr>
        <w:t xml:space="preserve">%. Celková předpokládaná hodnota oznámení o zakázce činila 245,1 mld. Kč a byl zaznamenán její </w:t>
      </w:r>
      <w:r>
        <w:rPr>
          <w:bCs/>
          <w:color w:val="000000"/>
        </w:rPr>
        <w:t xml:space="preserve">nepatrný </w:t>
      </w:r>
      <w:r w:rsidRPr="00DA3CE4">
        <w:rPr>
          <w:bCs/>
          <w:color w:val="000000"/>
        </w:rPr>
        <w:t>růst o 0,1 %</w:t>
      </w:r>
      <w:r w:rsidR="0022713E">
        <w:rPr>
          <w:bCs/>
          <w:color w:val="000000"/>
        </w:rPr>
        <w:t xml:space="preserve">, což lze považovat </w:t>
      </w:r>
      <w:r w:rsidR="00CC732D">
        <w:rPr>
          <w:bCs/>
          <w:color w:val="000000"/>
        </w:rPr>
        <w:t>spíše za stagnaci</w:t>
      </w:r>
      <w:r w:rsidRPr="00DA3CE4">
        <w:rPr>
          <w:bCs/>
          <w:color w:val="000000"/>
        </w:rPr>
        <w:t xml:space="preserve">. Pokud bychom modelově posuzovali pouze zakázky s hodnotou pod 1 </w:t>
      </w:r>
      <w:r>
        <w:rPr>
          <w:bCs/>
          <w:color w:val="000000"/>
        </w:rPr>
        <w:t>miliardu korun</w:t>
      </w:r>
      <w:r w:rsidRPr="00DA3CE4">
        <w:rPr>
          <w:bCs/>
          <w:color w:val="000000"/>
        </w:rPr>
        <w:t>, dostaneme meziroční pokles hodnoty oznámených zakázek o 1,3 %.</w:t>
      </w:r>
    </w:p>
    <w:p w14:paraId="030B725F" w14:textId="623670EF" w:rsidR="0022713E" w:rsidRDefault="00DA3CE4" w:rsidP="0022713E">
      <w:pPr>
        <w:spacing w:line="276" w:lineRule="auto"/>
        <w:jc w:val="both"/>
        <w:rPr>
          <w:rFonts w:cstheme="minorHAnsi"/>
        </w:rPr>
      </w:pPr>
      <w:r w:rsidRPr="00FD1579">
        <w:rPr>
          <w:rFonts w:cstheme="minorHAnsi"/>
        </w:rPr>
        <w:t>Největší oznámenou zakázku v březnu vydala Správa železnic na systém zlepšení bezpečnosti dopravy ETCS na trase od státní hranice s Německem do Kralup nad Vltavou v</w:t>
      </w:r>
      <w:r w:rsidR="0022713E">
        <w:rPr>
          <w:rFonts w:cstheme="minorHAnsi"/>
        </w:rPr>
        <w:t xml:space="preserve"> očekávané </w:t>
      </w:r>
      <w:r w:rsidRPr="00FD1579">
        <w:rPr>
          <w:rFonts w:cstheme="minorHAnsi"/>
        </w:rPr>
        <w:t>hodnotě 12,8 miliard korun.</w:t>
      </w:r>
      <w:r>
        <w:rPr>
          <w:rFonts w:cstheme="minorHAnsi"/>
        </w:rPr>
        <w:t xml:space="preserve"> Dalšími obřími zakázkami jsou rámcová dohoda na dodávky biosložky pohonných hmot</w:t>
      </w:r>
      <w:r w:rsidR="00934DCA">
        <w:rPr>
          <w:rFonts w:cstheme="minorHAnsi"/>
        </w:rPr>
        <w:t>,</w:t>
      </w:r>
      <w:r>
        <w:rPr>
          <w:rFonts w:cstheme="minorHAnsi"/>
        </w:rPr>
        <w:t xml:space="preserve"> oznámená společností ČEPRO za 10,5 miliard korun</w:t>
      </w:r>
      <w:r w:rsidR="00934DCA">
        <w:rPr>
          <w:rFonts w:cstheme="minorHAnsi"/>
        </w:rPr>
        <w:t>,</w:t>
      </w:r>
      <w:r>
        <w:rPr>
          <w:rFonts w:cstheme="minorHAnsi"/>
        </w:rPr>
        <w:t xml:space="preserve"> nebo rámcová dohoda na dodávky </w:t>
      </w:r>
      <w:r w:rsidR="0022713E">
        <w:rPr>
          <w:rFonts w:cstheme="minorHAnsi"/>
        </w:rPr>
        <w:t xml:space="preserve">železničních </w:t>
      </w:r>
      <w:r>
        <w:rPr>
          <w:rFonts w:cstheme="minorHAnsi"/>
        </w:rPr>
        <w:t xml:space="preserve">elektrických jednotek </w:t>
      </w:r>
      <w:r w:rsidR="0022713E">
        <w:rPr>
          <w:rFonts w:cstheme="minorHAnsi"/>
        </w:rPr>
        <w:t>pro veřejnou dopravu od Českých drah v hodnotě 8,4 miliard korun.</w:t>
      </w:r>
    </w:p>
    <w:p w14:paraId="3AA05508" w14:textId="33EAD685" w:rsidR="0022713E" w:rsidRDefault="0022713E" w:rsidP="0022713E">
      <w:pPr>
        <w:spacing w:line="276" w:lineRule="auto"/>
        <w:jc w:val="both"/>
        <w:rPr>
          <w:bCs/>
        </w:rPr>
      </w:pPr>
      <w:r>
        <w:rPr>
          <w:noProof/>
        </w:rPr>
        <w:drawing>
          <wp:inline distT="0" distB="0" distL="0" distR="0" wp14:anchorId="53347226" wp14:editId="2D184461">
            <wp:extent cx="5760720" cy="33299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C2E8D" w14:textId="77777777" w:rsidR="00CC732D" w:rsidRDefault="00CC732D" w:rsidP="0022713E">
      <w:pPr>
        <w:spacing w:line="276" w:lineRule="auto"/>
        <w:jc w:val="both"/>
        <w:rPr>
          <w:bCs/>
          <w:color w:val="000000"/>
        </w:rPr>
      </w:pPr>
    </w:p>
    <w:p w14:paraId="40A9881B" w14:textId="2FBBAADF" w:rsidR="00DA3CE4" w:rsidRDefault="0022713E" w:rsidP="0022713E">
      <w:pPr>
        <w:spacing w:line="276" w:lineRule="auto"/>
        <w:jc w:val="both"/>
        <w:rPr>
          <w:bCs/>
          <w:color w:val="000000"/>
        </w:rPr>
      </w:pPr>
      <w:r w:rsidRPr="0022713E">
        <w:rPr>
          <w:bCs/>
          <w:color w:val="000000"/>
        </w:rPr>
        <w:lastRenderedPageBreak/>
        <w:t>Určitá část z oznámených zakázek je v následujících měsících zrušena a některé z nich mohou být znovu oznámeny jako další zakázka. Ze zakázek, které byly oznámeny v 1. pololetí 2023, jich bylo zrušeno 10</w:t>
      </w:r>
      <w:r w:rsidR="00FB3681">
        <w:rPr>
          <w:bCs/>
          <w:color w:val="000000"/>
        </w:rPr>
        <w:t> </w:t>
      </w:r>
      <w:r w:rsidRPr="0022713E">
        <w:rPr>
          <w:bCs/>
          <w:color w:val="000000"/>
        </w:rPr>
        <w:t>%. Co se týká předběžného objemu, byl</w:t>
      </w:r>
      <w:r w:rsidR="00CC732D">
        <w:rPr>
          <w:bCs/>
          <w:color w:val="000000"/>
        </w:rPr>
        <w:t>y</w:t>
      </w:r>
      <w:r w:rsidRPr="0022713E">
        <w:rPr>
          <w:bCs/>
          <w:color w:val="000000"/>
        </w:rPr>
        <w:t xml:space="preserve"> zatím zrušen</w:t>
      </w:r>
      <w:r w:rsidR="00CC732D">
        <w:rPr>
          <w:bCs/>
          <w:color w:val="000000"/>
        </w:rPr>
        <w:t>y zakázky za 13,9 miliard korun, což je</w:t>
      </w:r>
      <w:r w:rsidRPr="0022713E">
        <w:rPr>
          <w:bCs/>
          <w:color w:val="000000"/>
        </w:rPr>
        <w:t xml:space="preserve"> 6</w:t>
      </w:r>
      <w:r w:rsidR="00FA06D9">
        <w:rPr>
          <w:bCs/>
          <w:color w:val="000000"/>
        </w:rPr>
        <w:t> </w:t>
      </w:r>
      <w:r w:rsidRPr="0022713E">
        <w:rPr>
          <w:bCs/>
          <w:color w:val="000000"/>
        </w:rPr>
        <w:t>% z</w:t>
      </w:r>
      <w:r w:rsidR="00FA06D9">
        <w:rPr>
          <w:bCs/>
          <w:color w:val="000000"/>
        </w:rPr>
        <w:t> </w:t>
      </w:r>
      <w:r w:rsidRPr="0022713E">
        <w:rPr>
          <w:bCs/>
          <w:color w:val="000000"/>
        </w:rPr>
        <w:t xml:space="preserve">celkové hodnoty </w:t>
      </w:r>
      <w:r>
        <w:rPr>
          <w:bCs/>
          <w:color w:val="000000"/>
        </w:rPr>
        <w:t xml:space="preserve">oznámených </w:t>
      </w:r>
      <w:r w:rsidRPr="0022713E">
        <w:rPr>
          <w:bCs/>
          <w:color w:val="000000"/>
        </w:rPr>
        <w:t>zakázek.</w:t>
      </w:r>
      <w:r>
        <w:rPr>
          <w:bCs/>
          <w:color w:val="000000"/>
        </w:rPr>
        <w:t xml:space="preserve"> Největšími zrušenými zakázkami byl</w:t>
      </w:r>
      <w:r w:rsidR="007251B0">
        <w:rPr>
          <w:bCs/>
          <w:color w:val="000000"/>
        </w:rPr>
        <w:t>y</w:t>
      </w:r>
      <w:r>
        <w:rPr>
          <w:bCs/>
          <w:color w:val="000000"/>
        </w:rPr>
        <w:t xml:space="preserve"> výstavba fotovoltaické elektrárny od společnosti 3L </w:t>
      </w:r>
      <w:proofErr w:type="spellStart"/>
      <w:r>
        <w:rPr>
          <w:bCs/>
          <w:color w:val="000000"/>
        </w:rPr>
        <w:t>real</w:t>
      </w:r>
      <w:proofErr w:type="spellEnd"/>
      <w:r>
        <w:rPr>
          <w:bCs/>
          <w:color w:val="000000"/>
        </w:rPr>
        <w:t xml:space="preserve"> v očekávané hodnotě 1,7 miliard korun nebo nájem motorových jednotek DMU140 v hodnotě 1,3 miliard korun, kde zadavatelem byly České dráhy.</w:t>
      </w:r>
    </w:p>
    <w:p w14:paraId="5FBAC368" w14:textId="4D96F22C" w:rsidR="0022713E" w:rsidRDefault="00CC732D" w:rsidP="0022713E">
      <w:pPr>
        <w:spacing w:line="276" w:lineRule="auto"/>
        <w:jc w:val="both"/>
        <w:rPr>
          <w:bCs/>
        </w:rPr>
      </w:pPr>
      <w:r w:rsidRPr="00CC732D">
        <w:rPr>
          <w:bCs/>
          <w:i/>
          <w:iCs/>
        </w:rPr>
        <w:t xml:space="preserve">„Po odečtení zadaných a zrušených zakázek </w:t>
      </w:r>
      <w:r w:rsidR="00C97DE1">
        <w:rPr>
          <w:bCs/>
          <w:i/>
          <w:iCs/>
        </w:rPr>
        <w:t xml:space="preserve">na uchazeče </w:t>
      </w:r>
      <w:r w:rsidRPr="00CC732D">
        <w:rPr>
          <w:bCs/>
          <w:i/>
          <w:iCs/>
        </w:rPr>
        <w:t>zbývá v systému ještě 184,9</w:t>
      </w:r>
      <w:r w:rsidR="00FA06D9">
        <w:rPr>
          <w:bCs/>
          <w:i/>
          <w:iCs/>
        </w:rPr>
        <w:t> </w:t>
      </w:r>
      <w:r w:rsidRPr="00CC732D">
        <w:rPr>
          <w:bCs/>
          <w:i/>
          <w:iCs/>
        </w:rPr>
        <w:t>miliard, tedy 75</w:t>
      </w:r>
      <w:r w:rsidR="00FA06D9">
        <w:rPr>
          <w:bCs/>
          <w:i/>
          <w:iCs/>
        </w:rPr>
        <w:t> </w:t>
      </w:r>
      <w:r w:rsidRPr="00CC732D">
        <w:rPr>
          <w:bCs/>
          <w:i/>
          <w:iCs/>
        </w:rPr>
        <w:t>% veřejných zakázek, které byly letos oznámeny, ale nebyly zatím zadány nebo zrušeny. Tyto se budou promítat do ukazatelů zadaných veřejných zakázek v dalších měsících</w:t>
      </w:r>
      <w:r>
        <w:rPr>
          <w:bCs/>
        </w:rPr>
        <w:t xml:space="preserve">,“ </w:t>
      </w:r>
      <w:r w:rsidRPr="00000EF0">
        <w:rPr>
          <w:rFonts w:cstheme="minorHAnsi"/>
        </w:rPr>
        <w:t xml:space="preserve">vysvětluje </w:t>
      </w:r>
      <w:r w:rsidRPr="00000EF0">
        <w:rPr>
          <w:rFonts w:cstheme="minorHAnsi"/>
          <w:b/>
          <w:bCs/>
        </w:rPr>
        <w:t>Michal Vacek</w:t>
      </w:r>
      <w:r w:rsidRPr="00000EF0">
        <w:rPr>
          <w:rFonts w:cstheme="minorHAnsi"/>
        </w:rPr>
        <w:t>, výkonný ředitel CEEC Research</w:t>
      </w:r>
      <w:r>
        <w:rPr>
          <w:bCs/>
        </w:rPr>
        <w:t>.</w:t>
      </w:r>
    </w:p>
    <w:p w14:paraId="5AA9A5DE" w14:textId="07397270" w:rsidR="0022713E" w:rsidRPr="00CC732D" w:rsidRDefault="0022713E" w:rsidP="0022713E">
      <w:pPr>
        <w:spacing w:line="276" w:lineRule="auto"/>
        <w:jc w:val="both"/>
        <w:rPr>
          <w:b/>
          <w:color w:val="0070C0"/>
          <w:sz w:val="32"/>
          <w:szCs w:val="32"/>
        </w:rPr>
      </w:pPr>
      <w:r w:rsidRPr="00CC732D">
        <w:rPr>
          <w:b/>
          <w:color w:val="0070C0"/>
          <w:sz w:val="32"/>
          <w:szCs w:val="32"/>
        </w:rPr>
        <w:t>Oznámení o zadání zakázky</w:t>
      </w:r>
      <w:r w:rsidR="00CC732D" w:rsidRPr="00CC732D">
        <w:rPr>
          <w:b/>
          <w:color w:val="0070C0"/>
          <w:sz w:val="32"/>
          <w:szCs w:val="32"/>
        </w:rPr>
        <w:t xml:space="preserve"> zhotovitelům</w:t>
      </w:r>
    </w:p>
    <w:p w14:paraId="6BDA9F66" w14:textId="3C33B637" w:rsidR="00CC732D" w:rsidRDefault="00CC732D" w:rsidP="00C97DE1">
      <w:pPr>
        <w:spacing w:line="276" w:lineRule="auto"/>
        <w:jc w:val="both"/>
        <w:rPr>
          <w:bCs/>
        </w:rPr>
      </w:pPr>
      <w:r w:rsidRPr="00CC732D">
        <w:rPr>
          <w:bCs/>
        </w:rPr>
        <w:t>V</w:t>
      </w:r>
      <w:r>
        <w:rPr>
          <w:bCs/>
        </w:rPr>
        <w:t xml:space="preserve"> první polovině letošního roku </w:t>
      </w:r>
      <w:r w:rsidRPr="00CC732D">
        <w:rPr>
          <w:bCs/>
        </w:rPr>
        <w:t xml:space="preserve">bylo </w:t>
      </w:r>
      <w:r>
        <w:rPr>
          <w:bCs/>
        </w:rPr>
        <w:t xml:space="preserve">vysoutěženo a </w:t>
      </w:r>
      <w:r w:rsidRPr="00CC732D">
        <w:rPr>
          <w:bCs/>
        </w:rPr>
        <w:t>zadáno 18</w:t>
      </w:r>
      <w:r w:rsidR="00BE5A1D">
        <w:rPr>
          <w:bCs/>
        </w:rPr>
        <w:t> </w:t>
      </w:r>
      <w:r w:rsidRPr="00CC732D">
        <w:rPr>
          <w:bCs/>
        </w:rPr>
        <w:t>753</w:t>
      </w:r>
      <w:r w:rsidR="00BE5A1D">
        <w:rPr>
          <w:bCs/>
        </w:rPr>
        <w:t> </w:t>
      </w:r>
      <w:r w:rsidRPr="00CC732D">
        <w:rPr>
          <w:bCs/>
        </w:rPr>
        <w:t>zakázek, což je o</w:t>
      </w:r>
      <w:r w:rsidR="00BE5A1D">
        <w:rPr>
          <w:bCs/>
        </w:rPr>
        <w:t> </w:t>
      </w:r>
      <w:r w:rsidRPr="00CC732D">
        <w:rPr>
          <w:bCs/>
        </w:rPr>
        <w:t>32,1</w:t>
      </w:r>
      <w:r w:rsidR="00BE5A1D">
        <w:rPr>
          <w:bCs/>
        </w:rPr>
        <w:t> </w:t>
      </w:r>
      <w:r w:rsidRPr="00CC732D">
        <w:rPr>
          <w:bCs/>
        </w:rPr>
        <w:t>% více než ve stejném období předchozího roku. Hodnota zakázek zadaných v 1.</w:t>
      </w:r>
      <w:r w:rsidR="007D5351">
        <w:rPr>
          <w:bCs/>
        </w:rPr>
        <w:t> </w:t>
      </w:r>
      <w:r w:rsidRPr="00CC732D">
        <w:rPr>
          <w:bCs/>
        </w:rPr>
        <w:t>pololetí 2023 činila 303,6</w:t>
      </w:r>
      <w:r w:rsidR="00BE5A1D">
        <w:rPr>
          <w:bCs/>
        </w:rPr>
        <w:t> </w:t>
      </w:r>
      <w:r w:rsidRPr="00CC732D">
        <w:rPr>
          <w:bCs/>
        </w:rPr>
        <w:t>mld.</w:t>
      </w:r>
      <w:r w:rsidR="007D5351">
        <w:rPr>
          <w:bCs/>
        </w:rPr>
        <w:t> </w:t>
      </w:r>
      <w:r w:rsidRPr="00CC732D">
        <w:rPr>
          <w:bCs/>
        </w:rPr>
        <w:t>Kč a</w:t>
      </w:r>
      <w:r w:rsidR="007D5351">
        <w:rPr>
          <w:bCs/>
        </w:rPr>
        <w:t> </w:t>
      </w:r>
      <w:r w:rsidRPr="00CC732D">
        <w:rPr>
          <w:bCs/>
        </w:rPr>
        <w:t>vzrostla o</w:t>
      </w:r>
      <w:r w:rsidR="007D5351">
        <w:rPr>
          <w:bCs/>
        </w:rPr>
        <w:t> </w:t>
      </w:r>
      <w:r w:rsidRPr="00CC732D">
        <w:rPr>
          <w:bCs/>
        </w:rPr>
        <w:t>26,0</w:t>
      </w:r>
      <w:r w:rsidR="007D5351">
        <w:rPr>
          <w:bCs/>
        </w:rPr>
        <w:t> </w:t>
      </w:r>
      <w:r w:rsidRPr="00CC732D">
        <w:rPr>
          <w:bCs/>
        </w:rPr>
        <w:t xml:space="preserve">%. Kromě nízké základny přispěla k meziročnímu růstu velká zakázka FN Motol na </w:t>
      </w:r>
      <w:r w:rsidR="00695082">
        <w:rPr>
          <w:bCs/>
        </w:rPr>
        <w:t xml:space="preserve">nákupní systém na </w:t>
      </w:r>
      <w:r w:rsidRPr="00CC732D">
        <w:rPr>
          <w:bCs/>
        </w:rPr>
        <w:t>léčiva v</w:t>
      </w:r>
      <w:r w:rsidR="007D5351">
        <w:rPr>
          <w:bCs/>
        </w:rPr>
        <w:t> </w:t>
      </w:r>
      <w:r w:rsidRPr="00CC732D">
        <w:rPr>
          <w:bCs/>
        </w:rPr>
        <w:t>hodnotě 20</w:t>
      </w:r>
      <w:r w:rsidR="007D5351">
        <w:rPr>
          <w:bCs/>
        </w:rPr>
        <w:t> </w:t>
      </w:r>
      <w:r w:rsidRPr="00CC732D">
        <w:rPr>
          <w:bCs/>
        </w:rPr>
        <w:t>mld.</w:t>
      </w:r>
      <w:r w:rsidR="007D5351">
        <w:rPr>
          <w:bCs/>
        </w:rPr>
        <w:t> </w:t>
      </w:r>
      <w:r w:rsidRPr="00CC732D">
        <w:rPr>
          <w:bCs/>
        </w:rPr>
        <w:t>Kč. Pokud bychom modelově posuzovali pouze zakázky s</w:t>
      </w:r>
      <w:r w:rsidR="005673A5">
        <w:rPr>
          <w:bCs/>
        </w:rPr>
        <w:t> </w:t>
      </w:r>
      <w:r w:rsidRPr="00CC732D">
        <w:rPr>
          <w:bCs/>
        </w:rPr>
        <w:t>hodnotou pod 1</w:t>
      </w:r>
      <w:r w:rsidR="007D5351">
        <w:rPr>
          <w:bCs/>
        </w:rPr>
        <w:t> </w:t>
      </w:r>
      <w:r w:rsidRPr="00CC732D">
        <w:rPr>
          <w:bCs/>
        </w:rPr>
        <w:t>mld.</w:t>
      </w:r>
      <w:r w:rsidR="007D5351">
        <w:rPr>
          <w:bCs/>
        </w:rPr>
        <w:t> </w:t>
      </w:r>
      <w:r w:rsidRPr="00CC732D">
        <w:rPr>
          <w:bCs/>
        </w:rPr>
        <w:t>Kč, dostaneme meziroční růst hodnoty zadaných zakázek o</w:t>
      </w:r>
      <w:r w:rsidR="007D5351">
        <w:rPr>
          <w:bCs/>
        </w:rPr>
        <w:t> </w:t>
      </w:r>
      <w:r w:rsidRPr="00CC732D">
        <w:rPr>
          <w:bCs/>
        </w:rPr>
        <w:t>9,1</w:t>
      </w:r>
      <w:r w:rsidR="007D5351">
        <w:rPr>
          <w:bCs/>
        </w:rPr>
        <w:t> </w:t>
      </w:r>
      <w:r w:rsidRPr="00CC732D">
        <w:rPr>
          <w:bCs/>
        </w:rPr>
        <w:t>%.</w:t>
      </w:r>
      <w:r w:rsidR="00C97DE1">
        <w:rPr>
          <w:bCs/>
        </w:rPr>
        <w:t xml:space="preserve"> </w:t>
      </w:r>
      <w:r w:rsidR="00C97DE1" w:rsidRPr="00C97DE1">
        <w:rPr>
          <w:bCs/>
        </w:rPr>
        <w:t>Nejvýznamnější objem představují veřejné zakázky na stavební práce, které tvořily 31,8</w:t>
      </w:r>
      <w:r w:rsidR="007D5351">
        <w:rPr>
          <w:bCs/>
        </w:rPr>
        <w:t> </w:t>
      </w:r>
      <w:r w:rsidR="00C97DE1" w:rsidRPr="00C97DE1">
        <w:rPr>
          <w:bCs/>
        </w:rPr>
        <w:t>% z</w:t>
      </w:r>
      <w:r w:rsidR="007D5351">
        <w:rPr>
          <w:bCs/>
        </w:rPr>
        <w:t> </w:t>
      </w:r>
      <w:r w:rsidR="00C97DE1" w:rsidRPr="00C97DE1">
        <w:rPr>
          <w:bCs/>
        </w:rPr>
        <w:t>celkové hodnoty. Finanční hodnota stavebních zakázek zadaných veřejným sektorem ale meziročně klesla o</w:t>
      </w:r>
      <w:r w:rsidR="007D5351">
        <w:rPr>
          <w:bCs/>
        </w:rPr>
        <w:t> </w:t>
      </w:r>
      <w:r w:rsidR="00C97DE1" w:rsidRPr="00C97DE1">
        <w:rPr>
          <w:bCs/>
        </w:rPr>
        <w:t>1,5</w:t>
      </w:r>
      <w:r w:rsidR="007D5351">
        <w:rPr>
          <w:bCs/>
        </w:rPr>
        <w:t> </w:t>
      </w:r>
      <w:r w:rsidR="00C97DE1" w:rsidRPr="00C97DE1">
        <w:rPr>
          <w:bCs/>
        </w:rPr>
        <w:t>%.</w:t>
      </w:r>
    </w:p>
    <w:p w14:paraId="3D21F8ED" w14:textId="77777777" w:rsidR="00CC732D" w:rsidRDefault="00CC732D" w:rsidP="00CC732D">
      <w:pPr>
        <w:rPr>
          <w:b/>
          <w:bCs/>
        </w:rPr>
      </w:pPr>
      <w:r>
        <w:rPr>
          <w:b/>
          <w:bCs/>
        </w:rPr>
        <w:t xml:space="preserve">Meziroční změny oznámení o zadání zakázky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736"/>
        <w:gridCol w:w="1068"/>
        <w:gridCol w:w="1048"/>
        <w:gridCol w:w="1062"/>
        <w:gridCol w:w="1069"/>
        <w:gridCol w:w="1043"/>
        <w:gridCol w:w="1065"/>
      </w:tblGrid>
      <w:tr w:rsidR="00CC732D" w14:paraId="6A822195" w14:textId="77777777" w:rsidTr="00A91504">
        <w:trPr>
          <w:cantSplit/>
          <w:trHeight w:val="284"/>
        </w:trPr>
        <w:tc>
          <w:tcPr>
            <w:tcW w:w="264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B577317" w14:textId="77777777" w:rsidR="00CC732D" w:rsidRDefault="00CC732D" w:rsidP="00A9150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Zakázky celkem</w:t>
            </w:r>
          </w:p>
        </w:tc>
        <w:tc>
          <w:tcPr>
            <w:tcW w:w="3178" w:type="dxa"/>
            <w:gridSpan w:val="3"/>
            <w:vAlign w:val="center"/>
          </w:tcPr>
          <w:p w14:paraId="44E70EC6" w14:textId="77777777" w:rsidR="00CC732D" w:rsidRDefault="00CC732D" w:rsidP="00A9150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Počet</w:t>
            </w:r>
          </w:p>
        </w:tc>
        <w:tc>
          <w:tcPr>
            <w:tcW w:w="3177" w:type="dxa"/>
            <w:gridSpan w:val="3"/>
            <w:vAlign w:val="center"/>
          </w:tcPr>
          <w:p w14:paraId="6F2E9E77" w14:textId="77777777" w:rsidR="00CC732D" w:rsidRDefault="00CC732D" w:rsidP="00A9150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Hodnota</w:t>
            </w:r>
          </w:p>
        </w:tc>
      </w:tr>
      <w:tr w:rsidR="00CC732D" w14:paraId="6CC80EE8" w14:textId="77777777" w:rsidTr="00A91504">
        <w:trPr>
          <w:cantSplit/>
          <w:trHeight w:val="284"/>
        </w:trPr>
        <w:tc>
          <w:tcPr>
            <w:tcW w:w="264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D4F2FC4" w14:textId="77777777" w:rsidR="00CC732D" w:rsidRDefault="00CC732D" w:rsidP="00A915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E8357E" w14:textId="77777777" w:rsidR="00CC732D" w:rsidRDefault="00CC732D" w:rsidP="00A9150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Počet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A98" w14:textId="77777777" w:rsidR="00CC732D" w:rsidRDefault="00CC732D" w:rsidP="00A9150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Meziroční změna v %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6DF6D" w14:textId="77777777" w:rsidR="00CC732D" w:rsidRDefault="00CC732D" w:rsidP="00A9150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mil. Kč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7619C9" w14:textId="77777777" w:rsidR="00CC732D" w:rsidRDefault="00CC732D" w:rsidP="00A9150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Meziroční změna v %</w:t>
            </w:r>
          </w:p>
        </w:tc>
      </w:tr>
      <w:tr w:rsidR="00CC732D" w14:paraId="0380E7C2" w14:textId="77777777" w:rsidTr="00A91504">
        <w:trPr>
          <w:cantSplit/>
          <w:trHeight w:val="284"/>
        </w:trPr>
        <w:tc>
          <w:tcPr>
            <w:tcW w:w="904" w:type="dxa"/>
            <w:vMerge w:val="restart"/>
            <w:tcBorders>
              <w:bottom w:val="nil"/>
            </w:tcBorders>
            <w:vAlign w:val="center"/>
          </w:tcPr>
          <w:p w14:paraId="51F0C0C8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  <w:vAlign w:val="center"/>
          </w:tcPr>
          <w:p w14:paraId="1C20A514" w14:textId="77777777" w:rsidR="00CC732D" w:rsidRDefault="00CC732D" w:rsidP="00A91504">
            <w:pPr>
              <w:rPr>
                <w:bCs/>
                <w:sz w:val="18"/>
              </w:rPr>
            </w:pPr>
            <w:r w:rsidRPr="00FF1766">
              <w:rPr>
                <w:bCs/>
                <w:sz w:val="18"/>
                <w:szCs w:val="18"/>
              </w:rPr>
              <w:t>1. čtvrtletí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B69C3BD" w14:textId="77777777" w:rsidR="00CC732D" w:rsidRPr="000C106C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6 292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86EA7A" w14:textId="77777777" w:rsidR="00CC732D" w:rsidRPr="000C106C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  <w:r w:rsidRPr="000C106C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39DE025E" w14:textId="26E235E5" w:rsidR="00CC732D" w:rsidRPr="000C106C" w:rsidRDefault="00F43790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–</w:t>
            </w:r>
            <w:r w:rsidR="00CC732D">
              <w:rPr>
                <w:bCs/>
                <w:sz w:val="18"/>
              </w:rPr>
              <w:t>25,5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50DA4E5" w14:textId="77777777" w:rsidR="00CC732D" w:rsidRPr="000C106C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116 431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7BA960" w14:textId="77777777" w:rsidR="00CC732D" w:rsidRPr="000C106C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343224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6E1DACF3" w14:textId="4F3A6AD5" w:rsidR="00CC732D" w:rsidRPr="000C106C" w:rsidRDefault="00F43790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–</w:t>
            </w:r>
            <w:r w:rsidR="00CC732D">
              <w:rPr>
                <w:bCs/>
                <w:sz w:val="18"/>
              </w:rPr>
              <w:t>29,2</w:t>
            </w:r>
          </w:p>
        </w:tc>
      </w:tr>
      <w:tr w:rsidR="00CC732D" w14:paraId="35F500DB" w14:textId="77777777" w:rsidTr="00A91504">
        <w:trPr>
          <w:cantSplit/>
          <w:trHeight w:val="284"/>
        </w:trPr>
        <w:tc>
          <w:tcPr>
            <w:tcW w:w="904" w:type="dxa"/>
            <w:vMerge/>
            <w:tcBorders>
              <w:top w:val="nil"/>
            </w:tcBorders>
            <w:vAlign w:val="center"/>
          </w:tcPr>
          <w:p w14:paraId="0347AC29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14:paraId="6FA45A96" w14:textId="77777777" w:rsidR="00CC732D" w:rsidRDefault="00CC732D" w:rsidP="00A91504">
            <w:pPr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2. čtvrtletí</w:t>
            </w:r>
          </w:p>
        </w:tc>
        <w:tc>
          <w:tcPr>
            <w:tcW w:w="1068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0F342775" w14:textId="77777777" w:rsidR="00CC732D" w:rsidRPr="000C106C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7 900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DA5A64" w14:textId="77777777" w:rsidR="00CC732D" w:rsidRPr="000C106C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  <w:r w:rsidRPr="000C106C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79CA9294" w14:textId="0F2142A7" w:rsidR="00CC732D" w:rsidRPr="000C106C" w:rsidRDefault="00F43790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–</w:t>
            </w:r>
            <w:r w:rsidR="00CC732D">
              <w:rPr>
                <w:bCs/>
                <w:sz w:val="18"/>
              </w:rPr>
              <w:t>13,6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6B663950" w14:textId="77777777" w:rsidR="00CC732D" w:rsidRPr="000C106C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129 544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B1B483" w14:textId="77777777" w:rsidR="00CC732D" w:rsidRPr="000C106C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343224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7B66E891" w14:textId="0A06A8E8" w:rsidR="00CC732D" w:rsidRPr="000C106C" w:rsidRDefault="00F43790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–</w:t>
            </w:r>
            <w:r w:rsidR="00CC732D">
              <w:rPr>
                <w:bCs/>
                <w:sz w:val="18"/>
              </w:rPr>
              <w:t>8,2</w:t>
            </w:r>
          </w:p>
        </w:tc>
      </w:tr>
      <w:tr w:rsidR="00CC732D" w14:paraId="621906AF" w14:textId="77777777" w:rsidTr="00A91504">
        <w:trPr>
          <w:cantSplit/>
          <w:trHeight w:val="284"/>
        </w:trPr>
        <w:tc>
          <w:tcPr>
            <w:tcW w:w="904" w:type="dxa"/>
            <w:vMerge/>
            <w:tcBorders>
              <w:top w:val="nil"/>
              <w:bottom w:val="nil"/>
            </w:tcBorders>
            <w:vAlign w:val="center"/>
          </w:tcPr>
          <w:p w14:paraId="132EA6E8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14:paraId="7FC5C17C" w14:textId="77777777" w:rsidR="00CC732D" w:rsidRDefault="00CC732D" w:rsidP="00A91504">
            <w:pPr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3. čtvrtletí</w:t>
            </w:r>
          </w:p>
        </w:tc>
        <w:tc>
          <w:tcPr>
            <w:tcW w:w="1068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09C9C85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7 671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2D7880" w14:textId="77777777" w:rsidR="00CC732D" w:rsidRPr="00117BB3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  <w:r w:rsidRPr="000C106C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3274ACB4" w14:textId="3C8A9483" w:rsidR="00CC732D" w:rsidRDefault="00F43790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–</w:t>
            </w:r>
            <w:r w:rsidR="00CC732D">
              <w:rPr>
                <w:bCs/>
                <w:sz w:val="18"/>
              </w:rPr>
              <w:t>16,5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411245F0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181 495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11EC24" w14:textId="77777777" w:rsidR="00CC732D" w:rsidRPr="00117BB3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  <w:r w:rsidRPr="00FF1766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4B9D06C1" w14:textId="77777777" w:rsidR="00CC732D" w:rsidRDefault="00CC732D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+49,8</w:t>
            </w:r>
          </w:p>
        </w:tc>
      </w:tr>
      <w:tr w:rsidR="00CC732D" w14:paraId="389E7090" w14:textId="77777777" w:rsidTr="00A91504">
        <w:trPr>
          <w:cantSplit/>
          <w:trHeight w:val="284"/>
        </w:trPr>
        <w:tc>
          <w:tcPr>
            <w:tcW w:w="904" w:type="dxa"/>
            <w:vMerge/>
            <w:tcBorders>
              <w:top w:val="nil"/>
            </w:tcBorders>
            <w:vAlign w:val="center"/>
          </w:tcPr>
          <w:p w14:paraId="752248FA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vAlign w:val="center"/>
          </w:tcPr>
          <w:p w14:paraId="3F56A41E" w14:textId="77777777" w:rsidR="00CC732D" w:rsidRDefault="00CC732D" w:rsidP="00A91504">
            <w:pPr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4. čtvrtletí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79E2F221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8 001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FD706" w14:textId="77777777" w:rsidR="00CC732D" w:rsidRPr="00117BB3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  <w:r w:rsidRPr="000C106C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6798BE8B" w14:textId="2B704354" w:rsidR="00CC732D" w:rsidRDefault="00F43790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–</w:t>
            </w:r>
            <w:r w:rsidR="00CC732D">
              <w:rPr>
                <w:bCs/>
                <w:sz w:val="18"/>
              </w:rPr>
              <w:t>9,9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69D2D1A1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144 420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7C10659" w14:textId="77777777" w:rsidR="00CC732D" w:rsidRPr="000C106C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FF1766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231D5DA6" w14:textId="77777777" w:rsidR="00CC732D" w:rsidRDefault="00CC732D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+37,9</w:t>
            </w:r>
          </w:p>
        </w:tc>
      </w:tr>
      <w:tr w:rsidR="00CC732D" w14:paraId="6FCB3FD6" w14:textId="77777777" w:rsidTr="00A91504">
        <w:trPr>
          <w:cantSplit/>
          <w:trHeight w:val="28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31511430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410B" w14:textId="77777777" w:rsidR="00CC732D" w:rsidRPr="009E3D86" w:rsidRDefault="00CC732D" w:rsidP="00A915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94C0109" w14:textId="77777777" w:rsidR="00CC732D" w:rsidRDefault="00CC732D" w:rsidP="00A91504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29 864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09F65" w14:textId="77777777" w:rsidR="00CC732D" w:rsidRPr="00A050A9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  <w:r w:rsidRPr="000C106C">
              <w:rPr>
                <w:bCs/>
                <w:color w:val="FF0000"/>
                <w:sz w:val="28"/>
                <w:szCs w:val="28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157FB977" w14:textId="0CD3A9E9" w:rsidR="00CC732D" w:rsidRDefault="00F43790" w:rsidP="00A91504">
            <w:pPr>
              <w:jc w:val="right"/>
              <w:rPr>
                <w:b/>
                <w:bCs/>
                <w:sz w:val="18"/>
              </w:rPr>
            </w:pPr>
            <w:r w:rsidRPr="00054402">
              <w:rPr>
                <w:b/>
                <w:sz w:val="18"/>
              </w:rPr>
              <w:t>–</w:t>
            </w:r>
            <w:r w:rsidR="00CC732D">
              <w:rPr>
                <w:b/>
                <w:sz w:val="18"/>
              </w:rPr>
              <w:t>16,3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5FFAC08D" w14:textId="77777777" w:rsidR="00CC732D" w:rsidRDefault="00CC732D" w:rsidP="00A91504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566 890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B9D583" w14:textId="77777777" w:rsidR="00CC732D" w:rsidRPr="00CA5C50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FF1766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4140D8D5" w14:textId="77777777" w:rsidR="00CC732D" w:rsidRDefault="00CC732D" w:rsidP="00A91504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+7,8</w:t>
            </w:r>
          </w:p>
        </w:tc>
      </w:tr>
      <w:tr w:rsidR="00CC732D" w14:paraId="1C59E90B" w14:textId="77777777" w:rsidTr="00A91504">
        <w:trPr>
          <w:cantSplit/>
          <w:trHeight w:val="284"/>
        </w:trPr>
        <w:tc>
          <w:tcPr>
            <w:tcW w:w="904" w:type="dxa"/>
            <w:vMerge w:val="restart"/>
            <w:vAlign w:val="center"/>
          </w:tcPr>
          <w:p w14:paraId="635CFA7D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  <w:vAlign w:val="center"/>
          </w:tcPr>
          <w:p w14:paraId="01027018" w14:textId="77777777" w:rsidR="00CC732D" w:rsidRPr="00FF1766" w:rsidRDefault="00CC732D" w:rsidP="00A91504">
            <w:pPr>
              <w:ind w:left="4"/>
              <w:rPr>
                <w:bCs/>
                <w:sz w:val="18"/>
                <w:szCs w:val="18"/>
              </w:rPr>
            </w:pPr>
            <w:r w:rsidRPr="00FF1766">
              <w:rPr>
                <w:bCs/>
                <w:sz w:val="18"/>
                <w:szCs w:val="18"/>
              </w:rPr>
              <w:t>1. čtvrtletí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59304A9" w14:textId="77777777" w:rsidR="00CC732D" w:rsidRPr="00FF1766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10 527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26AD3A" w14:textId="77777777" w:rsidR="00CC732D" w:rsidRPr="00FF1766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  <w:r w:rsidRPr="00FF1766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5AD0433D" w14:textId="77777777" w:rsidR="00CC732D" w:rsidRPr="00FF1766" w:rsidRDefault="00CC732D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+67,3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02B06BB5" w14:textId="77777777" w:rsidR="00CC732D" w:rsidRPr="00FF1766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160 183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20AB7C" w14:textId="77777777" w:rsidR="00CC732D" w:rsidRPr="00FF1766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FF1766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115F9EC0" w14:textId="77777777" w:rsidR="00CC732D" w:rsidRPr="00FF1766" w:rsidRDefault="00CC732D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+37,6</w:t>
            </w:r>
          </w:p>
        </w:tc>
      </w:tr>
      <w:tr w:rsidR="00CC732D" w14:paraId="36441504" w14:textId="77777777" w:rsidTr="00A91504">
        <w:trPr>
          <w:cantSplit/>
          <w:trHeight w:val="284"/>
        </w:trPr>
        <w:tc>
          <w:tcPr>
            <w:tcW w:w="904" w:type="dxa"/>
            <w:vMerge/>
            <w:vAlign w:val="center"/>
          </w:tcPr>
          <w:p w14:paraId="404E14CD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14:paraId="0E80D318" w14:textId="77777777" w:rsidR="00CC732D" w:rsidRPr="00FF1766" w:rsidRDefault="00CC732D" w:rsidP="00A91504">
            <w:pPr>
              <w:ind w:left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čtvrtletí</w:t>
            </w:r>
          </w:p>
        </w:tc>
        <w:tc>
          <w:tcPr>
            <w:tcW w:w="1068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7F2EF24B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8 226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21863" w14:textId="77777777" w:rsidR="00CC732D" w:rsidRPr="000C106C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FF1766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1C3E7299" w14:textId="77777777" w:rsidR="00CC732D" w:rsidRDefault="00CC732D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+4,1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22BF08E3" w14:textId="77777777" w:rsidR="00CC732D" w:rsidRPr="00FF1766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143 389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C4B3E0" w14:textId="77777777" w:rsidR="00CC732D" w:rsidRPr="00FF1766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  <w:r w:rsidRPr="00FF1766">
              <w:rPr>
                <w:bCs/>
                <w:color w:val="92D050"/>
                <w:sz w:val="28"/>
                <w:szCs w:val="28"/>
              </w:rPr>
              <w:sym w:font="Wingdings 3" w:char="F0C7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36354FD3" w14:textId="77777777" w:rsidR="00CC732D" w:rsidRPr="00FF1766" w:rsidRDefault="00CC732D" w:rsidP="00A91504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+15,1</w:t>
            </w:r>
          </w:p>
        </w:tc>
      </w:tr>
      <w:tr w:rsidR="00CC732D" w14:paraId="700BC5A2" w14:textId="77777777" w:rsidTr="00A91504">
        <w:trPr>
          <w:cantSplit/>
          <w:trHeight w:val="284"/>
        </w:trPr>
        <w:tc>
          <w:tcPr>
            <w:tcW w:w="904" w:type="dxa"/>
            <w:vMerge/>
            <w:vAlign w:val="center"/>
          </w:tcPr>
          <w:p w14:paraId="6CE6F93E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14:paraId="73F4A19A" w14:textId="77777777" w:rsidR="00CC732D" w:rsidRDefault="00CC732D" w:rsidP="00A91504">
            <w:pPr>
              <w:ind w:left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čtvrtletí</w:t>
            </w:r>
          </w:p>
        </w:tc>
        <w:tc>
          <w:tcPr>
            <w:tcW w:w="1068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0AE8884F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C1FFD1" w14:textId="77777777" w:rsidR="00CC732D" w:rsidRPr="000C106C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4E7FA27B" w14:textId="77777777" w:rsidR="00CC732D" w:rsidRDefault="00CC732D" w:rsidP="00A91504">
            <w:pPr>
              <w:jc w:val="right"/>
              <w:rPr>
                <w:bCs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189334F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822362" w14:textId="77777777" w:rsidR="00CC732D" w:rsidRPr="00343224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36943D98" w14:textId="77777777" w:rsidR="00CC732D" w:rsidRDefault="00CC732D" w:rsidP="00A91504">
            <w:pPr>
              <w:jc w:val="right"/>
              <w:rPr>
                <w:bCs/>
                <w:sz w:val="18"/>
              </w:rPr>
            </w:pPr>
          </w:p>
        </w:tc>
      </w:tr>
      <w:tr w:rsidR="00CC732D" w14:paraId="7C2572DF" w14:textId="77777777" w:rsidTr="00A91504">
        <w:trPr>
          <w:cantSplit/>
          <w:trHeight w:val="284"/>
        </w:trPr>
        <w:tc>
          <w:tcPr>
            <w:tcW w:w="904" w:type="dxa"/>
            <w:vMerge/>
            <w:vAlign w:val="center"/>
          </w:tcPr>
          <w:p w14:paraId="0EA9DAC1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14:paraId="2539DE2E" w14:textId="77777777" w:rsidR="00CC732D" w:rsidRDefault="00CC732D" w:rsidP="00A91504">
            <w:pPr>
              <w:ind w:left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čtvrtletí</w:t>
            </w:r>
          </w:p>
        </w:tc>
        <w:tc>
          <w:tcPr>
            <w:tcW w:w="1068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80D49CD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D51510" w14:textId="77777777" w:rsidR="00CC732D" w:rsidRPr="000C106C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3995ED9D" w14:textId="77777777" w:rsidR="00CC732D" w:rsidRDefault="00CC732D" w:rsidP="00A91504">
            <w:pPr>
              <w:jc w:val="right"/>
              <w:rPr>
                <w:bCs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47C981F7" w14:textId="77777777" w:rsidR="00CC732D" w:rsidRDefault="00CC732D" w:rsidP="00A9150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8BCA15" w14:textId="77777777" w:rsidR="00CC732D" w:rsidRPr="00FF1766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45D449F1" w14:textId="77777777" w:rsidR="00CC732D" w:rsidRDefault="00CC732D" w:rsidP="00A91504">
            <w:pPr>
              <w:jc w:val="right"/>
              <w:rPr>
                <w:bCs/>
                <w:sz w:val="18"/>
              </w:rPr>
            </w:pPr>
          </w:p>
        </w:tc>
      </w:tr>
      <w:tr w:rsidR="00CC732D" w14:paraId="7698AE0C" w14:textId="77777777" w:rsidTr="00A91504">
        <w:trPr>
          <w:cantSplit/>
          <w:trHeight w:val="28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43B4CA6D" w14:textId="77777777" w:rsidR="00CC732D" w:rsidRDefault="00CC732D" w:rsidP="00A91504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6835B" w14:textId="77777777" w:rsidR="00CC732D" w:rsidRPr="003D1A4B" w:rsidRDefault="00CC732D" w:rsidP="00A91504">
            <w:pPr>
              <w:ind w:left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FA9DFAD" w14:textId="77777777" w:rsidR="00CC732D" w:rsidRPr="003D1A4B" w:rsidRDefault="00CC732D" w:rsidP="00A91504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6AA5E" w14:textId="77777777" w:rsidR="00CC732D" w:rsidRPr="000C106C" w:rsidRDefault="00CC732D" w:rsidP="00A9150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5BF2ACAB" w14:textId="77777777" w:rsidR="00CC732D" w:rsidRPr="003D1A4B" w:rsidRDefault="00CC732D" w:rsidP="00A91504">
            <w:pPr>
              <w:jc w:val="right"/>
              <w:rPr>
                <w:b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07D6F1C5" w14:textId="77777777" w:rsidR="00CC732D" w:rsidRPr="003D1A4B" w:rsidRDefault="00CC732D" w:rsidP="00A91504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05B748" w14:textId="77777777" w:rsidR="00CC732D" w:rsidRPr="00FF1766" w:rsidRDefault="00CC732D" w:rsidP="00A91504">
            <w:pPr>
              <w:jc w:val="center"/>
              <w:rPr>
                <w:bCs/>
                <w:color w:val="92D05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62551F25" w14:textId="77777777" w:rsidR="00CC732D" w:rsidRPr="003D1A4B" w:rsidRDefault="00CC732D" w:rsidP="00A91504">
            <w:pPr>
              <w:jc w:val="right"/>
              <w:rPr>
                <w:b/>
                <w:sz w:val="18"/>
              </w:rPr>
            </w:pPr>
          </w:p>
        </w:tc>
      </w:tr>
    </w:tbl>
    <w:p w14:paraId="5A59F9DE" w14:textId="77777777" w:rsidR="00CC732D" w:rsidRDefault="00CC732D" w:rsidP="00CC732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Zdroj: Věstník veřejných zakázek, výpočty CEEC Research</w:t>
      </w:r>
    </w:p>
    <w:p w14:paraId="6D256BA7" w14:textId="1C37DE1F" w:rsidR="001D0B10" w:rsidRPr="001D0B10" w:rsidRDefault="001D0B10" w:rsidP="001D0B10">
      <w:pPr>
        <w:jc w:val="both"/>
      </w:pPr>
      <w:r>
        <w:lastRenderedPageBreak/>
        <w:t>„</w:t>
      </w:r>
      <w:r>
        <w:rPr>
          <w:i/>
          <w:iCs/>
        </w:rPr>
        <w:t>Na MMR u</w:t>
      </w:r>
      <w:r w:rsidRPr="00C33AF8">
        <w:rPr>
          <w:i/>
          <w:iCs/>
        </w:rPr>
        <w:t>silujeme o zlepšení kultury zadávání veřejných zakázek v ČR tak, aby kvalita a udržitelnost stály v popředí zájmu veřejných zadavatelů</w:t>
      </w:r>
      <w:r>
        <w:t xml:space="preserve">,“ říká </w:t>
      </w:r>
      <w:r w:rsidRPr="001D0B10">
        <w:rPr>
          <w:b/>
          <w:bCs/>
        </w:rPr>
        <w:t>Ivan Bartoš, ministr</w:t>
      </w:r>
      <w:r w:rsidRPr="00C33AF8">
        <w:rPr>
          <w:b/>
          <w:bCs/>
        </w:rPr>
        <w:t xml:space="preserve"> pro místní rozvoj ČR</w:t>
      </w:r>
      <w:r>
        <w:t>.</w:t>
      </w:r>
    </w:p>
    <w:p w14:paraId="6972C95F" w14:textId="2605AABC" w:rsidR="00C97DE1" w:rsidRDefault="00C97DE1" w:rsidP="0022713E">
      <w:pPr>
        <w:spacing w:line="276" w:lineRule="auto"/>
        <w:jc w:val="both"/>
        <w:rPr>
          <w:rFonts w:cstheme="minorHAnsi"/>
        </w:rPr>
      </w:pPr>
      <w:r>
        <w:rPr>
          <w:bCs/>
        </w:rPr>
        <w:t>Největší zadanou veřejnou zakázkou první poloviny roku byla zakázka Fakultní nemocnice Motol na dynamický nákupní systém na léčivé přípravky v hodnotě 20 miliard korun, kde bylo vybíráno z</w:t>
      </w:r>
      <w:r w:rsidR="00FA06D9">
        <w:rPr>
          <w:bCs/>
        </w:rPr>
        <w:t> </w:t>
      </w:r>
      <w:r>
        <w:rPr>
          <w:bCs/>
        </w:rPr>
        <w:t>15</w:t>
      </w:r>
      <w:r w:rsidR="00FA06D9">
        <w:rPr>
          <w:bCs/>
        </w:rPr>
        <w:t> </w:t>
      </w:r>
      <w:r>
        <w:rPr>
          <w:bCs/>
        </w:rPr>
        <w:t xml:space="preserve">nabídek uchazečů. Druhou největší zakázkou </w:t>
      </w:r>
      <w:r>
        <w:rPr>
          <w:rFonts w:cstheme="minorHAnsi"/>
        </w:rPr>
        <w:t xml:space="preserve">je výstavba multifunkční sportovní haly v Brně, kterou zadalo v lednu statutární město Brno v hodnotě 4,444 miliard korun </w:t>
      </w:r>
      <w:r w:rsidR="00E66720">
        <w:rPr>
          <w:rFonts w:cstheme="minorHAnsi"/>
        </w:rPr>
        <w:t xml:space="preserve">(vybíralo </w:t>
      </w:r>
      <w:r>
        <w:rPr>
          <w:rFonts w:cstheme="minorHAnsi"/>
        </w:rPr>
        <w:t>ze 4 nabídek uchazečů</w:t>
      </w:r>
      <w:r w:rsidR="00E66720">
        <w:rPr>
          <w:rFonts w:cstheme="minorHAnsi"/>
        </w:rPr>
        <w:t>)</w:t>
      </w:r>
      <w:r>
        <w:rPr>
          <w:rFonts w:cstheme="minorHAnsi"/>
        </w:rPr>
        <w:t xml:space="preserve">. Mezi největší </w:t>
      </w:r>
      <w:proofErr w:type="gramStart"/>
      <w:r>
        <w:rPr>
          <w:rFonts w:cstheme="minorHAnsi"/>
        </w:rPr>
        <w:t>patří</w:t>
      </w:r>
      <w:proofErr w:type="gramEnd"/>
      <w:r>
        <w:rPr>
          <w:rFonts w:cstheme="minorHAnsi"/>
        </w:rPr>
        <w:t xml:space="preserve"> </w:t>
      </w:r>
      <w:r w:rsidR="00E66720">
        <w:rPr>
          <w:rFonts w:cstheme="minorHAnsi"/>
        </w:rPr>
        <w:t xml:space="preserve">také </w:t>
      </w:r>
      <w:r>
        <w:rPr>
          <w:rFonts w:cstheme="minorHAnsi"/>
        </w:rPr>
        <w:t xml:space="preserve">zakázka na dodávku elektrické energie v hodnotě 4 miliard korun pro společnost </w:t>
      </w:r>
      <w:proofErr w:type="spellStart"/>
      <w:r>
        <w:rPr>
          <w:rFonts w:cstheme="minorHAnsi"/>
        </w:rPr>
        <w:t>Solution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Services</w:t>
      </w:r>
      <w:proofErr w:type="spellEnd"/>
      <w:r>
        <w:rPr>
          <w:rFonts w:cstheme="minorHAnsi"/>
        </w:rPr>
        <w:t>, kde byla podána pouze jedna nabídka.</w:t>
      </w:r>
    </w:p>
    <w:p w14:paraId="54A227B8" w14:textId="2F2A128F" w:rsidR="00CC732D" w:rsidRDefault="00C97DE1" w:rsidP="0022713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 hlediska počtu nabídek byl nejrozsáhlejší tendr na služby mobilního operátora pro resort Ministerstva průmyslu a obchodu, kde bylo podáno 149 nabídek, nebo výběrové řízení vypsané Ministerstvem obrany na nákup kancelářských potřeb </w:t>
      </w:r>
      <w:r w:rsidR="00240D26">
        <w:rPr>
          <w:rFonts w:cstheme="minorHAnsi"/>
        </w:rPr>
        <w:t>z</w:t>
      </w:r>
      <w:r>
        <w:rPr>
          <w:rFonts w:cstheme="minorHAnsi"/>
        </w:rPr>
        <w:t> počtu 121 nabídek a výběrové řízení na operační prádlo s mikrovláknem, kde zadavatelem byla Fakultní nemocnice Brno a zpracovala 56 nabídek uchazečů.</w:t>
      </w:r>
    </w:p>
    <w:p w14:paraId="33BC59E2" w14:textId="77777777" w:rsidR="00DA3CE4" w:rsidRDefault="00DA3CE4" w:rsidP="00F34C9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53C690D1" w14:textId="77777777" w:rsidR="00F34C9F" w:rsidRDefault="00F34C9F" w:rsidP="00F34C9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</w:rPr>
        <w:t>Kontakt pro média:</w:t>
      </w:r>
      <w:r>
        <w:rPr>
          <w:b/>
          <w:color w:val="000000"/>
        </w:rPr>
        <w:br/>
      </w:r>
      <w:r>
        <w:rPr>
          <w:color w:val="000000"/>
        </w:rPr>
        <w:t xml:space="preserve">Ing. Petr Ondrášek, senior konzultant CEEC Research </w:t>
      </w:r>
      <w:r>
        <w:rPr>
          <w:color w:val="000000"/>
        </w:rPr>
        <w:br/>
        <w:t xml:space="preserve">(+420) 602 303 990, </w:t>
      </w:r>
      <w:hyperlink r:id="rId7">
        <w:r>
          <w:rPr>
            <w:color w:val="0563C1"/>
            <w:u w:val="single"/>
          </w:rPr>
          <w:t>ondrasek@ceec.eu</w:t>
        </w:r>
      </w:hyperlink>
      <w:r>
        <w:rPr>
          <w:color w:val="1155CC"/>
          <w:u w:val="single"/>
        </w:rPr>
        <w:t xml:space="preserve"> </w:t>
      </w:r>
    </w:p>
    <w:p w14:paraId="03AE8F06" w14:textId="77777777" w:rsidR="00F34C9F" w:rsidRDefault="00F34C9F" w:rsidP="00F3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7828409F" w14:textId="2E89F521" w:rsidR="00022B1D" w:rsidRPr="00DF0418" w:rsidRDefault="00022B1D" w:rsidP="00F34C9F">
      <w:pPr>
        <w:pStyle w:val="Normlnweb"/>
        <w:spacing w:before="0" w:beforeAutospacing="0" w:after="16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sectPr w:rsidR="00022B1D" w:rsidRPr="00DF04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C494" w14:textId="77777777" w:rsidR="00C43252" w:rsidRDefault="00C43252" w:rsidP="003E0618">
      <w:pPr>
        <w:spacing w:after="0" w:line="240" w:lineRule="auto"/>
      </w:pPr>
      <w:r>
        <w:separator/>
      </w:r>
    </w:p>
  </w:endnote>
  <w:endnote w:type="continuationSeparator" w:id="0">
    <w:p w14:paraId="0AEFC9AC" w14:textId="77777777" w:rsidR="00C43252" w:rsidRDefault="00C43252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9D28" w14:textId="77777777" w:rsidR="00C43252" w:rsidRDefault="00C43252" w:rsidP="003E0618">
      <w:pPr>
        <w:spacing w:after="0" w:line="240" w:lineRule="auto"/>
      </w:pPr>
      <w:r>
        <w:separator/>
      </w:r>
    </w:p>
  </w:footnote>
  <w:footnote w:type="continuationSeparator" w:id="0">
    <w:p w14:paraId="7BB46EEE" w14:textId="77777777" w:rsidR="00C43252" w:rsidRDefault="00C43252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13280"/>
    <w:rsid w:val="00022B1D"/>
    <w:rsid w:val="0003358D"/>
    <w:rsid w:val="00036F9D"/>
    <w:rsid w:val="00054402"/>
    <w:rsid w:val="00061B21"/>
    <w:rsid w:val="00070BD8"/>
    <w:rsid w:val="00094AE8"/>
    <w:rsid w:val="000A3207"/>
    <w:rsid w:val="000C0FDC"/>
    <w:rsid w:val="000D6AB4"/>
    <w:rsid w:val="000E2E42"/>
    <w:rsid w:val="000F1515"/>
    <w:rsid w:val="0015108E"/>
    <w:rsid w:val="001567B4"/>
    <w:rsid w:val="0018568B"/>
    <w:rsid w:val="00186A14"/>
    <w:rsid w:val="001D0B10"/>
    <w:rsid w:val="001F3AEB"/>
    <w:rsid w:val="00211955"/>
    <w:rsid w:val="00221821"/>
    <w:rsid w:val="0022713E"/>
    <w:rsid w:val="00240D26"/>
    <w:rsid w:val="002625AB"/>
    <w:rsid w:val="002A02B3"/>
    <w:rsid w:val="002A2565"/>
    <w:rsid w:val="002B6812"/>
    <w:rsid w:val="00302068"/>
    <w:rsid w:val="003151DA"/>
    <w:rsid w:val="00315909"/>
    <w:rsid w:val="00364FE1"/>
    <w:rsid w:val="0037612B"/>
    <w:rsid w:val="00395D2E"/>
    <w:rsid w:val="003C3C06"/>
    <w:rsid w:val="003D381C"/>
    <w:rsid w:val="003E0618"/>
    <w:rsid w:val="00417531"/>
    <w:rsid w:val="00453268"/>
    <w:rsid w:val="004D1C5A"/>
    <w:rsid w:val="005116ED"/>
    <w:rsid w:val="00544518"/>
    <w:rsid w:val="005673A5"/>
    <w:rsid w:val="00571615"/>
    <w:rsid w:val="00584424"/>
    <w:rsid w:val="00595AB6"/>
    <w:rsid w:val="00596C51"/>
    <w:rsid w:val="005A1209"/>
    <w:rsid w:val="005D31DC"/>
    <w:rsid w:val="00631D5F"/>
    <w:rsid w:val="006462A2"/>
    <w:rsid w:val="00657601"/>
    <w:rsid w:val="006942AF"/>
    <w:rsid w:val="00695082"/>
    <w:rsid w:val="006B6639"/>
    <w:rsid w:val="006E1F6C"/>
    <w:rsid w:val="007251B0"/>
    <w:rsid w:val="00733B16"/>
    <w:rsid w:val="007511A6"/>
    <w:rsid w:val="007C0AF5"/>
    <w:rsid w:val="007D5351"/>
    <w:rsid w:val="00850CB1"/>
    <w:rsid w:val="008544A0"/>
    <w:rsid w:val="00855398"/>
    <w:rsid w:val="008707CC"/>
    <w:rsid w:val="008D24CF"/>
    <w:rsid w:val="00923F4E"/>
    <w:rsid w:val="00926ED7"/>
    <w:rsid w:val="00934DCA"/>
    <w:rsid w:val="009404B3"/>
    <w:rsid w:val="009A115D"/>
    <w:rsid w:val="009B72A4"/>
    <w:rsid w:val="009C09E6"/>
    <w:rsid w:val="009F02E6"/>
    <w:rsid w:val="00A31F68"/>
    <w:rsid w:val="00A6043D"/>
    <w:rsid w:val="00A60880"/>
    <w:rsid w:val="00A827EF"/>
    <w:rsid w:val="00AF6921"/>
    <w:rsid w:val="00BA10E1"/>
    <w:rsid w:val="00BD4EDA"/>
    <w:rsid w:val="00BE5A1D"/>
    <w:rsid w:val="00BF74B3"/>
    <w:rsid w:val="00C36A1A"/>
    <w:rsid w:val="00C43252"/>
    <w:rsid w:val="00C53637"/>
    <w:rsid w:val="00C543BD"/>
    <w:rsid w:val="00C55CB6"/>
    <w:rsid w:val="00C75BD8"/>
    <w:rsid w:val="00C90F60"/>
    <w:rsid w:val="00C97DE1"/>
    <w:rsid w:val="00CC732D"/>
    <w:rsid w:val="00DA3CE4"/>
    <w:rsid w:val="00DA5329"/>
    <w:rsid w:val="00DB5BFC"/>
    <w:rsid w:val="00DF0418"/>
    <w:rsid w:val="00E66720"/>
    <w:rsid w:val="00EF5C0D"/>
    <w:rsid w:val="00F11782"/>
    <w:rsid w:val="00F34454"/>
    <w:rsid w:val="00F344B5"/>
    <w:rsid w:val="00F34C9F"/>
    <w:rsid w:val="00F43790"/>
    <w:rsid w:val="00F53C70"/>
    <w:rsid w:val="00F74990"/>
    <w:rsid w:val="00F76FF6"/>
    <w:rsid w:val="00FA06D9"/>
    <w:rsid w:val="00FA7AE7"/>
    <w:rsid w:val="00FB3681"/>
    <w:rsid w:val="00FB7A5C"/>
    <w:rsid w:val="00FD157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4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ndrasek@cee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2023-10-02T08:58:00Z</dcterms:created>
  <dcterms:modified xsi:type="dcterms:W3CDTF">2023-10-02T08:58:00Z</dcterms:modified>
</cp:coreProperties>
</file>