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4987" w14:textId="4C02E769" w:rsidR="003A72EC" w:rsidRDefault="006C5EC2" w:rsidP="00B32E5B">
      <w:pPr>
        <w:pStyle w:val="Normlnweb"/>
        <w:spacing w:before="0" w:beforeAutospacing="0" w:after="160" w:afterAutospacing="0" w:line="288" w:lineRule="auto"/>
        <w:rPr>
          <w:rFonts w:asciiTheme="minorHAnsi" w:hAnsiTheme="minorHAnsi" w:cstheme="minorHAnsi"/>
          <w:b/>
          <w:bCs/>
          <w:color w:val="4472C4" w:themeColor="accent1"/>
          <w:sz w:val="52"/>
          <w:szCs w:val="52"/>
        </w:rPr>
      </w:pPr>
      <w:r>
        <w:rPr>
          <w:rFonts w:asciiTheme="minorHAnsi" w:hAnsiTheme="minorHAnsi" w:cstheme="minorHAnsi"/>
          <w:b/>
          <w:bCs/>
          <w:color w:val="4472C4" w:themeColor="accent1"/>
          <w:sz w:val="52"/>
          <w:szCs w:val="52"/>
        </w:rPr>
        <w:t>Stavitelé rezidenčního bydlení žehrají na vysoké úrokové sazby</w:t>
      </w:r>
    </w:p>
    <w:p w14:paraId="2AE49B46" w14:textId="03874B00" w:rsidR="008D4B0B" w:rsidRPr="00B63121" w:rsidRDefault="003A72EC" w:rsidP="00B32E5B">
      <w:pPr>
        <w:spacing w:line="288" w:lineRule="auto"/>
        <w:jc w:val="both"/>
        <w:rPr>
          <w:b/>
          <w:bCs/>
        </w:rPr>
      </w:pPr>
      <w:r w:rsidRPr="00B63121">
        <w:rPr>
          <w:b/>
          <w:bCs/>
        </w:rPr>
        <w:t>1</w:t>
      </w:r>
      <w:r w:rsidR="00610CA8" w:rsidRPr="00B63121">
        <w:rPr>
          <w:b/>
          <w:bCs/>
        </w:rPr>
        <w:t>7</w:t>
      </w:r>
      <w:r w:rsidR="0004515E" w:rsidRPr="00B63121">
        <w:rPr>
          <w:b/>
          <w:bCs/>
        </w:rPr>
        <w:t>. 10</w:t>
      </w:r>
      <w:r w:rsidR="00FA7AE7" w:rsidRPr="00B63121">
        <w:rPr>
          <w:b/>
          <w:bCs/>
        </w:rPr>
        <w:t xml:space="preserve">. 2023 </w:t>
      </w:r>
      <w:r w:rsidR="00C36A1A" w:rsidRPr="00B63121">
        <w:rPr>
          <w:b/>
          <w:bCs/>
        </w:rPr>
        <w:t>–</w:t>
      </w:r>
      <w:r w:rsidRPr="00B63121">
        <w:rPr>
          <w:b/>
          <w:bCs/>
        </w:rPr>
        <w:t xml:space="preserve"> </w:t>
      </w:r>
      <w:r w:rsidR="00B63121" w:rsidRPr="00B63121">
        <w:rPr>
          <w:b/>
          <w:bCs/>
        </w:rPr>
        <w:t>Develope</w:t>
      </w:r>
      <w:r w:rsidR="00B63121">
        <w:rPr>
          <w:b/>
          <w:bCs/>
        </w:rPr>
        <w:t xml:space="preserve">ři </w:t>
      </w:r>
      <w:r w:rsidR="00B63121" w:rsidRPr="00B63121">
        <w:rPr>
          <w:b/>
          <w:bCs/>
        </w:rPr>
        <w:t>přibližně polovinu projektů rezidenčního bydlení financují s pomocí cizího kapitálu. Podle dotazovaných ředitelů developerských firem zpravidla nemají se získáním potřebného kapitálu</w:t>
      </w:r>
      <w:r w:rsidR="004B4C89" w:rsidRPr="004B4C89">
        <w:rPr>
          <w:b/>
          <w:bCs/>
        </w:rPr>
        <w:t xml:space="preserve"> </w:t>
      </w:r>
      <w:r w:rsidR="004B4C89" w:rsidRPr="00B63121">
        <w:rPr>
          <w:b/>
          <w:bCs/>
        </w:rPr>
        <w:t>potíže</w:t>
      </w:r>
      <w:r w:rsidR="00B63121" w:rsidRPr="00B63121">
        <w:rPr>
          <w:b/>
          <w:bCs/>
        </w:rPr>
        <w:t xml:space="preserve">. Pro banky je však klíčová hodnota nemovitosti a historie úspěšných projektů, stejně tak je důležité generování příjmů. </w:t>
      </w:r>
      <w:r w:rsidR="00B63121">
        <w:rPr>
          <w:b/>
          <w:bCs/>
        </w:rPr>
        <w:t>Realitou</w:t>
      </w:r>
      <w:r w:rsidR="00B63121" w:rsidRPr="00B63121">
        <w:rPr>
          <w:b/>
          <w:bCs/>
        </w:rPr>
        <w:t xml:space="preserve"> pro stavitele </w:t>
      </w:r>
      <w:r w:rsidR="00B63121">
        <w:rPr>
          <w:b/>
          <w:bCs/>
        </w:rPr>
        <w:t xml:space="preserve">bydlení </w:t>
      </w:r>
      <w:r w:rsidR="00B63121" w:rsidRPr="00B63121">
        <w:rPr>
          <w:b/>
          <w:bCs/>
        </w:rPr>
        <w:t xml:space="preserve">zůstávají </w:t>
      </w:r>
      <w:r w:rsidR="00B63121">
        <w:rPr>
          <w:b/>
          <w:bCs/>
        </w:rPr>
        <w:t xml:space="preserve">přísné podmínky financování a </w:t>
      </w:r>
      <w:r w:rsidR="00B63121" w:rsidRPr="00B63121">
        <w:rPr>
          <w:b/>
          <w:bCs/>
        </w:rPr>
        <w:t xml:space="preserve">vysoké úrokové sazby, které jsou stále největším problémem. </w:t>
      </w:r>
      <w:r w:rsidR="008D4B0B" w:rsidRPr="00B63121">
        <w:rPr>
          <w:b/>
          <w:bCs/>
        </w:rPr>
        <w:t>Vyplývá to</w:t>
      </w:r>
      <w:r w:rsidR="00B63121">
        <w:rPr>
          <w:b/>
          <w:bCs/>
        </w:rPr>
        <w:t xml:space="preserve"> </w:t>
      </w:r>
      <w:r w:rsidR="008D4B0B" w:rsidRPr="00B63121">
        <w:rPr>
          <w:b/>
          <w:bCs/>
        </w:rPr>
        <w:t xml:space="preserve">ze Studie developerských společností </w:t>
      </w:r>
      <w:r w:rsidR="002632BD">
        <w:rPr>
          <w:b/>
          <w:bCs/>
        </w:rPr>
        <w:t>H2/</w:t>
      </w:r>
      <w:r w:rsidR="008D4B0B" w:rsidRPr="00B63121">
        <w:rPr>
          <w:b/>
          <w:bCs/>
        </w:rPr>
        <w:t>2023 zpracované analytickou společností CEEC Research.</w:t>
      </w:r>
    </w:p>
    <w:p w14:paraId="4434A7EA" w14:textId="2A76CD1F" w:rsidR="001E6E96" w:rsidRDefault="001E6E96" w:rsidP="00610CA8">
      <w:pPr>
        <w:spacing w:line="288" w:lineRule="auto"/>
        <w:jc w:val="both"/>
      </w:pPr>
      <w:r>
        <w:t xml:space="preserve">Vysoké úrokové sazby hypoték jsou v letošním roce hlavní příčinou zmražení poptávky po vlastnickém bydlení. </w:t>
      </w:r>
      <w:r w:rsidRPr="001E6E96">
        <w:t>Příští rok se</w:t>
      </w:r>
      <w:r>
        <w:t xml:space="preserve"> </w:t>
      </w:r>
      <w:r w:rsidRPr="001E6E96">
        <w:t xml:space="preserve">očekává </w:t>
      </w:r>
      <w:r>
        <w:t xml:space="preserve">mírný </w:t>
      </w:r>
      <w:r w:rsidRPr="001E6E96">
        <w:t xml:space="preserve">pokles </w:t>
      </w:r>
      <w:r w:rsidR="0024721F">
        <w:t xml:space="preserve">naopak na nabídkové straně nemovitostí, konkrétně u </w:t>
      </w:r>
      <w:r w:rsidRPr="001E6E96">
        <w:t xml:space="preserve">nabídky </w:t>
      </w:r>
      <w:r>
        <w:t>nov</w:t>
      </w:r>
      <w:r w:rsidR="0024721F">
        <w:t>ého bydlení</w:t>
      </w:r>
      <w:r>
        <w:t xml:space="preserve"> </w:t>
      </w:r>
      <w:r w:rsidRPr="001E6E96">
        <w:t xml:space="preserve">o 0,9 %, což je dáno faktem, že </w:t>
      </w:r>
      <w:r>
        <w:t>se nesta</w:t>
      </w:r>
      <w:r w:rsidR="0024721F">
        <w:t>rtuje</w:t>
      </w:r>
      <w:r w:rsidRPr="001E6E96">
        <w:t xml:space="preserve"> dostatečný počet projektů rezidenčního bydlení</w:t>
      </w:r>
      <w:r>
        <w:t xml:space="preserve"> ze strany developerů. </w:t>
      </w:r>
      <w:r w:rsidRPr="0024721F">
        <w:rPr>
          <w:i/>
          <w:iCs/>
        </w:rPr>
        <w:t>„Dokud výrazně neklesnou ceny stavebních dodávek, bude nadále docházet k odkládání nových projektů,</w:t>
      </w:r>
      <w:r>
        <w:t xml:space="preserve">“ </w:t>
      </w:r>
      <w:r w:rsidR="0024721F">
        <w:t>argumentuje</w:t>
      </w:r>
      <w:r>
        <w:t xml:space="preserve"> </w:t>
      </w:r>
      <w:r w:rsidRPr="0024721F">
        <w:rPr>
          <w:b/>
          <w:bCs/>
        </w:rPr>
        <w:t>Dušan Kunovský, předseda představenstva Central Group</w:t>
      </w:r>
      <w:r>
        <w:t xml:space="preserve">. Pro jinou část developerů je hlavním důvodem </w:t>
      </w:r>
      <w:r w:rsidR="0024721F">
        <w:t xml:space="preserve">zase </w:t>
      </w:r>
      <w:r>
        <w:t>drahé externí financování projektů</w:t>
      </w:r>
      <w:r w:rsidR="0024721F">
        <w:t>, jak vyplývá z analýzy.</w:t>
      </w:r>
    </w:p>
    <w:p w14:paraId="50ECE9D5" w14:textId="77777777" w:rsidR="0024721F" w:rsidRDefault="00610CA8" w:rsidP="00610CA8">
      <w:pPr>
        <w:spacing w:line="288" w:lineRule="auto"/>
        <w:jc w:val="both"/>
      </w:pPr>
      <w:r>
        <w:t>Zdroje financování developerských projektů jsou klíčovým</w:t>
      </w:r>
      <w:r w:rsidR="00B63121">
        <w:t xml:space="preserve"> </w:t>
      </w:r>
      <w:r>
        <w:t>prvkem úspěšné realizace těchto projektů v</w:t>
      </w:r>
      <w:r w:rsidR="00B63121">
        <w:t> </w:t>
      </w:r>
      <w:r>
        <w:t>oblasti</w:t>
      </w:r>
      <w:r w:rsidR="00B63121">
        <w:t xml:space="preserve"> </w:t>
      </w:r>
      <w:r>
        <w:t xml:space="preserve">nemovitostí. Nejčastějším cizím </w:t>
      </w:r>
      <w:r w:rsidR="007F4EFF">
        <w:t xml:space="preserve">finančním </w:t>
      </w:r>
      <w:r>
        <w:t>zdrojem jsou pro</w:t>
      </w:r>
      <w:r w:rsidR="00B63121">
        <w:t xml:space="preserve"> </w:t>
      </w:r>
      <w:r>
        <w:t>developerské společnosti bankovní úvěry (74 %).</w:t>
      </w:r>
      <w:r w:rsidR="00B63121">
        <w:t xml:space="preserve"> </w:t>
      </w:r>
      <w:r>
        <w:t>Tyto úvěry jsou obvykle zajištěny samotnými nemovitostmi,</w:t>
      </w:r>
      <w:r w:rsidR="00B63121">
        <w:t xml:space="preserve"> </w:t>
      </w:r>
      <w:r>
        <w:t>které jsou předmětem projektu. Dalším významným</w:t>
      </w:r>
      <w:r w:rsidR="00B63121">
        <w:t xml:space="preserve"> </w:t>
      </w:r>
      <w:r>
        <w:t>způsobem financování jsou soukrom</w:t>
      </w:r>
      <w:r w:rsidR="00F41FC7">
        <w:t>í</w:t>
      </w:r>
      <w:r>
        <w:t xml:space="preserve"> </w:t>
      </w:r>
      <w:r w:rsidR="00F41FC7">
        <w:t>investoři</w:t>
      </w:r>
      <w:r>
        <w:t xml:space="preserve"> (60 %), které</w:t>
      </w:r>
      <w:r w:rsidR="00B63121">
        <w:t xml:space="preserve"> </w:t>
      </w:r>
      <w:r>
        <w:t>jsou ochotny poskytnout kapitál pro konkrétní projekty</w:t>
      </w:r>
      <w:r w:rsidR="00B63121">
        <w:t xml:space="preserve"> </w:t>
      </w:r>
      <w:r>
        <w:t xml:space="preserve">developerských společností. </w:t>
      </w:r>
    </w:p>
    <w:p w14:paraId="6A25A66D" w14:textId="6BE3FCB8" w:rsidR="0024721F" w:rsidRDefault="0024721F" w:rsidP="00610CA8">
      <w:pPr>
        <w:spacing w:line="288" w:lineRule="auto"/>
        <w:jc w:val="both"/>
      </w:pPr>
      <w:r>
        <w:rPr>
          <w:noProof/>
        </w:rPr>
        <w:drawing>
          <wp:inline distT="0" distB="0" distL="0" distR="0" wp14:anchorId="2463098B" wp14:editId="3E22AECA">
            <wp:extent cx="4865474" cy="3333750"/>
            <wp:effectExtent l="0" t="0" r="0" b="0"/>
            <wp:docPr id="1187296507" name="Obrázek 1"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296507" name="Obrázek 1" descr="Obsah obrázku text, snímek obrazovky, Písmo, číslo&#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4891900" cy="3351856"/>
                    </a:xfrm>
                    <a:prstGeom prst="rect">
                      <a:avLst/>
                    </a:prstGeom>
                  </pic:spPr>
                </pic:pic>
              </a:graphicData>
            </a:graphic>
          </wp:inline>
        </w:drawing>
      </w:r>
    </w:p>
    <w:p w14:paraId="273E0B33" w14:textId="2BD37469" w:rsidR="00610CA8" w:rsidRDefault="00610CA8" w:rsidP="00610CA8">
      <w:pPr>
        <w:spacing w:line="288" w:lineRule="auto"/>
        <w:jc w:val="both"/>
      </w:pPr>
      <w:r>
        <w:lastRenderedPageBreak/>
        <w:t xml:space="preserve">Investiční fondy (14 %) jsou finančním zdrojem </w:t>
      </w:r>
      <w:r w:rsidR="007F4EFF">
        <w:t xml:space="preserve">spíše u </w:t>
      </w:r>
      <w:r>
        <w:t>developerských projektů</w:t>
      </w:r>
      <w:r w:rsidR="007F4EFF">
        <w:t xml:space="preserve"> </w:t>
      </w:r>
      <w:r>
        <w:t xml:space="preserve">většího rozsahu. </w:t>
      </w:r>
      <w:r w:rsidR="007F4EFF">
        <w:t xml:space="preserve">Řada </w:t>
      </w:r>
      <w:r>
        <w:t>fond</w:t>
      </w:r>
      <w:r w:rsidR="007F4EFF">
        <w:t>ů</w:t>
      </w:r>
      <w:r>
        <w:t xml:space="preserve"> se specializuj</w:t>
      </w:r>
      <w:r w:rsidR="007F4EFF">
        <w:t>e</w:t>
      </w:r>
      <w:r>
        <w:t xml:space="preserve"> na nemovitostní</w:t>
      </w:r>
      <w:r w:rsidR="00B63121">
        <w:t xml:space="preserve"> </w:t>
      </w:r>
      <w:r>
        <w:t>trh a poskytuj</w:t>
      </w:r>
      <w:r w:rsidR="007F4EFF">
        <w:t>e</w:t>
      </w:r>
      <w:r>
        <w:t xml:space="preserve"> finanční prostředky pro projekty, které</w:t>
      </w:r>
      <w:r w:rsidR="00B63121">
        <w:t xml:space="preserve"> </w:t>
      </w:r>
      <w:r>
        <w:t xml:space="preserve">splňují jejich investiční kritéria. </w:t>
      </w:r>
      <w:r w:rsidR="007F4EFF">
        <w:t xml:space="preserve">Vlastní zdroje do projektu vkládají developeři v 83 % případů. </w:t>
      </w:r>
      <w:r>
        <w:t>Při</w:t>
      </w:r>
      <w:r w:rsidR="00B63121">
        <w:t xml:space="preserve"> </w:t>
      </w:r>
      <w:r>
        <w:t xml:space="preserve">financování projektu se </w:t>
      </w:r>
      <w:r w:rsidR="007F4EFF">
        <w:t>obvykle</w:t>
      </w:r>
      <w:r>
        <w:t xml:space="preserve"> využívá kombinací </w:t>
      </w:r>
      <w:r w:rsidR="00F11EC9">
        <w:t xml:space="preserve">dvou i více </w:t>
      </w:r>
      <w:r w:rsidR="0023725C">
        <w:t>z</w:t>
      </w:r>
      <w:r w:rsidR="00660D5A">
        <w:t xml:space="preserve"> uvedených </w:t>
      </w:r>
      <w:r>
        <w:t>možností.</w:t>
      </w:r>
    </w:p>
    <w:p w14:paraId="7CCD11AC" w14:textId="0A1B0F0B" w:rsidR="007F4EFF" w:rsidRDefault="007F4EFF" w:rsidP="007F4EFF">
      <w:pPr>
        <w:spacing w:line="288" w:lineRule="auto"/>
        <w:jc w:val="both"/>
      </w:pPr>
      <w:r>
        <w:t>„</w:t>
      </w:r>
      <w:r w:rsidR="00803C50">
        <w:rPr>
          <w:i/>
          <w:iCs/>
        </w:rPr>
        <w:t>B</w:t>
      </w:r>
      <w:r w:rsidRPr="007F4EFF">
        <w:rPr>
          <w:i/>
          <w:iCs/>
        </w:rPr>
        <w:t xml:space="preserve">ytová výstavba stojí na soukromých investorech. Přitom srovnejme jejich zisk s příjmem státu z bytové výstavby. Kdybychom sečetli náklady developerů, kteří museli všechno vymyslet, mobilizovat veškerý kapitál, zařídit výstavbu od přípravy území až po samotnou realizaci výstavby a marketingové náklady na doručení bytů občanům, tak jejich zisk je násobně menší než je příjem státu ve formě daní a odvodů. </w:t>
      </w:r>
      <w:r w:rsidR="00803C50">
        <w:rPr>
          <w:i/>
          <w:iCs/>
        </w:rPr>
        <w:t>Proto i z</w:t>
      </w:r>
      <w:r w:rsidRPr="007F4EFF">
        <w:rPr>
          <w:i/>
          <w:iCs/>
        </w:rPr>
        <w:t xml:space="preserve"> hlediska státního rozpočtu je zájem státu stavět a státní orgány by měly přehodnotit některé zbytečné regulace, které výstavbě překážejí</w:t>
      </w:r>
      <w:r>
        <w:t xml:space="preserve">,“ říká </w:t>
      </w:r>
      <w:r w:rsidRPr="007F4EFF">
        <w:rPr>
          <w:b/>
          <w:bCs/>
        </w:rPr>
        <w:t>Štěpán Křeček, ekonomický poradce premiéra ČR a</w:t>
      </w:r>
      <w:r w:rsidR="0023725C">
        <w:rPr>
          <w:b/>
          <w:bCs/>
        </w:rPr>
        <w:t> </w:t>
      </w:r>
      <w:r w:rsidRPr="007F4EFF">
        <w:rPr>
          <w:b/>
          <w:bCs/>
        </w:rPr>
        <w:t>hlavní ekonom společnosti BH Securities</w:t>
      </w:r>
      <w:r>
        <w:t>.</w:t>
      </w:r>
    </w:p>
    <w:p w14:paraId="7EF481E8" w14:textId="2C9A9B96" w:rsidR="00784102" w:rsidRDefault="00803C50" w:rsidP="00784102">
      <w:pPr>
        <w:spacing w:line="288" w:lineRule="auto"/>
        <w:jc w:val="both"/>
      </w:pPr>
      <w:r>
        <w:t>Největší obtíž</w:t>
      </w:r>
      <w:r w:rsidR="00784102">
        <w:t xml:space="preserve">í </w:t>
      </w:r>
      <w:r>
        <w:t xml:space="preserve">v oblasti financování bytové výstavby </w:t>
      </w:r>
      <w:r w:rsidR="00784102">
        <w:t xml:space="preserve">jsou </w:t>
      </w:r>
      <w:r>
        <w:t xml:space="preserve">pro mnoho developerských společností aktuální </w:t>
      </w:r>
      <w:r w:rsidR="00784102">
        <w:t>vysoké úrokové sazby</w:t>
      </w:r>
      <w:r>
        <w:t xml:space="preserve">, jak tvrdí </w:t>
      </w:r>
      <w:r w:rsidR="00784102">
        <w:t>59 %</w:t>
      </w:r>
      <w:r>
        <w:t xml:space="preserve"> respondentů</w:t>
      </w:r>
      <w:r w:rsidR="00784102">
        <w:t xml:space="preserve">. </w:t>
      </w:r>
      <w:r>
        <w:t>Menší část developerů (16 %) trápí o</w:t>
      </w:r>
      <w:r w:rsidR="00784102">
        <w:t xml:space="preserve">btížnost </w:t>
      </w:r>
      <w:r>
        <w:t xml:space="preserve">samotného </w:t>
      </w:r>
      <w:r w:rsidR="00784102">
        <w:t xml:space="preserve">získání úvěru, </w:t>
      </w:r>
      <w:r w:rsidR="00EC0750">
        <w:t xml:space="preserve">neboť </w:t>
      </w:r>
      <w:r w:rsidR="00784102">
        <w:t>musí splňovat mnohé podmínky, například potřebuj</w:t>
      </w:r>
      <w:r>
        <w:t>í</w:t>
      </w:r>
      <w:r w:rsidR="00784102">
        <w:t xml:space="preserve"> zprávu nezávislého bankovního monitoringu o projektu nebo smluvně zavázané klienty. Dalším problémem při získávání financí na projekt je nalézt vhodného investora či investiční skupinu (16 %), která bude ochotna </w:t>
      </w:r>
      <w:r w:rsidR="00392FB6">
        <w:t xml:space="preserve">vložit </w:t>
      </w:r>
      <w:r w:rsidR="00784102">
        <w:t>potřebný kapitál. Navíc se developerské projekty často potýkají s</w:t>
      </w:r>
      <w:r w:rsidR="000D2C82">
        <w:t> </w:t>
      </w:r>
      <w:r w:rsidR="00784102">
        <w:t>nepředvídatelnými situacemi, jako jsou změny v regulačním prostředí, náročné stavební procesy či nestabilní trh nemovitostí. Tyto faktory mohou způsobit časové a finanční prodlení, což zvyšuje náklady projektu a</w:t>
      </w:r>
      <w:r w:rsidR="0071588F">
        <w:t> </w:t>
      </w:r>
      <w:r w:rsidR="00784102">
        <w:t>komplikuje získávání finan</w:t>
      </w:r>
      <w:r>
        <w:t>cování</w:t>
      </w:r>
      <w:r w:rsidR="00784102">
        <w:t>.</w:t>
      </w:r>
    </w:p>
    <w:p w14:paraId="3F152D58" w14:textId="006B5165" w:rsidR="0099649B" w:rsidRPr="004A1590" w:rsidRDefault="00803C50" w:rsidP="0099649B">
      <w:pPr>
        <w:spacing w:line="288" w:lineRule="auto"/>
        <w:jc w:val="both"/>
      </w:pPr>
      <w:r>
        <w:t>Většina developerských společností nemá se získáním kapitál</w:t>
      </w:r>
      <w:r w:rsidR="00E7585B">
        <w:t>u</w:t>
      </w:r>
      <w:r w:rsidR="00E7585B" w:rsidRPr="00E7585B">
        <w:t xml:space="preserve"> </w:t>
      </w:r>
      <w:r w:rsidR="00E7585B">
        <w:t>problémy</w:t>
      </w:r>
      <w:r>
        <w:t>. „</w:t>
      </w:r>
      <w:r w:rsidR="00784102" w:rsidRPr="0099649B">
        <w:rPr>
          <w:i/>
          <w:iCs/>
        </w:rPr>
        <w:t xml:space="preserve">Některé developerské společnosti dokážou získat potřebné finanční prostředky </w:t>
      </w:r>
      <w:r w:rsidR="0099649B" w:rsidRPr="0099649B">
        <w:rPr>
          <w:i/>
          <w:iCs/>
        </w:rPr>
        <w:t xml:space="preserve">díky svému postavení na trhu </w:t>
      </w:r>
      <w:r w:rsidR="00784102" w:rsidRPr="0099649B">
        <w:rPr>
          <w:i/>
          <w:iCs/>
        </w:rPr>
        <w:t>relativně snadno. Jejich projekty jsou atraktivní, zajímavé pro investory a většinou se pohybují v oblasti s</w:t>
      </w:r>
      <w:r w:rsidR="0099649B" w:rsidRPr="0099649B">
        <w:rPr>
          <w:i/>
          <w:iCs/>
        </w:rPr>
        <w:t xml:space="preserve"> dlouhodobě </w:t>
      </w:r>
      <w:r w:rsidR="00784102" w:rsidRPr="0099649B">
        <w:rPr>
          <w:i/>
          <w:iCs/>
        </w:rPr>
        <w:t>velkým tržním potenciálem. Tito developeři mají většinou dobře vytvořené obchodní plány, což jim umožní rychlé zabezpečení potřebného kapitálu</w:t>
      </w:r>
      <w:r w:rsidR="0099649B" w:rsidRPr="008D4B0B">
        <w:t xml:space="preserve">,“ </w:t>
      </w:r>
      <w:r w:rsidR="0099649B" w:rsidRPr="008D4B0B">
        <w:rPr>
          <w:rFonts w:cstheme="minorHAnsi"/>
        </w:rPr>
        <w:t xml:space="preserve">vysvětluje </w:t>
      </w:r>
      <w:r w:rsidR="0099649B" w:rsidRPr="004A1590">
        <w:rPr>
          <w:rFonts w:cstheme="minorHAnsi"/>
          <w:b/>
          <w:bCs/>
        </w:rPr>
        <w:t>Michal Vacek, výkonný ředitel CEEC Research</w:t>
      </w:r>
      <w:r w:rsidR="0099649B" w:rsidRPr="008D4B0B">
        <w:rPr>
          <w:rFonts w:cstheme="minorHAnsi"/>
        </w:rPr>
        <w:t>.</w:t>
      </w:r>
    </w:p>
    <w:p w14:paraId="1324FDC1" w14:textId="6F00A088" w:rsidR="0099649B" w:rsidRDefault="0099649B" w:rsidP="0099649B">
      <w:pPr>
        <w:spacing w:line="288" w:lineRule="auto"/>
        <w:jc w:val="both"/>
      </w:pPr>
      <w:r>
        <w:t>Pro úspěšné získání úvěru na developerský projekt je třeba projít sítem bankovního hodnocení. Banky kladou důraz na několik faktorů. Nejvýraznějším kritériem je podle dotázaných developerských společností hodnota zajištěné nemovitosti (66 %), historie úspěšných projektů nebo zkušeností developera (63 %), podklady o projektu a plánu výstavby a předpokládaný ziskový potenciál projektu (54 %). Dalšími kritérii jsou například schopnost splácet úvěr z generovaných příjmů nebo úroveň předprodejů či předpronájmů. V první řadě banka analyzuje stabilitu a předvídatelnost příjmů z</w:t>
      </w:r>
      <w:r w:rsidR="00952D61">
        <w:t> </w:t>
      </w:r>
      <w:r>
        <w:t xml:space="preserve">developerského projektu. To zahrnuje zhodnocení plánovaných prodejních výnosů, nájmů či jiných příjmů, které by mohly pokrýt splátky úvěru. Čím jasnější jsou tyto příjmy, tím větší má developer šanci na získání úvěru. Podle většiny dotázaných developerských společností (87 %) banka posuzuje schopnost developera splácet úvěr z generovaných příjmů. </w:t>
      </w:r>
    </w:p>
    <w:p w14:paraId="3237E066" w14:textId="2125A966" w:rsidR="00784102" w:rsidRDefault="00784102" w:rsidP="00784102">
      <w:pPr>
        <w:spacing w:line="288" w:lineRule="auto"/>
        <w:jc w:val="both"/>
      </w:pPr>
      <w:r w:rsidRPr="00784102">
        <w:rPr>
          <w:i/>
          <w:iCs/>
        </w:rPr>
        <w:t xml:space="preserve">„Podmínky pro financování projektů se bezesporu zpřísnily. Banky jsou opatrné jak z hlediska vlastních zdrojů v projektu, tak z hlediska předprodejů. Banky se také více zajímají o spolehlivost generálního dodavatele stavby. O kvalitní projekty je mezi bankami ale nadále zájem a jistota stabilního </w:t>
      </w:r>
      <w:r w:rsidRPr="00784102">
        <w:rPr>
          <w:i/>
          <w:iCs/>
        </w:rPr>
        <w:lastRenderedPageBreak/>
        <w:t>a</w:t>
      </w:r>
      <w:r w:rsidR="00A342DA">
        <w:rPr>
          <w:i/>
          <w:iCs/>
        </w:rPr>
        <w:t> </w:t>
      </w:r>
      <w:r w:rsidRPr="00784102">
        <w:rPr>
          <w:i/>
          <w:iCs/>
        </w:rPr>
        <w:t>zkušeného developera je pro řadu finančních institucí zárukou nízké rizikovosti projektu,“</w:t>
      </w:r>
      <w:r>
        <w:t xml:space="preserve"> říká </w:t>
      </w:r>
      <w:r w:rsidRPr="00784102">
        <w:rPr>
          <w:b/>
          <w:bCs/>
        </w:rPr>
        <w:t>František Šudřich, výkonný ředitel developerské společnosti Impera Styl</w:t>
      </w:r>
      <w:r>
        <w:t>.</w:t>
      </w:r>
    </w:p>
    <w:p w14:paraId="4DECD0B0" w14:textId="1F712FF6" w:rsidR="00610CA8" w:rsidRDefault="0099649B" w:rsidP="00610CA8">
      <w:pPr>
        <w:spacing w:line="288" w:lineRule="auto"/>
        <w:jc w:val="both"/>
      </w:pPr>
      <w:r>
        <w:t xml:space="preserve">Současně se v rozhovorech s dotazovanými developery opakuje, že </w:t>
      </w:r>
      <w:r w:rsidR="00610CA8">
        <w:t xml:space="preserve">bankovní kritéria pro poskytnutí úvěru na developerské projekty </w:t>
      </w:r>
      <w:r>
        <w:t xml:space="preserve">jsou podle jejich názoru </w:t>
      </w:r>
      <w:r w:rsidR="00610CA8">
        <w:t>zbytečně složitá. Pro zjednodušení</w:t>
      </w:r>
      <w:r w:rsidR="007F4EFF">
        <w:t xml:space="preserve"> </w:t>
      </w:r>
      <w:r w:rsidR="00610CA8">
        <w:t>jsou dvě třetiny dotázaných developerských společností (68 %). Zbylá jedna třetina dotázaných (32 %) si myslí, že bankovní</w:t>
      </w:r>
      <w:r w:rsidR="007F4EFF">
        <w:t xml:space="preserve"> </w:t>
      </w:r>
      <w:r w:rsidR="00610CA8">
        <w:t>kritéria pro získání úvěru na developerské projekty není potřeba zjednodušit.</w:t>
      </w:r>
    </w:p>
    <w:p w14:paraId="6E2BD1B1" w14:textId="0AA63F8C" w:rsidR="005D7450" w:rsidRDefault="00F34C9F" w:rsidP="00B32E5B">
      <w:pPr>
        <w:spacing w:line="288" w:lineRule="auto"/>
        <w:jc w:val="both"/>
        <w:rPr>
          <w:color w:val="000000"/>
        </w:rPr>
      </w:pPr>
      <w:r>
        <w:rPr>
          <w:color w:val="000000"/>
        </w:rPr>
        <w:t>Údaje vychází z</w:t>
      </w:r>
      <w:r w:rsidR="00095DF1">
        <w:rPr>
          <w:color w:val="000000"/>
        </w:rPr>
        <w:t>e </w:t>
      </w:r>
      <w:r w:rsidR="00095DF1">
        <w:rPr>
          <w:b/>
          <w:color w:val="000000"/>
        </w:rPr>
        <w:t xml:space="preserve">Studie developerských společností </w:t>
      </w:r>
      <w:r w:rsidR="002632BD">
        <w:rPr>
          <w:b/>
          <w:color w:val="000000"/>
        </w:rPr>
        <w:t>H2/</w:t>
      </w:r>
      <w:r>
        <w:rPr>
          <w:b/>
          <w:color w:val="000000"/>
        </w:rPr>
        <w:t>2023</w:t>
      </w:r>
      <w:r>
        <w:rPr>
          <w:color w:val="000000"/>
        </w:rPr>
        <w:t xml:space="preserve"> </w:t>
      </w:r>
      <w:r>
        <w:t>zpracované analytickou společností CEEC Research</w:t>
      </w:r>
      <w:r w:rsidR="00095DF1">
        <w:t>, kter</w:t>
      </w:r>
      <w:r w:rsidR="003A72EC">
        <w:t>á je</w:t>
      </w:r>
      <w:r w:rsidR="00095DF1">
        <w:rPr>
          <w:color w:val="000000"/>
        </w:rPr>
        <w:t xml:space="preserve"> v plném znění</w:t>
      </w:r>
      <w:r>
        <w:rPr>
          <w:color w:val="000000"/>
        </w:rPr>
        <w:t xml:space="preserve"> zveřejněna</w:t>
      </w:r>
      <w:r w:rsidR="00095DF1">
        <w:rPr>
          <w:color w:val="000000"/>
        </w:rPr>
        <w:t xml:space="preserve"> </w:t>
      </w:r>
      <w:r>
        <w:rPr>
          <w:color w:val="000000"/>
        </w:rPr>
        <w:t xml:space="preserve">na </w:t>
      </w:r>
      <w:hyperlink r:id="rId7">
        <w:r>
          <w:rPr>
            <w:color w:val="0563C1"/>
            <w:u w:val="single"/>
          </w:rPr>
          <w:t>www.ceec.eu</w:t>
        </w:r>
      </w:hyperlink>
      <w:r>
        <w:rPr>
          <w:color w:val="000000"/>
        </w:rPr>
        <w:t>.</w:t>
      </w:r>
    </w:p>
    <w:p w14:paraId="1B82CC10" w14:textId="77777777" w:rsidR="005D7450" w:rsidRPr="005D7450" w:rsidRDefault="005D7450" w:rsidP="00B32E5B">
      <w:pPr>
        <w:spacing w:line="288" w:lineRule="auto"/>
        <w:jc w:val="both"/>
        <w:rPr>
          <w:color w:val="000000"/>
        </w:rPr>
      </w:pPr>
    </w:p>
    <w:p w14:paraId="53C690D1" w14:textId="77777777" w:rsidR="00F34C9F" w:rsidRDefault="00F34C9F" w:rsidP="00B32E5B">
      <w:pPr>
        <w:pBdr>
          <w:top w:val="nil"/>
          <w:left w:val="nil"/>
          <w:bottom w:val="nil"/>
          <w:right w:val="nil"/>
          <w:between w:val="nil"/>
        </w:pBdr>
        <w:spacing w:before="240" w:after="240" w:line="288" w:lineRule="auto"/>
        <w:rPr>
          <w:color w:val="000000"/>
        </w:rPr>
      </w:pPr>
      <w:r>
        <w:rPr>
          <w:b/>
          <w:color w:val="000000"/>
        </w:rPr>
        <w:t>Kontakt pro média:</w:t>
      </w:r>
      <w:r>
        <w:rPr>
          <w:b/>
          <w:color w:val="000000"/>
        </w:rPr>
        <w:br/>
      </w:r>
      <w:r>
        <w:rPr>
          <w:color w:val="000000"/>
        </w:rPr>
        <w:t xml:space="preserve">Ing. Petr Ondrášek, senior konzultant CEEC Research </w:t>
      </w:r>
      <w:r>
        <w:rPr>
          <w:color w:val="000000"/>
        </w:rPr>
        <w:br/>
        <w:t xml:space="preserve">(+420) 602 303 990, </w:t>
      </w:r>
      <w:hyperlink r:id="rId8">
        <w:r>
          <w:rPr>
            <w:color w:val="0563C1"/>
            <w:u w:val="single"/>
          </w:rPr>
          <w:t>ondrasek@ceec.eu</w:t>
        </w:r>
      </w:hyperlink>
      <w:r>
        <w:rPr>
          <w:color w:val="1155CC"/>
          <w:u w:val="single"/>
        </w:rPr>
        <w:t xml:space="preserve"> </w:t>
      </w:r>
    </w:p>
    <w:p w14:paraId="03AE8F06" w14:textId="77777777" w:rsidR="00F34C9F" w:rsidRDefault="00F34C9F" w:rsidP="00B32E5B">
      <w:pPr>
        <w:pBdr>
          <w:top w:val="nil"/>
          <w:left w:val="nil"/>
          <w:bottom w:val="nil"/>
          <w:right w:val="nil"/>
          <w:between w:val="nil"/>
        </w:pBdr>
        <w:spacing w:after="0" w:line="288" w:lineRule="auto"/>
        <w:jc w:val="both"/>
        <w:rPr>
          <w:color w:val="000000"/>
        </w:rPr>
      </w:pPr>
      <w:r>
        <w:rPr>
          <w:color w:val="000000"/>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stavebnictví, následně se analytické zaměření rozšířilo i na další vybrané sektory ekonomiky.</w:t>
      </w:r>
    </w:p>
    <w:sectPr w:rsidR="00F34C9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CCCB" w14:textId="77777777" w:rsidR="000A61E4" w:rsidRDefault="000A61E4" w:rsidP="003E0618">
      <w:pPr>
        <w:spacing w:after="0" w:line="240" w:lineRule="auto"/>
      </w:pPr>
      <w:r>
        <w:separator/>
      </w:r>
    </w:p>
  </w:endnote>
  <w:endnote w:type="continuationSeparator" w:id="0">
    <w:p w14:paraId="5B85AC65" w14:textId="77777777" w:rsidR="000A61E4" w:rsidRDefault="000A61E4" w:rsidP="003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C3F7" w14:textId="77777777" w:rsidR="000A61E4" w:rsidRDefault="000A61E4" w:rsidP="003E0618">
      <w:pPr>
        <w:spacing w:after="0" w:line="240" w:lineRule="auto"/>
      </w:pPr>
      <w:r>
        <w:separator/>
      </w:r>
    </w:p>
  </w:footnote>
  <w:footnote w:type="continuationSeparator" w:id="0">
    <w:p w14:paraId="603AB01D" w14:textId="77777777" w:rsidR="000A61E4" w:rsidRDefault="000A61E4" w:rsidP="003E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26A" w14:textId="55C61FEB" w:rsidR="003E0618" w:rsidRDefault="003E0618">
    <w:pPr>
      <w:pStyle w:val="Zhlav"/>
    </w:pPr>
    <w:r>
      <w:rPr>
        <w:noProof/>
      </w:rPr>
      <w:drawing>
        <wp:anchor distT="0" distB="0" distL="114300" distR="114300" simplePos="0" relativeHeight="251659264" behindDoc="0" locked="0" layoutInCell="1" allowOverlap="1" wp14:anchorId="2CC36F09" wp14:editId="1EC43807">
          <wp:simplePos x="0" y="0"/>
          <wp:positionH relativeFrom="margin">
            <wp:posOffset>-4445</wp:posOffset>
          </wp:positionH>
          <wp:positionV relativeFrom="paragraph">
            <wp:posOffset>-382905</wp:posOffset>
          </wp:positionV>
          <wp:extent cx="1885950" cy="1012190"/>
          <wp:effectExtent l="0" t="0" r="0" b="0"/>
          <wp:wrapTopAndBottom/>
          <wp:docPr id="837303731" name="Obrázek 83730373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4"/>
    <w:rsid w:val="00000719"/>
    <w:rsid w:val="00000EF0"/>
    <w:rsid w:val="000073DF"/>
    <w:rsid w:val="00013280"/>
    <w:rsid w:val="00014D96"/>
    <w:rsid w:val="0001546E"/>
    <w:rsid w:val="000203B3"/>
    <w:rsid w:val="00022B1D"/>
    <w:rsid w:val="0003358D"/>
    <w:rsid w:val="0004515E"/>
    <w:rsid w:val="00050048"/>
    <w:rsid w:val="00061B21"/>
    <w:rsid w:val="00070BD8"/>
    <w:rsid w:val="00094AE8"/>
    <w:rsid w:val="00095DF1"/>
    <w:rsid w:val="000A23D3"/>
    <w:rsid w:val="000A3207"/>
    <w:rsid w:val="000A44DD"/>
    <w:rsid w:val="000A61E4"/>
    <w:rsid w:val="000C0FDC"/>
    <w:rsid w:val="000D2C82"/>
    <w:rsid w:val="000D6AB4"/>
    <w:rsid w:val="000E2E42"/>
    <w:rsid w:val="000E2F52"/>
    <w:rsid w:val="000F1515"/>
    <w:rsid w:val="001019D7"/>
    <w:rsid w:val="00113270"/>
    <w:rsid w:val="00121409"/>
    <w:rsid w:val="00131712"/>
    <w:rsid w:val="0015108E"/>
    <w:rsid w:val="0016119C"/>
    <w:rsid w:val="00170EAF"/>
    <w:rsid w:val="00171501"/>
    <w:rsid w:val="00172B53"/>
    <w:rsid w:val="001768A4"/>
    <w:rsid w:val="00182F82"/>
    <w:rsid w:val="0018568B"/>
    <w:rsid w:val="00186A14"/>
    <w:rsid w:val="001A1244"/>
    <w:rsid w:val="001C48B0"/>
    <w:rsid w:val="001C56F4"/>
    <w:rsid w:val="001E3DDD"/>
    <w:rsid w:val="001E6E96"/>
    <w:rsid w:val="001F3AEB"/>
    <w:rsid w:val="00203827"/>
    <w:rsid w:val="00211955"/>
    <w:rsid w:val="00221821"/>
    <w:rsid w:val="0023725C"/>
    <w:rsid w:val="002462CF"/>
    <w:rsid w:val="0024721F"/>
    <w:rsid w:val="002625AB"/>
    <w:rsid w:val="002632BD"/>
    <w:rsid w:val="002A2565"/>
    <w:rsid w:val="002A5166"/>
    <w:rsid w:val="002B6812"/>
    <w:rsid w:val="00302068"/>
    <w:rsid w:val="003151DA"/>
    <w:rsid w:val="00315909"/>
    <w:rsid w:val="00321457"/>
    <w:rsid w:val="003366B3"/>
    <w:rsid w:val="00341E23"/>
    <w:rsid w:val="00364FE1"/>
    <w:rsid w:val="00392FB6"/>
    <w:rsid w:val="003A72EC"/>
    <w:rsid w:val="003B7F79"/>
    <w:rsid w:val="003C3C06"/>
    <w:rsid w:val="003D68A7"/>
    <w:rsid w:val="003D694F"/>
    <w:rsid w:val="003E0618"/>
    <w:rsid w:val="004150A5"/>
    <w:rsid w:val="0041530B"/>
    <w:rsid w:val="00417531"/>
    <w:rsid w:val="004425BA"/>
    <w:rsid w:val="00444950"/>
    <w:rsid w:val="0045182F"/>
    <w:rsid w:val="00451ED7"/>
    <w:rsid w:val="00467E96"/>
    <w:rsid w:val="004A1590"/>
    <w:rsid w:val="004B4C89"/>
    <w:rsid w:val="004C5BF4"/>
    <w:rsid w:val="004D1C5A"/>
    <w:rsid w:val="004D20F6"/>
    <w:rsid w:val="004E300B"/>
    <w:rsid w:val="005013E9"/>
    <w:rsid w:val="005116ED"/>
    <w:rsid w:val="00544518"/>
    <w:rsid w:val="005461AF"/>
    <w:rsid w:val="00571615"/>
    <w:rsid w:val="0057197D"/>
    <w:rsid w:val="00584424"/>
    <w:rsid w:val="00585197"/>
    <w:rsid w:val="00596C51"/>
    <w:rsid w:val="005A1209"/>
    <w:rsid w:val="005D7450"/>
    <w:rsid w:val="006059EC"/>
    <w:rsid w:val="00610CA8"/>
    <w:rsid w:val="00631D5F"/>
    <w:rsid w:val="00632004"/>
    <w:rsid w:val="006460AD"/>
    <w:rsid w:val="0065261C"/>
    <w:rsid w:val="00657601"/>
    <w:rsid w:val="00660D5A"/>
    <w:rsid w:val="00665A92"/>
    <w:rsid w:val="006942AF"/>
    <w:rsid w:val="006A736E"/>
    <w:rsid w:val="006B6BC7"/>
    <w:rsid w:val="006C4CFB"/>
    <w:rsid w:val="006C5EC2"/>
    <w:rsid w:val="006E1F6C"/>
    <w:rsid w:val="007055DE"/>
    <w:rsid w:val="007066FC"/>
    <w:rsid w:val="0071588F"/>
    <w:rsid w:val="00730B0D"/>
    <w:rsid w:val="00733B16"/>
    <w:rsid w:val="007511A6"/>
    <w:rsid w:val="0075619C"/>
    <w:rsid w:val="00784102"/>
    <w:rsid w:val="0078628D"/>
    <w:rsid w:val="007C0AF5"/>
    <w:rsid w:val="007F4EFF"/>
    <w:rsid w:val="00803C50"/>
    <w:rsid w:val="00813413"/>
    <w:rsid w:val="00850CB1"/>
    <w:rsid w:val="00852F36"/>
    <w:rsid w:val="008544A0"/>
    <w:rsid w:val="008707CC"/>
    <w:rsid w:val="0088466F"/>
    <w:rsid w:val="008C2681"/>
    <w:rsid w:val="008D22BD"/>
    <w:rsid w:val="008D24CF"/>
    <w:rsid w:val="008D4B0B"/>
    <w:rsid w:val="00923F4E"/>
    <w:rsid w:val="00926BCF"/>
    <w:rsid w:val="00926ED7"/>
    <w:rsid w:val="009404B3"/>
    <w:rsid w:val="00952D61"/>
    <w:rsid w:val="009757DB"/>
    <w:rsid w:val="0099649B"/>
    <w:rsid w:val="009A115D"/>
    <w:rsid w:val="009A7C61"/>
    <w:rsid w:val="009B72A4"/>
    <w:rsid w:val="009C09E6"/>
    <w:rsid w:val="009D2037"/>
    <w:rsid w:val="009D26ED"/>
    <w:rsid w:val="009D2FEF"/>
    <w:rsid w:val="009D485C"/>
    <w:rsid w:val="009E392A"/>
    <w:rsid w:val="009F02E6"/>
    <w:rsid w:val="009F75A7"/>
    <w:rsid w:val="00A061BA"/>
    <w:rsid w:val="00A2086C"/>
    <w:rsid w:val="00A31F68"/>
    <w:rsid w:val="00A342DA"/>
    <w:rsid w:val="00A6043D"/>
    <w:rsid w:val="00A67EE5"/>
    <w:rsid w:val="00A827EF"/>
    <w:rsid w:val="00A84146"/>
    <w:rsid w:val="00A85ABF"/>
    <w:rsid w:val="00AA6950"/>
    <w:rsid w:val="00AE0426"/>
    <w:rsid w:val="00AF084A"/>
    <w:rsid w:val="00AF6921"/>
    <w:rsid w:val="00B15D39"/>
    <w:rsid w:val="00B32E5B"/>
    <w:rsid w:val="00B53FEB"/>
    <w:rsid w:val="00B63121"/>
    <w:rsid w:val="00B7062C"/>
    <w:rsid w:val="00B94119"/>
    <w:rsid w:val="00BA10E1"/>
    <w:rsid w:val="00BA2008"/>
    <w:rsid w:val="00BA5061"/>
    <w:rsid w:val="00BC403E"/>
    <w:rsid w:val="00BE4AC8"/>
    <w:rsid w:val="00BE61DB"/>
    <w:rsid w:val="00BF74B3"/>
    <w:rsid w:val="00C04B46"/>
    <w:rsid w:val="00C12FA2"/>
    <w:rsid w:val="00C36A1A"/>
    <w:rsid w:val="00C53637"/>
    <w:rsid w:val="00C543BD"/>
    <w:rsid w:val="00C55CB6"/>
    <w:rsid w:val="00C723B6"/>
    <w:rsid w:val="00C90F60"/>
    <w:rsid w:val="00CA18D3"/>
    <w:rsid w:val="00CF251B"/>
    <w:rsid w:val="00CF54A8"/>
    <w:rsid w:val="00D06DEA"/>
    <w:rsid w:val="00D137FE"/>
    <w:rsid w:val="00D16AA7"/>
    <w:rsid w:val="00D347F3"/>
    <w:rsid w:val="00D76946"/>
    <w:rsid w:val="00DA2A5A"/>
    <w:rsid w:val="00DA5329"/>
    <w:rsid w:val="00DC1A23"/>
    <w:rsid w:val="00E01330"/>
    <w:rsid w:val="00E03566"/>
    <w:rsid w:val="00E060FE"/>
    <w:rsid w:val="00E206F6"/>
    <w:rsid w:val="00E34998"/>
    <w:rsid w:val="00E657AC"/>
    <w:rsid w:val="00E714A0"/>
    <w:rsid w:val="00E7585B"/>
    <w:rsid w:val="00EB3F1F"/>
    <w:rsid w:val="00EB5890"/>
    <w:rsid w:val="00EC0750"/>
    <w:rsid w:val="00EE3EDC"/>
    <w:rsid w:val="00F11782"/>
    <w:rsid w:val="00F11EC9"/>
    <w:rsid w:val="00F136B9"/>
    <w:rsid w:val="00F272AC"/>
    <w:rsid w:val="00F337BB"/>
    <w:rsid w:val="00F34454"/>
    <w:rsid w:val="00F344B5"/>
    <w:rsid w:val="00F34C9F"/>
    <w:rsid w:val="00F41F55"/>
    <w:rsid w:val="00F41FC7"/>
    <w:rsid w:val="00F53C70"/>
    <w:rsid w:val="00F61AEE"/>
    <w:rsid w:val="00F74990"/>
    <w:rsid w:val="00F76612"/>
    <w:rsid w:val="00F76FF6"/>
    <w:rsid w:val="00F90DD8"/>
    <w:rsid w:val="00FA657A"/>
    <w:rsid w:val="00FA7AE7"/>
    <w:rsid w:val="00FA7C92"/>
    <w:rsid w:val="00FB54E3"/>
    <w:rsid w:val="00FB7A5C"/>
    <w:rsid w:val="00FC4640"/>
    <w:rsid w:val="00FD1579"/>
    <w:rsid w:val="00FD7A63"/>
    <w:rsid w:val="00FE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6917"/>
  <w15:docId w15:val="{2669A002-87DB-48A3-B273-24075E7A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0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0618"/>
  </w:style>
  <w:style w:type="paragraph" w:styleId="Zpat">
    <w:name w:val="footer"/>
    <w:basedOn w:val="Normln"/>
    <w:link w:val="ZpatChar"/>
    <w:uiPriority w:val="99"/>
    <w:unhideWhenUsed/>
    <w:rsid w:val="003E0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E0618"/>
  </w:style>
  <w:style w:type="character" w:styleId="Hypertextovodkaz">
    <w:name w:val="Hyperlink"/>
    <w:basedOn w:val="Standardnpsmoodstavce"/>
    <w:uiPriority w:val="99"/>
    <w:unhideWhenUsed/>
    <w:rsid w:val="003E0618"/>
    <w:rPr>
      <w:color w:val="0563C1" w:themeColor="hyperlink"/>
      <w:u w:val="single"/>
    </w:rPr>
  </w:style>
  <w:style w:type="paragraph" w:styleId="Normlnweb">
    <w:name w:val="Normal (Web)"/>
    <w:basedOn w:val="Normln"/>
    <w:uiPriority w:val="99"/>
    <w:unhideWhenUsed/>
    <w:rsid w:val="00022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36A1A"/>
    <w:pPr>
      <w:spacing w:after="0" w:line="240" w:lineRule="auto"/>
    </w:pPr>
  </w:style>
  <w:style w:type="character" w:styleId="Zdraznn">
    <w:name w:val="Emphasis"/>
    <w:basedOn w:val="Standardnpsmoodstavce"/>
    <w:uiPriority w:val="20"/>
    <w:qFormat/>
    <w:rsid w:val="003C3C06"/>
    <w:rPr>
      <w:i/>
      <w:iCs/>
    </w:rPr>
  </w:style>
  <w:style w:type="character" w:styleId="Odkaznakoment">
    <w:name w:val="annotation reference"/>
    <w:basedOn w:val="Standardnpsmoodstavce"/>
    <w:uiPriority w:val="99"/>
    <w:semiHidden/>
    <w:unhideWhenUsed/>
    <w:rsid w:val="008544A0"/>
    <w:rPr>
      <w:sz w:val="16"/>
      <w:szCs w:val="16"/>
    </w:rPr>
  </w:style>
  <w:style w:type="paragraph" w:styleId="Textkomente">
    <w:name w:val="annotation text"/>
    <w:basedOn w:val="Normln"/>
    <w:link w:val="TextkomenteChar"/>
    <w:uiPriority w:val="99"/>
    <w:semiHidden/>
    <w:unhideWhenUsed/>
    <w:rsid w:val="008544A0"/>
    <w:pPr>
      <w:spacing w:line="240" w:lineRule="auto"/>
    </w:pPr>
    <w:rPr>
      <w:sz w:val="20"/>
      <w:szCs w:val="20"/>
    </w:rPr>
  </w:style>
  <w:style w:type="character" w:customStyle="1" w:styleId="TextkomenteChar">
    <w:name w:val="Text komentáře Char"/>
    <w:basedOn w:val="Standardnpsmoodstavce"/>
    <w:link w:val="Textkomente"/>
    <w:uiPriority w:val="99"/>
    <w:semiHidden/>
    <w:rsid w:val="008544A0"/>
    <w:rPr>
      <w:sz w:val="20"/>
      <w:szCs w:val="20"/>
    </w:rPr>
  </w:style>
  <w:style w:type="paragraph" w:styleId="Pedmtkomente">
    <w:name w:val="annotation subject"/>
    <w:basedOn w:val="Textkomente"/>
    <w:next w:val="Textkomente"/>
    <w:link w:val="PedmtkomenteChar"/>
    <w:uiPriority w:val="99"/>
    <w:semiHidden/>
    <w:unhideWhenUsed/>
    <w:rsid w:val="008544A0"/>
    <w:rPr>
      <w:b/>
      <w:bCs/>
    </w:rPr>
  </w:style>
  <w:style w:type="character" w:customStyle="1" w:styleId="PedmtkomenteChar">
    <w:name w:val="Předmět komentáře Char"/>
    <w:basedOn w:val="TextkomenteChar"/>
    <w:link w:val="Pedmtkomente"/>
    <w:uiPriority w:val="99"/>
    <w:semiHidden/>
    <w:rsid w:val="008544A0"/>
    <w:rPr>
      <w:b/>
      <w:bCs/>
      <w:sz w:val="20"/>
      <w:szCs w:val="20"/>
    </w:rPr>
  </w:style>
  <w:style w:type="character" w:styleId="Siln">
    <w:name w:val="Strong"/>
    <w:basedOn w:val="Standardnpsmoodstavce"/>
    <w:qFormat/>
    <w:rsid w:val="00095DF1"/>
    <w:rPr>
      <w:b/>
      <w:bCs/>
    </w:rPr>
  </w:style>
  <w:style w:type="paragraph" w:customStyle="1" w:styleId="xxmsonormal">
    <w:name w:val="x_xmsonormal"/>
    <w:basedOn w:val="Normln"/>
    <w:uiPriority w:val="99"/>
    <w:rsid w:val="00095DF1"/>
    <w:pPr>
      <w:spacing w:after="0" w:line="240" w:lineRule="auto"/>
    </w:pPr>
    <w:rPr>
      <w:rFonts w:ascii="Calibri" w:hAnsi="Calibri" w:cs="Calibri"/>
      <w:lang w:eastAsia="cs-CZ"/>
    </w:rPr>
  </w:style>
  <w:style w:type="character" w:styleId="Nevyeenzmnka">
    <w:name w:val="Unresolved Mention"/>
    <w:basedOn w:val="Standardnpsmoodstavce"/>
    <w:uiPriority w:val="99"/>
    <w:semiHidden/>
    <w:unhideWhenUsed/>
    <w:rsid w:val="0070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46">
      <w:bodyDiv w:val="1"/>
      <w:marLeft w:val="0"/>
      <w:marRight w:val="0"/>
      <w:marTop w:val="0"/>
      <w:marBottom w:val="0"/>
      <w:divBdr>
        <w:top w:val="none" w:sz="0" w:space="0" w:color="auto"/>
        <w:left w:val="none" w:sz="0" w:space="0" w:color="auto"/>
        <w:bottom w:val="none" w:sz="0" w:space="0" w:color="auto"/>
        <w:right w:val="none" w:sz="0" w:space="0" w:color="auto"/>
      </w:divBdr>
    </w:div>
    <w:div w:id="265695550">
      <w:bodyDiv w:val="1"/>
      <w:marLeft w:val="0"/>
      <w:marRight w:val="0"/>
      <w:marTop w:val="0"/>
      <w:marBottom w:val="0"/>
      <w:divBdr>
        <w:top w:val="none" w:sz="0" w:space="0" w:color="auto"/>
        <w:left w:val="none" w:sz="0" w:space="0" w:color="auto"/>
        <w:bottom w:val="none" w:sz="0" w:space="0" w:color="auto"/>
        <w:right w:val="none" w:sz="0" w:space="0" w:color="auto"/>
      </w:divBdr>
    </w:div>
    <w:div w:id="671639795">
      <w:bodyDiv w:val="1"/>
      <w:marLeft w:val="0"/>
      <w:marRight w:val="0"/>
      <w:marTop w:val="0"/>
      <w:marBottom w:val="0"/>
      <w:divBdr>
        <w:top w:val="none" w:sz="0" w:space="0" w:color="auto"/>
        <w:left w:val="none" w:sz="0" w:space="0" w:color="auto"/>
        <w:bottom w:val="none" w:sz="0" w:space="0" w:color="auto"/>
        <w:right w:val="none" w:sz="0" w:space="0" w:color="auto"/>
      </w:divBdr>
    </w:div>
    <w:div w:id="725881421">
      <w:bodyDiv w:val="1"/>
      <w:marLeft w:val="0"/>
      <w:marRight w:val="0"/>
      <w:marTop w:val="0"/>
      <w:marBottom w:val="0"/>
      <w:divBdr>
        <w:top w:val="none" w:sz="0" w:space="0" w:color="auto"/>
        <w:left w:val="none" w:sz="0" w:space="0" w:color="auto"/>
        <w:bottom w:val="none" w:sz="0" w:space="0" w:color="auto"/>
        <w:right w:val="none" w:sz="0" w:space="0" w:color="auto"/>
      </w:divBdr>
    </w:div>
    <w:div w:id="1207182625">
      <w:bodyDiv w:val="1"/>
      <w:marLeft w:val="0"/>
      <w:marRight w:val="0"/>
      <w:marTop w:val="0"/>
      <w:marBottom w:val="0"/>
      <w:divBdr>
        <w:top w:val="none" w:sz="0" w:space="0" w:color="auto"/>
        <w:left w:val="none" w:sz="0" w:space="0" w:color="auto"/>
        <w:bottom w:val="none" w:sz="0" w:space="0" w:color="auto"/>
        <w:right w:val="none" w:sz="0" w:space="0" w:color="auto"/>
      </w:divBdr>
    </w:div>
    <w:div w:id="1818960302">
      <w:bodyDiv w:val="1"/>
      <w:marLeft w:val="0"/>
      <w:marRight w:val="0"/>
      <w:marTop w:val="0"/>
      <w:marBottom w:val="0"/>
      <w:divBdr>
        <w:top w:val="none" w:sz="0" w:space="0" w:color="auto"/>
        <w:left w:val="none" w:sz="0" w:space="0" w:color="auto"/>
        <w:bottom w:val="none" w:sz="0" w:space="0" w:color="auto"/>
        <w:right w:val="none" w:sz="0" w:space="0" w:color="auto"/>
      </w:divBdr>
    </w:div>
    <w:div w:id="1990399655">
      <w:bodyDiv w:val="1"/>
      <w:marLeft w:val="0"/>
      <w:marRight w:val="0"/>
      <w:marTop w:val="0"/>
      <w:marBottom w:val="0"/>
      <w:divBdr>
        <w:top w:val="none" w:sz="0" w:space="0" w:color="auto"/>
        <w:left w:val="none" w:sz="0" w:space="0" w:color="auto"/>
        <w:bottom w:val="none" w:sz="0" w:space="0" w:color="auto"/>
        <w:right w:val="none" w:sz="0" w:space="0" w:color="auto"/>
      </w:divBdr>
    </w:div>
    <w:div w:id="2032142419">
      <w:bodyDiv w:val="1"/>
      <w:marLeft w:val="0"/>
      <w:marRight w:val="0"/>
      <w:marTop w:val="0"/>
      <w:marBottom w:val="0"/>
      <w:divBdr>
        <w:top w:val="none" w:sz="0" w:space="0" w:color="auto"/>
        <w:left w:val="none" w:sz="0" w:space="0" w:color="auto"/>
        <w:bottom w:val="none" w:sz="0" w:space="0" w:color="auto"/>
        <w:right w:val="none" w:sz="0" w:space="0" w:color="auto"/>
      </w:divBdr>
    </w:div>
    <w:div w:id="204151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asek@ceec.eu" TargetMode="External"/><Relationship Id="rId3" Type="http://schemas.openxmlformats.org/officeDocument/2006/relationships/webSettings" Target="webSettings.xml"/><Relationship Id="rId7" Type="http://schemas.openxmlformats.org/officeDocument/2006/relationships/hyperlink" Target="http://www.cee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Ondrášek</dc:creator>
  <cp:keywords/>
  <dc:description/>
  <cp:lastModifiedBy>Michal Vacek</cp:lastModifiedBy>
  <cp:revision>3</cp:revision>
  <dcterms:created xsi:type="dcterms:W3CDTF">2023-10-17T12:14:00Z</dcterms:created>
  <dcterms:modified xsi:type="dcterms:W3CDTF">2023-10-17T14:23:00Z</dcterms:modified>
</cp:coreProperties>
</file>