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4987" w14:textId="4150832B" w:rsidR="003A72EC" w:rsidRDefault="008D4B0B" w:rsidP="00B32E5B">
      <w:pPr>
        <w:pStyle w:val="Normlnweb"/>
        <w:spacing w:before="0" w:beforeAutospacing="0" w:after="160" w:afterAutospacing="0" w:line="288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N</w:t>
      </w:r>
      <w:r w:rsidR="003A72EC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abídka bydlení v příštím roce </w:t>
      </w: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mírně </w:t>
      </w:r>
      <w:r w:rsidR="003A72EC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klesne</w:t>
      </w: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o </w:t>
      </w:r>
      <w:r w:rsidR="00131712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–</w:t>
      </w: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0,9 %</w:t>
      </w:r>
      <w:r w:rsidR="00B15D39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, ceny zůstanou stabilní</w:t>
      </w:r>
    </w:p>
    <w:p w14:paraId="2AE49B46" w14:textId="4DD205FB" w:rsidR="008D4B0B" w:rsidRDefault="003A72EC" w:rsidP="00B32E5B">
      <w:pPr>
        <w:spacing w:line="288" w:lineRule="auto"/>
        <w:jc w:val="both"/>
        <w:rPr>
          <w:b/>
          <w:bCs/>
        </w:rPr>
      </w:pPr>
      <w:r>
        <w:rPr>
          <w:b/>
          <w:bCs/>
        </w:rPr>
        <w:t>12</w:t>
      </w:r>
      <w:r w:rsidR="0004515E" w:rsidRPr="004150A5">
        <w:rPr>
          <w:b/>
          <w:bCs/>
        </w:rPr>
        <w:t>. 10</w:t>
      </w:r>
      <w:r w:rsidR="00FA7AE7" w:rsidRPr="004150A5">
        <w:rPr>
          <w:b/>
          <w:bCs/>
        </w:rPr>
        <w:t xml:space="preserve">. 2023 </w:t>
      </w:r>
      <w:r w:rsidR="00C36A1A" w:rsidRPr="004150A5">
        <w:rPr>
          <w:b/>
          <w:bCs/>
        </w:rPr>
        <w:t>–</w:t>
      </w:r>
      <w:r>
        <w:rPr>
          <w:b/>
          <w:bCs/>
        </w:rPr>
        <w:t xml:space="preserve"> </w:t>
      </w:r>
      <w:r w:rsidR="008D4B0B" w:rsidRPr="008D4B0B">
        <w:rPr>
          <w:b/>
          <w:bCs/>
        </w:rPr>
        <w:t>Příští rok se očekává pokles nabídky nemovitostí</w:t>
      </w:r>
      <w:r w:rsidR="008D4B0B">
        <w:rPr>
          <w:b/>
          <w:bCs/>
        </w:rPr>
        <w:t xml:space="preserve"> </w:t>
      </w:r>
      <w:r w:rsidR="008D4B0B" w:rsidRPr="008D4B0B">
        <w:rPr>
          <w:b/>
          <w:bCs/>
        </w:rPr>
        <w:t>o 0,9 %, což je dáno především faktem, že v</w:t>
      </w:r>
      <w:r w:rsidR="008D4B0B">
        <w:rPr>
          <w:b/>
          <w:bCs/>
        </w:rPr>
        <w:t> </w:t>
      </w:r>
      <w:r w:rsidR="008D4B0B" w:rsidRPr="008D4B0B">
        <w:rPr>
          <w:b/>
          <w:bCs/>
        </w:rPr>
        <w:t>současnosti</w:t>
      </w:r>
      <w:r w:rsidR="008D4B0B">
        <w:rPr>
          <w:b/>
          <w:bCs/>
        </w:rPr>
        <w:t xml:space="preserve"> </w:t>
      </w:r>
      <w:r w:rsidR="008D4B0B" w:rsidRPr="008D4B0B">
        <w:rPr>
          <w:b/>
          <w:bCs/>
        </w:rPr>
        <w:t>nestartuje dostatečný počet projektů rezidenčního bydlení,</w:t>
      </w:r>
      <w:r w:rsidR="008D4B0B">
        <w:rPr>
          <w:b/>
          <w:bCs/>
        </w:rPr>
        <w:t xml:space="preserve"> </w:t>
      </w:r>
      <w:r w:rsidR="008D4B0B" w:rsidRPr="008D4B0B">
        <w:rPr>
          <w:b/>
          <w:bCs/>
        </w:rPr>
        <w:t>který by se pozitivně projevil v nabídce příštího roku. Velká</w:t>
      </w:r>
      <w:r w:rsidR="008D4B0B">
        <w:rPr>
          <w:b/>
          <w:bCs/>
        </w:rPr>
        <w:t xml:space="preserve"> </w:t>
      </w:r>
      <w:r w:rsidR="008D4B0B" w:rsidRPr="008D4B0B">
        <w:rPr>
          <w:b/>
          <w:bCs/>
        </w:rPr>
        <w:t>část investičních projektů realizaci zpomalila, nebo se jejich</w:t>
      </w:r>
      <w:r w:rsidR="008D4B0B">
        <w:rPr>
          <w:b/>
          <w:bCs/>
        </w:rPr>
        <w:t xml:space="preserve"> </w:t>
      </w:r>
      <w:r w:rsidR="008D4B0B" w:rsidRPr="008D4B0B">
        <w:rPr>
          <w:b/>
          <w:bCs/>
        </w:rPr>
        <w:t>dokončení odkládá. Přibližně třetina developerů změnila</w:t>
      </w:r>
      <w:r w:rsidR="008D4B0B">
        <w:rPr>
          <w:b/>
          <w:bCs/>
        </w:rPr>
        <w:t xml:space="preserve"> </w:t>
      </w:r>
      <w:r w:rsidR="008D4B0B" w:rsidRPr="008D4B0B">
        <w:rPr>
          <w:b/>
          <w:bCs/>
        </w:rPr>
        <w:t>dokončované projekty na nabídku nájemního bydlení, což ještě</w:t>
      </w:r>
      <w:r w:rsidR="008D4B0B">
        <w:rPr>
          <w:b/>
          <w:bCs/>
        </w:rPr>
        <w:t xml:space="preserve"> </w:t>
      </w:r>
      <w:r w:rsidR="008D4B0B" w:rsidRPr="008D4B0B">
        <w:rPr>
          <w:b/>
          <w:bCs/>
        </w:rPr>
        <w:t>více oslabí nedostatečnou nabídku bydlení.</w:t>
      </w:r>
      <w:r w:rsidR="008D4B0B">
        <w:rPr>
          <w:b/>
          <w:bCs/>
        </w:rPr>
        <w:t xml:space="preserve"> </w:t>
      </w:r>
      <w:r w:rsidR="00B15D39">
        <w:rPr>
          <w:b/>
          <w:bCs/>
        </w:rPr>
        <w:t xml:space="preserve">Poptávka po bydlení naopak v prvním pololetí příštího roku vzroste o 2,3 %. </w:t>
      </w:r>
      <w:r w:rsidR="00B15D39" w:rsidRPr="00B15D39">
        <w:rPr>
          <w:b/>
          <w:bCs/>
        </w:rPr>
        <w:t xml:space="preserve">Developeři </w:t>
      </w:r>
      <w:r w:rsidR="00B15D39">
        <w:rPr>
          <w:b/>
          <w:bCs/>
        </w:rPr>
        <w:t xml:space="preserve">zabývající se </w:t>
      </w:r>
      <w:r w:rsidR="00B15D39" w:rsidRPr="00B15D39">
        <w:rPr>
          <w:b/>
          <w:bCs/>
        </w:rPr>
        <w:t>rezidenční výstavb</w:t>
      </w:r>
      <w:r w:rsidR="00B15D39">
        <w:rPr>
          <w:b/>
          <w:bCs/>
        </w:rPr>
        <w:t>ou</w:t>
      </w:r>
      <w:r w:rsidR="00B15D39" w:rsidRPr="00B15D39">
        <w:rPr>
          <w:b/>
          <w:bCs/>
        </w:rPr>
        <w:t xml:space="preserve"> očekávají převážně stabilní ceny </w:t>
      </w:r>
      <w:r w:rsidR="00B15D39">
        <w:rPr>
          <w:b/>
          <w:bCs/>
        </w:rPr>
        <w:t>nového bydlení</w:t>
      </w:r>
      <w:r w:rsidR="00B15D39" w:rsidRPr="00B15D39">
        <w:rPr>
          <w:b/>
          <w:bCs/>
        </w:rPr>
        <w:t>. Podle průzkumu 63 %</w:t>
      </w:r>
      <w:r w:rsidR="00B15D39">
        <w:rPr>
          <w:b/>
          <w:bCs/>
        </w:rPr>
        <w:t xml:space="preserve"> </w:t>
      </w:r>
      <w:r w:rsidR="00B15D39" w:rsidRPr="00B15D39">
        <w:rPr>
          <w:b/>
          <w:bCs/>
        </w:rPr>
        <w:t xml:space="preserve">dotázaných plánuje držet ceny svých nemovitostí na současné úrovni. </w:t>
      </w:r>
      <w:r w:rsidR="008D4B0B" w:rsidRPr="004150A5">
        <w:rPr>
          <w:b/>
          <w:bCs/>
        </w:rPr>
        <w:t xml:space="preserve">Vyplývá to ze Studie developerských společností </w:t>
      </w:r>
      <w:r w:rsidR="002F3EB7">
        <w:rPr>
          <w:b/>
          <w:bCs/>
        </w:rPr>
        <w:t>H2/</w:t>
      </w:r>
      <w:r w:rsidR="008D4B0B" w:rsidRPr="004150A5">
        <w:rPr>
          <w:b/>
          <w:bCs/>
        </w:rPr>
        <w:t>2023 zpracované analytickou společností CEEC Research.</w:t>
      </w:r>
    </w:p>
    <w:p w14:paraId="20431547" w14:textId="3A3F7FA7" w:rsidR="00FD7A63" w:rsidRDefault="008D4B0B" w:rsidP="00B32E5B">
      <w:pPr>
        <w:spacing w:line="288" w:lineRule="auto"/>
        <w:jc w:val="both"/>
      </w:pPr>
      <w:r w:rsidRPr="008D4B0B">
        <w:t>Vývoj na trhu rezidenčních nemovitostí v Č</w:t>
      </w:r>
      <w:r w:rsidR="00B15D39">
        <w:t>R</w:t>
      </w:r>
      <w:r w:rsidRPr="008D4B0B">
        <w:t xml:space="preserve"> v nadcházejícím období je silně spojen s dalším vývojem ekonomiky. Nabídku nového bydlení nadále limituje zdrženlivost na straně investorů z důvodu horší dostupnosti úvěrů a přetrvávajícího ochlazení poptávky po bydlení. Počty zahájené bytové výstavby s</w:t>
      </w:r>
      <w:r w:rsidR="004C5BF4">
        <w:t> </w:t>
      </w:r>
      <w:r w:rsidRPr="008D4B0B">
        <w:t>výjimkou července sedm měsíců po sobě významně meziročně klesají. Podobně klesají počty stavebních povolení, která evidují stavební úřady, od dubna klesají každý měsíc v průměru o −9,3 %.</w:t>
      </w:r>
      <w:r>
        <w:t xml:space="preserve"> </w:t>
      </w:r>
    </w:p>
    <w:p w14:paraId="311D7D81" w14:textId="55FFBBD8" w:rsidR="008D4B0B" w:rsidRDefault="008D4B0B" w:rsidP="00B32E5B">
      <w:pPr>
        <w:spacing w:line="288" w:lineRule="auto"/>
        <w:jc w:val="both"/>
      </w:pPr>
      <w:r>
        <w:rPr>
          <w:noProof/>
        </w:rPr>
        <w:drawing>
          <wp:inline distT="0" distB="0" distL="0" distR="0" wp14:anchorId="4ED63A90" wp14:editId="18F84002">
            <wp:extent cx="4558615" cy="4016415"/>
            <wp:effectExtent l="0" t="0" r="0" b="3175"/>
            <wp:docPr id="1018283236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283236" name="Obrázek 1" descr="Obsah obrázku text, snímek obrazovky, Písmo, číslo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470" cy="403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2C8E3" w14:textId="2012AC76" w:rsidR="004A1590" w:rsidRDefault="00B15D39" w:rsidP="00B32E5B">
      <w:pPr>
        <w:spacing w:line="288" w:lineRule="auto"/>
        <w:jc w:val="both"/>
      </w:pPr>
      <w:r w:rsidRPr="008D4B0B">
        <w:lastRenderedPageBreak/>
        <w:t xml:space="preserve">V prvním pololetí příštího roku se </w:t>
      </w:r>
      <w:r>
        <w:t xml:space="preserve">proto </w:t>
      </w:r>
      <w:r w:rsidRPr="008D4B0B">
        <w:t>očekává, že nabídka</w:t>
      </w:r>
      <w:r>
        <w:t xml:space="preserve"> </w:t>
      </w:r>
      <w:r w:rsidRPr="008D4B0B">
        <w:t>rezidenčních nemovitostí v celé České republice klesne</w:t>
      </w:r>
      <w:r>
        <w:t xml:space="preserve"> </w:t>
      </w:r>
      <w:r w:rsidRPr="008D4B0B">
        <w:t xml:space="preserve">o </w:t>
      </w:r>
      <w:r w:rsidR="00341E23" w:rsidRPr="008D4B0B">
        <w:t>−</w:t>
      </w:r>
      <w:r w:rsidRPr="008D4B0B">
        <w:t>0,9 %</w:t>
      </w:r>
      <w:r>
        <w:t>, jak vyplývá z odpovědí dotazovaných ředitelů developerských společností</w:t>
      </w:r>
      <w:r w:rsidRPr="008D4B0B">
        <w:t>.</w:t>
      </w:r>
    </w:p>
    <w:p w14:paraId="4242A5CD" w14:textId="72CA21E9" w:rsidR="004A1590" w:rsidRPr="004A1590" w:rsidRDefault="004A1590" w:rsidP="00B32E5B">
      <w:pPr>
        <w:spacing w:line="288" w:lineRule="auto"/>
        <w:jc w:val="both"/>
      </w:pPr>
      <w:r w:rsidRPr="004A1590">
        <w:t>Podle 57 % developerů je nedostatečná úroveň občanské vybavenosti brzdou rozvoje bydlení a</w:t>
      </w:r>
      <w:r w:rsidR="00341E23">
        <w:t> </w:t>
      </w:r>
      <w:r w:rsidRPr="004A1590">
        <w:t xml:space="preserve">překážkou pro plánované projekty: </w:t>
      </w:r>
      <w:r>
        <w:t>„</w:t>
      </w:r>
      <w:r w:rsidRPr="004A1590">
        <w:rPr>
          <w:i/>
          <w:iCs/>
        </w:rPr>
        <w:t xml:space="preserve">Financování bydlení leží na bedrech soukromého kapitálu, ale investiční projekty vedle </w:t>
      </w:r>
      <w:r>
        <w:rPr>
          <w:i/>
          <w:iCs/>
        </w:rPr>
        <w:t xml:space="preserve">ekonomických </w:t>
      </w:r>
      <w:r w:rsidRPr="004A1590">
        <w:rPr>
          <w:i/>
          <w:iCs/>
        </w:rPr>
        <w:t>tlaků zatěžuje vyžadování kontribučních</w:t>
      </w:r>
      <w:r>
        <w:rPr>
          <w:i/>
          <w:iCs/>
        </w:rPr>
        <w:t xml:space="preserve"> </w:t>
      </w:r>
      <w:r w:rsidRPr="004A1590">
        <w:rPr>
          <w:i/>
          <w:iCs/>
        </w:rPr>
        <w:t xml:space="preserve">poplatků ze strany obcí na dofinancování veřejné infrastruktury. Obce ale nemají na výběr. Současné nastavení rozpočtového určení daní </w:t>
      </w:r>
      <w:r>
        <w:rPr>
          <w:i/>
          <w:iCs/>
        </w:rPr>
        <w:t xml:space="preserve">je </w:t>
      </w:r>
      <w:r w:rsidRPr="004A1590">
        <w:rPr>
          <w:i/>
          <w:iCs/>
        </w:rPr>
        <w:t>nemotivuje</w:t>
      </w:r>
      <w:r>
        <w:t xml:space="preserve"> </w:t>
      </w:r>
      <w:r w:rsidRPr="004A1590">
        <w:rPr>
          <w:i/>
          <w:iCs/>
        </w:rPr>
        <w:t>k tomu, aby nebraly rozvoj nového bydlení jen jako další zátěž pro svoje rozpočty. Přitom na účtech měst</w:t>
      </w:r>
      <w:r>
        <w:rPr>
          <w:i/>
          <w:iCs/>
        </w:rPr>
        <w:t xml:space="preserve"> </w:t>
      </w:r>
      <w:r w:rsidRPr="004A1590">
        <w:rPr>
          <w:i/>
          <w:iCs/>
        </w:rPr>
        <w:t xml:space="preserve">a obcí </w:t>
      </w:r>
      <w:r>
        <w:rPr>
          <w:i/>
          <w:iCs/>
        </w:rPr>
        <w:t xml:space="preserve">leží </w:t>
      </w:r>
      <w:r w:rsidRPr="004A1590">
        <w:rPr>
          <w:i/>
          <w:iCs/>
        </w:rPr>
        <w:t>finanční prostředky přes</w:t>
      </w:r>
      <w:r w:rsidR="00A061BA">
        <w:rPr>
          <w:i/>
          <w:iCs/>
        </w:rPr>
        <w:t>ahující</w:t>
      </w:r>
      <w:r w:rsidRPr="004A1590">
        <w:rPr>
          <w:i/>
          <w:iCs/>
        </w:rPr>
        <w:t xml:space="preserve"> 400 miliard, které by měly být do infrastruktury investovány</w:t>
      </w:r>
      <w:r w:rsidRPr="008D4B0B">
        <w:t xml:space="preserve">,“ </w:t>
      </w:r>
      <w:r w:rsidRPr="008D4B0B">
        <w:rPr>
          <w:rFonts w:cstheme="minorHAnsi"/>
        </w:rPr>
        <w:t xml:space="preserve">vysvětluje </w:t>
      </w:r>
      <w:r w:rsidRPr="004A1590">
        <w:rPr>
          <w:rFonts w:cstheme="minorHAnsi"/>
          <w:b/>
          <w:bCs/>
        </w:rPr>
        <w:t>Michal Vacek, výkonný ředitel CEEC Research</w:t>
      </w:r>
      <w:r w:rsidRPr="008D4B0B">
        <w:rPr>
          <w:rFonts w:cstheme="minorHAnsi"/>
        </w:rPr>
        <w:t>.</w:t>
      </w:r>
    </w:p>
    <w:p w14:paraId="61ACAF33" w14:textId="77777777" w:rsidR="00050048" w:rsidRDefault="00FD7A63" w:rsidP="00B32E5B">
      <w:pPr>
        <w:spacing w:line="288" w:lineRule="auto"/>
        <w:jc w:val="both"/>
      </w:pPr>
      <w:r w:rsidRPr="008D4B0B">
        <w:t>Pokud se zaměříme na Prahu, v prvním pololetí příštího roku</w:t>
      </w:r>
      <w:r>
        <w:t xml:space="preserve"> </w:t>
      </w:r>
      <w:r w:rsidRPr="008D4B0B">
        <w:t>se očekává naopak mírný nárůst nabídky o 0,7 %. Praha se</w:t>
      </w:r>
      <w:r>
        <w:t xml:space="preserve"> </w:t>
      </w:r>
      <w:r w:rsidRPr="008D4B0B">
        <w:t>vývojem prodejů bytů vymyká trendu zbytku České republiky,</w:t>
      </w:r>
      <w:r>
        <w:t xml:space="preserve"> </w:t>
      </w:r>
      <w:r w:rsidRPr="008D4B0B">
        <w:t>v letošním roce by se v hlavním městě mohly prodat tisíce bytů,</w:t>
      </w:r>
      <w:r>
        <w:t xml:space="preserve"> </w:t>
      </w:r>
      <w:r w:rsidRPr="008D4B0B">
        <w:t>což motivuje investory udržovat bytovou výstavbu na určité</w:t>
      </w:r>
      <w:r>
        <w:t xml:space="preserve"> </w:t>
      </w:r>
      <w:r w:rsidRPr="008D4B0B">
        <w:t>úrovni. Celkově na trhu s nemovitostmi stále chybí významné</w:t>
      </w:r>
      <w:r>
        <w:t xml:space="preserve"> </w:t>
      </w:r>
      <w:r w:rsidRPr="008D4B0B">
        <w:t>množství bytových jednotek, a to především v Praze.</w:t>
      </w:r>
      <w:r>
        <w:t xml:space="preserve"> </w:t>
      </w:r>
    </w:p>
    <w:p w14:paraId="7C1EEB84" w14:textId="2CCCFFF1" w:rsidR="00E060FE" w:rsidRDefault="00E060FE" w:rsidP="00B32E5B">
      <w:pPr>
        <w:spacing w:line="288" w:lineRule="auto"/>
        <w:jc w:val="both"/>
      </w:pPr>
      <w:r w:rsidRPr="00050048">
        <w:rPr>
          <w:i/>
          <w:iCs/>
        </w:rPr>
        <w:t>„Nabídka nových bytů je dlouhodobě kvůli nefunkčnímu povolování nedostatečná</w:t>
      </w:r>
      <w:r w:rsidR="00050048" w:rsidRPr="00050048">
        <w:rPr>
          <w:i/>
          <w:iCs/>
        </w:rPr>
        <w:t>. Poprvé po roce a půl klesla</w:t>
      </w:r>
      <w:r w:rsidR="00A84146">
        <w:rPr>
          <w:i/>
          <w:iCs/>
        </w:rPr>
        <w:t>,</w:t>
      </w:r>
      <w:r w:rsidR="00050048" w:rsidRPr="00050048">
        <w:rPr>
          <w:i/>
          <w:iCs/>
        </w:rPr>
        <w:t xml:space="preserve"> a očekáváme, že bude klesat i dál. Dokud neklesnou ceny stavebních dodávek, bude nadále docházet k odkládání nových projektů. </w:t>
      </w:r>
      <w:r w:rsidRPr="00050048">
        <w:rPr>
          <w:i/>
          <w:iCs/>
        </w:rPr>
        <w:t xml:space="preserve">Po zpomalení ve druhé polovině loňského roku už od letošního jara prodeje </w:t>
      </w:r>
      <w:r w:rsidR="004A1590" w:rsidRPr="00050048">
        <w:rPr>
          <w:i/>
          <w:iCs/>
        </w:rPr>
        <w:t xml:space="preserve">v Praze </w:t>
      </w:r>
      <w:r w:rsidRPr="00050048">
        <w:rPr>
          <w:i/>
          <w:iCs/>
        </w:rPr>
        <w:t xml:space="preserve">výrazně rostou. Letošek </w:t>
      </w:r>
      <w:r w:rsidRPr="00E060FE">
        <w:rPr>
          <w:i/>
          <w:iCs/>
        </w:rPr>
        <w:t>je na bytovém trhu rokem marketingových bonusů, ze kterých mohou kupující profitovat. Výhodnější podmínky pro koupi bytu než letos nebudou</w:t>
      </w:r>
      <w:r>
        <w:t xml:space="preserve">,“ říká </w:t>
      </w:r>
      <w:r w:rsidRPr="00E060FE">
        <w:rPr>
          <w:b/>
          <w:bCs/>
        </w:rPr>
        <w:t>Dušan Kunovský, předseda představenstva Central Group.</w:t>
      </w:r>
    </w:p>
    <w:p w14:paraId="75BAAED2" w14:textId="55B88648" w:rsidR="00FD7A63" w:rsidRPr="00FD7A63" w:rsidRDefault="00FD7A63" w:rsidP="00B32E5B">
      <w:pPr>
        <w:spacing w:line="288" w:lineRule="auto"/>
        <w:jc w:val="both"/>
        <w:rPr>
          <w:b/>
          <w:bCs/>
          <w:color w:val="4472C4" w:themeColor="accent1"/>
          <w:sz w:val="32"/>
          <w:szCs w:val="32"/>
        </w:rPr>
      </w:pPr>
      <w:r w:rsidRPr="00FD7A63">
        <w:rPr>
          <w:b/>
          <w:bCs/>
          <w:color w:val="4472C4" w:themeColor="accent1"/>
          <w:sz w:val="32"/>
          <w:szCs w:val="32"/>
        </w:rPr>
        <w:t>Poptávka po nemovitostech vzroste o 2,3 % v celé ČR</w:t>
      </w:r>
    </w:p>
    <w:p w14:paraId="3841E4AB" w14:textId="34288CFB" w:rsidR="00FD7A63" w:rsidRDefault="00FD7A63" w:rsidP="00B32E5B">
      <w:pPr>
        <w:spacing w:line="288" w:lineRule="auto"/>
        <w:jc w:val="both"/>
      </w:pPr>
      <w:r>
        <w:t xml:space="preserve">V prvním pololetí příštího roku se očekává, že poptávka po nemovitostech v České republice vzroste průměrně o 2,3 %. Tento nárůst by měl být způsoben sníženými úrokovými sazbami, </w:t>
      </w:r>
      <w:r w:rsidR="00EB5890">
        <w:t xml:space="preserve">jichž </w:t>
      </w:r>
      <w:r>
        <w:t>využije část kupujících, které dlouhodobě trápí nedostat</w:t>
      </w:r>
      <w:r w:rsidR="008D22BD">
        <w:t>e</w:t>
      </w:r>
      <w:r>
        <w:t xml:space="preserve">k dostupných bytových jednotek, ale dosud své rozhodnutí kvůli drahým hypotékám odkládali. V druhém pololetí se předpokládá ještě výraznější nárůst poptávky, a to o dalších 2,5 %, což naznačuje upevnění pozitivního trendu na trhu s rezidenčními nemovitostmi. </w:t>
      </w:r>
    </w:p>
    <w:p w14:paraId="19813FF0" w14:textId="199F5314" w:rsidR="004A1590" w:rsidRDefault="004A1590" w:rsidP="00B32E5B">
      <w:pPr>
        <w:spacing w:line="288" w:lineRule="auto"/>
        <w:jc w:val="both"/>
      </w:pPr>
      <w:r w:rsidRPr="00E060FE">
        <w:rPr>
          <w:i/>
          <w:iCs/>
        </w:rPr>
        <w:t>„Očekávám určité oživení poptávky. Finanční situace domácností bude méně napjatá než letos a</w:t>
      </w:r>
      <w:r w:rsidR="00341E23">
        <w:rPr>
          <w:i/>
          <w:iCs/>
        </w:rPr>
        <w:t> </w:t>
      </w:r>
      <w:r w:rsidRPr="00E060FE">
        <w:rPr>
          <w:i/>
          <w:iCs/>
        </w:rPr>
        <w:t>zejména v druhé polovině roku lze očekávat už citelnější snížení jak úrokových sazeb ČNB, tak sazeb hypotečních, což podpoří poptávku po bydlení. Ekonomika jako celek by měla růst o více než dvě procenta, a to po předpokládané letošní stagnaci, což by mělo podpořit poptávku po nemovitostech jak mezi individuálními, tak institucionálními zájemci. Rozhodně ale nečekejme nijak zářný rok,“</w:t>
      </w:r>
      <w:r>
        <w:t xml:space="preserve"> říká </w:t>
      </w:r>
      <w:r w:rsidRPr="00E060FE">
        <w:rPr>
          <w:b/>
          <w:bCs/>
        </w:rPr>
        <w:t>Lukáš Kovanda, hlavní ekonom Trinity Bank</w:t>
      </w:r>
      <w:r>
        <w:t>.</w:t>
      </w:r>
    </w:p>
    <w:p w14:paraId="0BA52EC2" w14:textId="36E72806" w:rsidR="0065261C" w:rsidRPr="008D4B0B" w:rsidRDefault="0065261C" w:rsidP="00B32E5B">
      <w:pPr>
        <w:spacing w:line="288" w:lineRule="auto"/>
        <w:jc w:val="both"/>
      </w:pPr>
      <w:r>
        <w:t>„</w:t>
      </w:r>
      <w:r w:rsidRPr="0065261C">
        <w:rPr>
          <w:i/>
          <w:iCs/>
        </w:rPr>
        <w:t xml:space="preserve">Poptávka souvisí s dlouhodobým přesunem obyvatelstva do měst a předměstí za prací, proto má růstovou tendenci. Vzhledem k vzrůstajícím objemům poskytnutých hypotečních úvěrů v posledních měsících se zdá, že si lidé na aktuální úroveň úrokových sazeb zvykají a trh se začíná pomalu hýbat. Dynamiku by mohlo zvýšit až snížení úrokových sazeb. Nabídka dlouhodobě není schopna uspokojit </w:t>
      </w:r>
      <w:r w:rsidRPr="0065261C">
        <w:rPr>
          <w:i/>
          <w:iCs/>
        </w:rPr>
        <w:lastRenderedPageBreak/>
        <w:t>poptávku a minimálně v krátkodobém horizontu nevidím prostor pro zlepšení</w:t>
      </w:r>
      <w:r>
        <w:t xml:space="preserve">,“ sděluje </w:t>
      </w:r>
      <w:r w:rsidRPr="0065261C">
        <w:rPr>
          <w:b/>
          <w:bCs/>
        </w:rPr>
        <w:t>Michal Hrbatý, ředitel společnosti UlovDomov.cz</w:t>
      </w:r>
      <w:r>
        <w:t>.</w:t>
      </w:r>
    </w:p>
    <w:p w14:paraId="26294D25" w14:textId="2F73EBA2" w:rsidR="004A1590" w:rsidRDefault="004A1590" w:rsidP="00B32E5B">
      <w:pPr>
        <w:spacing w:line="288" w:lineRule="auto"/>
        <w:jc w:val="both"/>
      </w:pPr>
      <w:r>
        <w:t>Pokud se zaměříme na Prahu, očekává se v prvním pololetí příštího roku výraznější růst poptávky o</w:t>
      </w:r>
      <w:r w:rsidR="00341E23">
        <w:t> </w:t>
      </w:r>
      <w:r>
        <w:t>2,9</w:t>
      </w:r>
      <w:r w:rsidR="00341E23">
        <w:t> </w:t>
      </w:r>
      <w:r>
        <w:t>%. Hlavním faktorem může být atraktivita Prahy jako oblasti s vysokou životní úrovní a pracovními či investičními příležitostmi. V následujícím pololetí by měla poptávka v Praze vzrůst dokonce o 3,8 %, což naznačuje, že zájem o nemovitosti v metropoli bude nadále v rostoucím trendu.</w:t>
      </w:r>
    </w:p>
    <w:p w14:paraId="28B257CB" w14:textId="2C3466BF" w:rsidR="00FD7A63" w:rsidRDefault="00B15D39" w:rsidP="00B32E5B">
      <w:pPr>
        <w:spacing w:line="288" w:lineRule="auto"/>
        <w:jc w:val="both"/>
      </w:pPr>
      <w:r>
        <w:rPr>
          <w:noProof/>
        </w:rPr>
        <w:drawing>
          <wp:inline distT="0" distB="0" distL="0" distR="0" wp14:anchorId="7156838D" wp14:editId="08FBC8C0">
            <wp:extent cx="4358642" cy="4022203"/>
            <wp:effectExtent l="0" t="0" r="3810" b="0"/>
            <wp:docPr id="2019201160" name="Obrázek 2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201160" name="Obrázek 2" descr="Obsah obrázku text, snímek obrazovky, Písmo, číslo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07" cy="403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C2515" w14:textId="77777777" w:rsidR="00B32E5B" w:rsidRPr="00B32E5B" w:rsidRDefault="00B32E5B" w:rsidP="00B32E5B">
      <w:pPr>
        <w:spacing w:line="288" w:lineRule="auto"/>
        <w:jc w:val="both"/>
        <w:rPr>
          <w:i/>
          <w:iCs/>
          <w:color w:val="000000"/>
        </w:rPr>
      </w:pPr>
      <w:r>
        <w:t>„</w:t>
      </w:r>
      <w:r w:rsidRPr="00B32E5B">
        <w:rPr>
          <w:i/>
          <w:iCs/>
          <w:color w:val="000000"/>
        </w:rPr>
        <w:t>Do nadcházejícího roku vyhlížíme s lehkým optimismem a věříme v mírné oživení. Už nyní spouštěče mnohých obav ohledně investic do bydlení ztrácejí na síle. Poptávka po nemovitostech tu stále je, především pak v hlavním městě. Touha bydlet ve vlastním nezmizela. Nicméně investoři vyčkávají na příznivější podmínky financování</w:t>
      </w:r>
      <w:r>
        <w:rPr>
          <w:color w:val="000000"/>
        </w:rPr>
        <w:t xml:space="preserve">,“ všímá si </w:t>
      </w:r>
      <w:r w:rsidRPr="00B32E5B">
        <w:rPr>
          <w:b/>
          <w:bCs/>
          <w:color w:val="000000"/>
        </w:rPr>
        <w:t>Kamil Jeřábek, generální ředitel Wienerberger</w:t>
      </w:r>
      <w:r>
        <w:rPr>
          <w:color w:val="000000"/>
        </w:rPr>
        <w:t xml:space="preserve">, a dodává: </w:t>
      </w:r>
      <w:r w:rsidRPr="00B32E5B">
        <w:rPr>
          <w:i/>
          <w:iCs/>
          <w:color w:val="000000"/>
        </w:rPr>
        <w:t xml:space="preserve">„Prodej nových bytů v Praze zrychlil letos v létě. Z důvodu nedávného útlumu výstavby a pozastavení některých projektů očekáváme, že v nadcházejícím období zájem o investice do vlastní nemovitosti převýší nabídku, což bude nejcitelnější v hlavním městě.“ </w:t>
      </w:r>
    </w:p>
    <w:p w14:paraId="24BFF45A" w14:textId="77777777" w:rsidR="0065261C" w:rsidRDefault="00B15D39" w:rsidP="00B32E5B">
      <w:pPr>
        <w:spacing w:line="288" w:lineRule="auto"/>
        <w:jc w:val="both"/>
        <w:rPr>
          <w:b/>
          <w:bCs/>
          <w:color w:val="4472C4" w:themeColor="accent1"/>
          <w:sz w:val="32"/>
          <w:szCs w:val="32"/>
        </w:rPr>
      </w:pPr>
      <w:r w:rsidRPr="00B15D39">
        <w:rPr>
          <w:b/>
          <w:bCs/>
          <w:color w:val="4472C4" w:themeColor="accent1"/>
          <w:sz w:val="32"/>
          <w:szCs w:val="32"/>
        </w:rPr>
        <w:t>Ceny nového bydlení se budou držet na stejné úrovni</w:t>
      </w:r>
    </w:p>
    <w:p w14:paraId="6AB583A1" w14:textId="2466857A" w:rsidR="00050048" w:rsidRPr="00E060FE" w:rsidRDefault="00F136B9" w:rsidP="00B32E5B">
      <w:pPr>
        <w:spacing w:line="288" w:lineRule="auto"/>
        <w:jc w:val="both"/>
      </w:pPr>
      <w:r>
        <w:t>Developeři zabývající se rezidenční výstavbou očekávají převážně stabilní ceny nového bydlení. Podle průzkumu 63 % dotázaných plánuje držet ceny svých nemovitostí na současné úrovni. Zdražit má v úmyslu 31 % dotázaných developerů, ale v průměru pouze o 5 %. Tento růst cen může být motivován očekáváním nárůstu poptávky a inflací. Menší skupina, tvořená 6 % respondentů</w:t>
      </w:r>
      <w:r w:rsidR="004E300B">
        <w:t>,</w:t>
      </w:r>
      <w:r>
        <w:t xml:space="preserve"> očekává pokles cen nabízených novostaveb v průměru o </w:t>
      </w:r>
      <w:r w:rsidR="00CF54A8">
        <w:t>–</w:t>
      </w:r>
      <w:r>
        <w:t>4</w:t>
      </w:r>
      <w:r w:rsidR="006460AD">
        <w:t xml:space="preserve"> </w:t>
      </w:r>
      <w:r>
        <w:t xml:space="preserve">%. Očekávání developerů ohledně cen nemovitostí tak </w:t>
      </w:r>
      <w:r>
        <w:lastRenderedPageBreak/>
        <w:t xml:space="preserve">naznačují určitou opatrnost a reakci na aktuální podmínky trhu a ekonomiky. </w:t>
      </w:r>
      <w:r w:rsidR="00050048">
        <w:t>„</w:t>
      </w:r>
      <w:r w:rsidR="00050048" w:rsidRPr="00050048">
        <w:rPr>
          <w:i/>
          <w:iCs/>
        </w:rPr>
        <w:t>Cena rezidenčních nemovitostí se bude jen těžce vzpamatovávat z letošního největšího meziročního propadu za posledních třináct let. Spíše nastane určitá stabilizace</w:t>
      </w:r>
      <w:r w:rsidR="00050048">
        <w:t xml:space="preserve">,“ předpovídá </w:t>
      </w:r>
      <w:r w:rsidR="00050048" w:rsidRPr="00E060FE">
        <w:t>Lukáš Kovanda</w:t>
      </w:r>
      <w:r w:rsidR="00050048">
        <w:t>.</w:t>
      </w:r>
    </w:p>
    <w:p w14:paraId="02CE6494" w14:textId="12B54876" w:rsidR="00B15D39" w:rsidRPr="008D4B0B" w:rsidRDefault="00C04B46" w:rsidP="00B32E5B">
      <w:pPr>
        <w:spacing w:line="288" w:lineRule="auto"/>
        <w:jc w:val="both"/>
      </w:pPr>
      <w:r>
        <w:t>S</w:t>
      </w:r>
      <w:r w:rsidR="00F136B9">
        <w:t xml:space="preserve">oučasný vývoj stagnujících cen </w:t>
      </w:r>
      <w:r>
        <w:t xml:space="preserve">už </w:t>
      </w:r>
      <w:r w:rsidR="00F136B9">
        <w:t>nekopíruje vývoj inflace, a tak dochází k reálnému snížení hodnoty nových bytů. Nominální zlevnění ale developeři odmítají. Rozevírají se tak nadále nůžky mezi cenami nových a starších bytů, neboť starší byty v letošním roce nadále zlevňují, což je způsobeno zmraženou poptávkou v důsledku drahých úvěrů. Drahé financování a stávající úroveň cen stavebních dodávek do příštího roku nedává investorům prostor pro zlevnění kalkulované ceny nových bytů.</w:t>
      </w:r>
      <w:r w:rsidR="0065261C">
        <w:t xml:space="preserve"> „</w:t>
      </w:r>
      <w:r w:rsidR="0065261C" w:rsidRPr="0065261C">
        <w:rPr>
          <w:i/>
          <w:iCs/>
        </w:rPr>
        <w:t>Pokud se podíváme na další faktory, jako je cena stavebních materiálů, tak minimálně u novostaveb nevidím důvod k poklesu cen</w:t>
      </w:r>
      <w:r w:rsidR="0065261C">
        <w:t>,“ myslí si Michal Hrbatý.</w:t>
      </w:r>
      <w:r w:rsidR="00050048">
        <w:t xml:space="preserve"> </w:t>
      </w:r>
    </w:p>
    <w:p w14:paraId="0810F290" w14:textId="756E298A" w:rsidR="00F136B9" w:rsidRDefault="00F136B9" w:rsidP="00B32E5B">
      <w:pPr>
        <w:spacing w:line="288" w:lineRule="auto"/>
        <w:jc w:val="both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1E3C9210" wp14:editId="7CFD396A">
            <wp:extent cx="4781550" cy="3000591"/>
            <wp:effectExtent l="0" t="0" r="0" b="9525"/>
            <wp:docPr id="1035549338" name="Obrázek 3" descr="Obsah obrázku text, snímek obrazovky, kruh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549338" name="Obrázek 3" descr="Obsah obrázku text, snímek obrazovky, kruh, Písmo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638" cy="300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BD1B1" w14:textId="25F2960F" w:rsidR="005D7450" w:rsidRDefault="00F34C9F" w:rsidP="00B32E5B">
      <w:pPr>
        <w:spacing w:line="288" w:lineRule="auto"/>
        <w:jc w:val="both"/>
        <w:rPr>
          <w:color w:val="000000"/>
        </w:rPr>
      </w:pPr>
      <w:r>
        <w:rPr>
          <w:color w:val="000000"/>
        </w:rPr>
        <w:t>Údaje vychází z</w:t>
      </w:r>
      <w:r w:rsidR="00095DF1">
        <w:rPr>
          <w:color w:val="000000"/>
        </w:rPr>
        <w:t>e </w:t>
      </w:r>
      <w:r w:rsidR="00095DF1">
        <w:rPr>
          <w:b/>
          <w:color w:val="000000"/>
        </w:rPr>
        <w:t xml:space="preserve">Studie developerských společností </w:t>
      </w:r>
      <w:r w:rsidR="005D029C">
        <w:rPr>
          <w:b/>
          <w:color w:val="000000"/>
        </w:rPr>
        <w:t>H2/</w:t>
      </w:r>
      <w:r>
        <w:rPr>
          <w:b/>
          <w:color w:val="000000"/>
        </w:rPr>
        <w:t>2023</w:t>
      </w:r>
      <w:r>
        <w:rPr>
          <w:color w:val="000000"/>
        </w:rPr>
        <w:t xml:space="preserve"> </w:t>
      </w:r>
      <w:r>
        <w:t>zpracované analytickou společností CEEC Research</w:t>
      </w:r>
      <w:r w:rsidR="00095DF1">
        <w:t>, kter</w:t>
      </w:r>
      <w:r w:rsidR="003A72EC">
        <w:t>á je</w:t>
      </w:r>
      <w:r w:rsidR="00095DF1">
        <w:rPr>
          <w:color w:val="000000"/>
        </w:rPr>
        <w:t xml:space="preserve"> v plném znění</w:t>
      </w:r>
      <w:r>
        <w:rPr>
          <w:color w:val="000000"/>
        </w:rPr>
        <w:t xml:space="preserve"> zveřejněna</w:t>
      </w:r>
      <w:r w:rsidR="00095DF1">
        <w:rPr>
          <w:color w:val="000000"/>
        </w:rPr>
        <w:t xml:space="preserve"> </w:t>
      </w:r>
      <w:r>
        <w:rPr>
          <w:color w:val="000000"/>
        </w:rPr>
        <w:t xml:space="preserve">na </w:t>
      </w:r>
      <w:hyperlink r:id="rId9">
        <w:r>
          <w:rPr>
            <w:color w:val="0563C1"/>
            <w:u w:val="single"/>
          </w:rPr>
          <w:t>www.ceec.eu</w:t>
        </w:r>
      </w:hyperlink>
      <w:r>
        <w:rPr>
          <w:color w:val="000000"/>
        </w:rPr>
        <w:t>.</w:t>
      </w:r>
    </w:p>
    <w:p w14:paraId="1B82CC10" w14:textId="77777777" w:rsidR="005D7450" w:rsidRPr="005D7450" w:rsidRDefault="005D7450" w:rsidP="00B32E5B">
      <w:pPr>
        <w:spacing w:line="288" w:lineRule="auto"/>
        <w:jc w:val="both"/>
        <w:rPr>
          <w:color w:val="000000"/>
        </w:rPr>
      </w:pPr>
    </w:p>
    <w:p w14:paraId="53C690D1" w14:textId="77777777" w:rsidR="00F34C9F" w:rsidRDefault="00F34C9F" w:rsidP="00B32E5B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color w:val="000000"/>
        </w:rPr>
      </w:pPr>
      <w:r>
        <w:rPr>
          <w:b/>
          <w:color w:val="000000"/>
        </w:rPr>
        <w:t>Kontakt pro média:</w:t>
      </w:r>
      <w:r>
        <w:rPr>
          <w:b/>
          <w:color w:val="000000"/>
        </w:rPr>
        <w:br/>
      </w:r>
      <w:r>
        <w:rPr>
          <w:color w:val="000000"/>
        </w:rPr>
        <w:t xml:space="preserve">Ing. Petr Ondrášek, senior konzultant CEEC Research </w:t>
      </w:r>
      <w:r>
        <w:rPr>
          <w:color w:val="000000"/>
        </w:rPr>
        <w:br/>
        <w:t xml:space="preserve">(+420) 602 303 990, </w:t>
      </w:r>
      <w:hyperlink r:id="rId10">
        <w:r>
          <w:rPr>
            <w:color w:val="0563C1"/>
            <w:u w:val="single"/>
          </w:rPr>
          <w:t>ondrasek@ceec.eu</w:t>
        </w:r>
      </w:hyperlink>
      <w:r>
        <w:rPr>
          <w:color w:val="1155CC"/>
          <w:u w:val="single"/>
        </w:rPr>
        <w:t xml:space="preserve"> </w:t>
      </w:r>
    </w:p>
    <w:p w14:paraId="03AE8F06" w14:textId="77777777" w:rsidR="00F34C9F" w:rsidRDefault="00F34C9F" w:rsidP="00B32E5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sectPr w:rsidR="00F34C9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71E2" w14:textId="77777777" w:rsidR="00E01430" w:rsidRDefault="00E01430" w:rsidP="003E0618">
      <w:pPr>
        <w:spacing w:after="0" w:line="240" w:lineRule="auto"/>
      </w:pPr>
      <w:r>
        <w:separator/>
      </w:r>
    </w:p>
  </w:endnote>
  <w:endnote w:type="continuationSeparator" w:id="0">
    <w:p w14:paraId="1803EB4D" w14:textId="77777777" w:rsidR="00E01430" w:rsidRDefault="00E01430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00AC" w14:textId="77777777" w:rsidR="00E01430" w:rsidRDefault="00E01430" w:rsidP="003E0618">
      <w:pPr>
        <w:spacing w:after="0" w:line="240" w:lineRule="auto"/>
      </w:pPr>
      <w:r>
        <w:separator/>
      </w:r>
    </w:p>
  </w:footnote>
  <w:footnote w:type="continuationSeparator" w:id="0">
    <w:p w14:paraId="526FF6FA" w14:textId="77777777" w:rsidR="00E01430" w:rsidRDefault="00E01430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837303731" name="Obrázek 83730373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719"/>
    <w:rsid w:val="00000EF0"/>
    <w:rsid w:val="000073DF"/>
    <w:rsid w:val="00013280"/>
    <w:rsid w:val="00014D96"/>
    <w:rsid w:val="0001546E"/>
    <w:rsid w:val="000203B3"/>
    <w:rsid w:val="00022B1D"/>
    <w:rsid w:val="0003358D"/>
    <w:rsid w:val="0004515E"/>
    <w:rsid w:val="00050048"/>
    <w:rsid w:val="00061B21"/>
    <w:rsid w:val="00070BD8"/>
    <w:rsid w:val="00094AE8"/>
    <w:rsid w:val="00095DF1"/>
    <w:rsid w:val="000A23D3"/>
    <w:rsid w:val="000A3207"/>
    <w:rsid w:val="000A44DD"/>
    <w:rsid w:val="000C0FDC"/>
    <w:rsid w:val="000D6AB4"/>
    <w:rsid w:val="000E2E42"/>
    <w:rsid w:val="000E2F52"/>
    <w:rsid w:val="000F1515"/>
    <w:rsid w:val="001019D7"/>
    <w:rsid w:val="00113270"/>
    <w:rsid w:val="00121409"/>
    <w:rsid w:val="00131712"/>
    <w:rsid w:val="0015108E"/>
    <w:rsid w:val="0016119C"/>
    <w:rsid w:val="00170EAF"/>
    <w:rsid w:val="00171501"/>
    <w:rsid w:val="001768A4"/>
    <w:rsid w:val="00182F82"/>
    <w:rsid w:val="0018568B"/>
    <w:rsid w:val="00186A14"/>
    <w:rsid w:val="001A1244"/>
    <w:rsid w:val="001C48B0"/>
    <w:rsid w:val="001C56F4"/>
    <w:rsid w:val="001E3DDD"/>
    <w:rsid w:val="001F3AEB"/>
    <w:rsid w:val="00203827"/>
    <w:rsid w:val="00211955"/>
    <w:rsid w:val="00221821"/>
    <w:rsid w:val="002462CF"/>
    <w:rsid w:val="002625AB"/>
    <w:rsid w:val="002A2565"/>
    <w:rsid w:val="002B6812"/>
    <w:rsid w:val="002F3EB7"/>
    <w:rsid w:val="00302068"/>
    <w:rsid w:val="003151DA"/>
    <w:rsid w:val="00315909"/>
    <w:rsid w:val="003366B3"/>
    <w:rsid w:val="00341E23"/>
    <w:rsid w:val="00364FE1"/>
    <w:rsid w:val="003A72EC"/>
    <w:rsid w:val="003B7F79"/>
    <w:rsid w:val="003C3C06"/>
    <w:rsid w:val="003D68A7"/>
    <w:rsid w:val="003E0618"/>
    <w:rsid w:val="004150A5"/>
    <w:rsid w:val="0041530B"/>
    <w:rsid w:val="00417531"/>
    <w:rsid w:val="004425BA"/>
    <w:rsid w:val="00444950"/>
    <w:rsid w:val="00445D22"/>
    <w:rsid w:val="0045182F"/>
    <w:rsid w:val="00451ED7"/>
    <w:rsid w:val="00467E96"/>
    <w:rsid w:val="004A1590"/>
    <w:rsid w:val="004C5BF4"/>
    <w:rsid w:val="004D1C5A"/>
    <w:rsid w:val="004D20F6"/>
    <w:rsid w:val="004E300B"/>
    <w:rsid w:val="005013E9"/>
    <w:rsid w:val="005116ED"/>
    <w:rsid w:val="00544518"/>
    <w:rsid w:val="00571615"/>
    <w:rsid w:val="0057197D"/>
    <w:rsid w:val="00584424"/>
    <w:rsid w:val="00596C51"/>
    <w:rsid w:val="005A1209"/>
    <w:rsid w:val="005D029C"/>
    <w:rsid w:val="005D7450"/>
    <w:rsid w:val="006059EC"/>
    <w:rsid w:val="00631D5F"/>
    <w:rsid w:val="00632004"/>
    <w:rsid w:val="006460AD"/>
    <w:rsid w:val="0065261C"/>
    <w:rsid w:val="00657601"/>
    <w:rsid w:val="00665A92"/>
    <w:rsid w:val="006942AF"/>
    <w:rsid w:val="006A736E"/>
    <w:rsid w:val="006B6BC7"/>
    <w:rsid w:val="006C4CFB"/>
    <w:rsid w:val="006E1F6C"/>
    <w:rsid w:val="007055DE"/>
    <w:rsid w:val="007066FC"/>
    <w:rsid w:val="00730B0D"/>
    <w:rsid w:val="00733B16"/>
    <w:rsid w:val="007511A6"/>
    <w:rsid w:val="0075619C"/>
    <w:rsid w:val="00766883"/>
    <w:rsid w:val="0078628D"/>
    <w:rsid w:val="007C0AF5"/>
    <w:rsid w:val="00813413"/>
    <w:rsid w:val="00837BFB"/>
    <w:rsid w:val="00850CB1"/>
    <w:rsid w:val="00852F36"/>
    <w:rsid w:val="008544A0"/>
    <w:rsid w:val="008707CC"/>
    <w:rsid w:val="0088466F"/>
    <w:rsid w:val="008C2681"/>
    <w:rsid w:val="008D22BD"/>
    <w:rsid w:val="008D24CF"/>
    <w:rsid w:val="008D4B0B"/>
    <w:rsid w:val="00923F4E"/>
    <w:rsid w:val="00926BCF"/>
    <w:rsid w:val="00926ED7"/>
    <w:rsid w:val="009404B3"/>
    <w:rsid w:val="009757DB"/>
    <w:rsid w:val="009A115D"/>
    <w:rsid w:val="009A7C61"/>
    <w:rsid w:val="009B72A4"/>
    <w:rsid w:val="009C09E6"/>
    <w:rsid w:val="009D2037"/>
    <w:rsid w:val="009D26ED"/>
    <w:rsid w:val="009D2FEF"/>
    <w:rsid w:val="009D485C"/>
    <w:rsid w:val="009F02E6"/>
    <w:rsid w:val="00A061BA"/>
    <w:rsid w:val="00A2086C"/>
    <w:rsid w:val="00A31F68"/>
    <w:rsid w:val="00A6043D"/>
    <w:rsid w:val="00A67EE5"/>
    <w:rsid w:val="00A827EF"/>
    <w:rsid w:val="00A84146"/>
    <w:rsid w:val="00A85ABF"/>
    <w:rsid w:val="00AA6950"/>
    <w:rsid w:val="00AE0426"/>
    <w:rsid w:val="00AF084A"/>
    <w:rsid w:val="00AF6921"/>
    <w:rsid w:val="00B15D39"/>
    <w:rsid w:val="00B32E5B"/>
    <w:rsid w:val="00B53FEB"/>
    <w:rsid w:val="00B94119"/>
    <w:rsid w:val="00BA10E1"/>
    <w:rsid w:val="00BA2008"/>
    <w:rsid w:val="00BA5061"/>
    <w:rsid w:val="00BC403E"/>
    <w:rsid w:val="00BE4AC8"/>
    <w:rsid w:val="00BE61DB"/>
    <w:rsid w:val="00BF74B3"/>
    <w:rsid w:val="00C04B46"/>
    <w:rsid w:val="00C12FA2"/>
    <w:rsid w:val="00C36A1A"/>
    <w:rsid w:val="00C53637"/>
    <w:rsid w:val="00C543BD"/>
    <w:rsid w:val="00C55CB6"/>
    <w:rsid w:val="00C723B6"/>
    <w:rsid w:val="00C90F60"/>
    <w:rsid w:val="00CA18D3"/>
    <w:rsid w:val="00CF251B"/>
    <w:rsid w:val="00CF54A8"/>
    <w:rsid w:val="00D06DEA"/>
    <w:rsid w:val="00D137FE"/>
    <w:rsid w:val="00D16AA7"/>
    <w:rsid w:val="00D347F3"/>
    <w:rsid w:val="00DA5329"/>
    <w:rsid w:val="00DC1A23"/>
    <w:rsid w:val="00E01330"/>
    <w:rsid w:val="00E01430"/>
    <w:rsid w:val="00E03566"/>
    <w:rsid w:val="00E060FE"/>
    <w:rsid w:val="00E206F6"/>
    <w:rsid w:val="00E657AC"/>
    <w:rsid w:val="00E714A0"/>
    <w:rsid w:val="00EB3F1F"/>
    <w:rsid w:val="00EB5890"/>
    <w:rsid w:val="00EE3EDC"/>
    <w:rsid w:val="00F11782"/>
    <w:rsid w:val="00F136B9"/>
    <w:rsid w:val="00F272AC"/>
    <w:rsid w:val="00F337BB"/>
    <w:rsid w:val="00F34454"/>
    <w:rsid w:val="00F344B5"/>
    <w:rsid w:val="00F34C9F"/>
    <w:rsid w:val="00F41F55"/>
    <w:rsid w:val="00F53C70"/>
    <w:rsid w:val="00F74990"/>
    <w:rsid w:val="00F76612"/>
    <w:rsid w:val="00F76FF6"/>
    <w:rsid w:val="00F90DD8"/>
    <w:rsid w:val="00FA657A"/>
    <w:rsid w:val="00FA7AE7"/>
    <w:rsid w:val="00FA7C92"/>
    <w:rsid w:val="00FB7A5C"/>
    <w:rsid w:val="00FC4640"/>
    <w:rsid w:val="00FD1579"/>
    <w:rsid w:val="00FD7A63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095DF1"/>
    <w:rPr>
      <w:b/>
      <w:bCs/>
    </w:rPr>
  </w:style>
  <w:style w:type="paragraph" w:customStyle="1" w:styleId="xxmsonormal">
    <w:name w:val="x_xmsonormal"/>
    <w:basedOn w:val="Normln"/>
    <w:uiPriority w:val="99"/>
    <w:rsid w:val="00095DF1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0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drasek@ceec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4</cp:revision>
  <dcterms:created xsi:type="dcterms:W3CDTF">2023-10-12T08:03:00Z</dcterms:created>
  <dcterms:modified xsi:type="dcterms:W3CDTF">2023-10-17T14:22:00Z</dcterms:modified>
</cp:coreProperties>
</file>