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E5AC" w14:textId="45221183" w:rsidR="00E65B60" w:rsidRPr="00000769" w:rsidRDefault="00E0718C" w:rsidP="00E65B60">
      <w:pPr>
        <w:spacing w:after="0" w:line="276" w:lineRule="auto"/>
        <w:jc w:val="center"/>
        <w:rPr>
          <w:rFonts w:cstheme="minorHAnsi"/>
          <w:b/>
          <w:bCs/>
          <w:sz w:val="36"/>
          <w:szCs w:val="36"/>
        </w:rPr>
      </w:pPr>
      <w:r w:rsidRPr="00E0718C">
        <w:rPr>
          <w:rFonts w:cstheme="minorHAnsi"/>
          <w:b/>
          <w:bCs/>
          <w:sz w:val="36"/>
          <w:szCs w:val="36"/>
        </w:rPr>
        <w:t>TRH PROJEKTOVÝCH PRÁC POKLESNE V ROKU 2023 O 1,2 %</w:t>
      </w:r>
    </w:p>
    <w:p w14:paraId="18C80161" w14:textId="77777777" w:rsidR="00E65B60" w:rsidRPr="00E0718C" w:rsidRDefault="00E65B60" w:rsidP="00E65B60">
      <w:pPr>
        <w:spacing w:after="0" w:line="276" w:lineRule="auto"/>
        <w:jc w:val="both"/>
        <w:rPr>
          <w:rFonts w:cstheme="minorHAnsi"/>
          <w:b/>
          <w:bCs/>
          <w:sz w:val="24"/>
          <w:szCs w:val="24"/>
        </w:rPr>
      </w:pPr>
    </w:p>
    <w:p w14:paraId="56FD0FD2" w14:textId="56751D28" w:rsidR="00E70A50" w:rsidRPr="002F3D77" w:rsidRDefault="00E65B60" w:rsidP="002F3D77">
      <w:pPr>
        <w:autoSpaceDE w:val="0"/>
        <w:autoSpaceDN w:val="0"/>
        <w:adjustRightInd w:val="0"/>
        <w:spacing w:after="0" w:line="240" w:lineRule="auto"/>
        <w:jc w:val="both"/>
        <w:rPr>
          <w:rFonts w:ascii="SourceSansVariable-Roman" w:hAnsi="SourceSansVariable-Roman" w:cs="SourceSansVariable-Roman"/>
        </w:rPr>
      </w:pPr>
      <w:bookmarkStart w:id="0" w:name="_Hlk120686897"/>
      <w:r w:rsidRPr="00E0718C">
        <w:rPr>
          <w:rFonts w:cstheme="minorHAnsi"/>
          <w:b/>
          <w:bCs/>
          <w:sz w:val="24"/>
          <w:szCs w:val="24"/>
        </w:rPr>
        <w:t xml:space="preserve">Bratislava – </w:t>
      </w:r>
      <w:r w:rsidR="002F3D77">
        <w:rPr>
          <w:rFonts w:cstheme="minorHAnsi"/>
          <w:b/>
          <w:bCs/>
          <w:sz w:val="24"/>
          <w:szCs w:val="24"/>
        </w:rPr>
        <w:t>30</w:t>
      </w:r>
      <w:r w:rsidRPr="00E0718C">
        <w:rPr>
          <w:rFonts w:cstheme="minorHAnsi"/>
          <w:b/>
          <w:bCs/>
          <w:sz w:val="24"/>
          <w:szCs w:val="24"/>
        </w:rPr>
        <w:t>. 1</w:t>
      </w:r>
      <w:r w:rsidR="002F3D77">
        <w:rPr>
          <w:rFonts w:cstheme="minorHAnsi"/>
          <w:b/>
          <w:bCs/>
          <w:sz w:val="24"/>
          <w:szCs w:val="24"/>
        </w:rPr>
        <w:t>1</w:t>
      </w:r>
      <w:r w:rsidRPr="00E0718C">
        <w:rPr>
          <w:rFonts w:cstheme="minorHAnsi"/>
          <w:b/>
          <w:bCs/>
          <w:sz w:val="24"/>
          <w:szCs w:val="24"/>
        </w:rPr>
        <w:t xml:space="preserve">. 2022 </w:t>
      </w:r>
      <w:r w:rsidRPr="00E0718C">
        <w:rPr>
          <w:rFonts w:eastAsia="Calibri" w:cstheme="minorHAnsi"/>
          <w:b/>
          <w:sz w:val="24"/>
          <w:szCs w:val="24"/>
        </w:rPr>
        <w:t xml:space="preserve">- </w:t>
      </w:r>
      <w:r w:rsidR="00E0718C" w:rsidRPr="00E0718C">
        <w:rPr>
          <w:rFonts w:eastAsia="Calibri" w:cstheme="minorHAnsi"/>
          <w:b/>
          <w:sz w:val="24"/>
          <w:szCs w:val="24"/>
        </w:rPr>
        <w:t>Projektanti stavebných prác sú v predikciách pre nasledujúce obdobie opatrní. Do konca roka očakávajú pokles dopytu po projektových prácach o 1 %, ktorý odhadujú aj na základe situácie v okolitých krajinách. Mierne optimistickejší pohľad ponúkajú potom projektanti inžinierskych stavieb, ktorí pre rok 2023 predpovedajú návrat do kladných čísel. Zároveň sa očakáva využitie kapacít na 88 %, čo zodpovedá priemeru posledn</w:t>
      </w:r>
      <w:r w:rsidR="002328A8">
        <w:rPr>
          <w:rFonts w:eastAsia="Calibri" w:cstheme="minorHAnsi"/>
          <w:b/>
          <w:sz w:val="24"/>
          <w:szCs w:val="24"/>
        </w:rPr>
        <w:t>ý</w:t>
      </w:r>
      <w:r w:rsidR="00E0718C" w:rsidRPr="00E0718C">
        <w:rPr>
          <w:rFonts w:eastAsia="Calibri" w:cstheme="minorHAnsi"/>
          <w:b/>
          <w:sz w:val="24"/>
          <w:szCs w:val="24"/>
        </w:rPr>
        <w:t>ch dvoch rokov. Projektové spoločnosti očakávajú do konca rok</w:t>
      </w:r>
      <w:r w:rsidR="002328A8">
        <w:rPr>
          <w:rFonts w:eastAsia="Calibri" w:cstheme="minorHAnsi"/>
          <w:b/>
          <w:sz w:val="24"/>
          <w:szCs w:val="24"/>
        </w:rPr>
        <w:t>a</w:t>
      </w:r>
      <w:r w:rsidR="00E0718C" w:rsidRPr="00E0718C">
        <w:rPr>
          <w:rFonts w:eastAsia="Calibri" w:cstheme="minorHAnsi"/>
          <w:b/>
          <w:sz w:val="24"/>
          <w:szCs w:val="24"/>
        </w:rPr>
        <w:t xml:space="preserve"> 2022 pokles tržieb o 0,1 %. Totožný pokles potom predpovedajú aj pre nadchádzajúci rok. Optimistickejší pohľad na vývoj tržieb majú projektanti inžinierskych stavieb, ktorí, na rozdiel od projektantov zameriavajúcich sa na pozemné staviteľstvo, očakávajú rast ako do konca roka 2022, tak v roku 2023. V priemere majú projektanti </w:t>
      </w:r>
      <w:proofErr w:type="spellStart"/>
      <w:r w:rsidR="00E0718C" w:rsidRPr="00E0718C">
        <w:rPr>
          <w:rFonts w:eastAsia="Calibri" w:cstheme="minorHAnsi"/>
          <w:b/>
          <w:sz w:val="24"/>
          <w:szCs w:val="24"/>
        </w:rPr>
        <w:t>zazmluvnené</w:t>
      </w:r>
      <w:proofErr w:type="spellEnd"/>
      <w:r w:rsidR="00E0718C" w:rsidRPr="00E0718C">
        <w:rPr>
          <w:rFonts w:eastAsia="Calibri" w:cstheme="minorHAnsi"/>
          <w:b/>
          <w:sz w:val="24"/>
          <w:szCs w:val="24"/>
        </w:rPr>
        <w:t xml:space="preserve"> zákazky na 5 mesiacov dopredu, čo je pre takmer </w:t>
      </w:r>
      <w:r w:rsidR="002328A8">
        <w:rPr>
          <w:rFonts w:eastAsia="Calibri" w:cstheme="minorHAnsi"/>
          <w:b/>
          <w:sz w:val="24"/>
          <w:szCs w:val="24"/>
        </w:rPr>
        <w:t xml:space="preserve">o </w:t>
      </w:r>
      <w:r w:rsidR="00E0718C" w:rsidRPr="00E0718C">
        <w:rPr>
          <w:rFonts w:eastAsia="Calibri" w:cstheme="minorHAnsi"/>
          <w:b/>
          <w:sz w:val="24"/>
          <w:szCs w:val="24"/>
        </w:rPr>
        <w:t>polovicu rovnaká doba ako v minulom roku.</w:t>
      </w:r>
      <w:r w:rsidR="00E0718C">
        <w:rPr>
          <w:rFonts w:ascii="SourceSansVariable-Roman" w:hAnsi="SourceSansVariable-Roman" w:cs="SourceSansVariable-Roman"/>
        </w:rPr>
        <w:t xml:space="preserve"> </w:t>
      </w:r>
      <w:r w:rsidRPr="00000769">
        <w:rPr>
          <w:rFonts w:eastAsia="Calibri" w:cstheme="minorHAnsi"/>
          <w:b/>
          <w:sz w:val="24"/>
          <w:szCs w:val="24"/>
        </w:rPr>
        <w:t>Vyplýva to z Polročnej štúdie slovenského stavebníctva H2/2022 spracovan</w:t>
      </w:r>
      <w:r w:rsidR="00000769">
        <w:rPr>
          <w:rFonts w:eastAsia="Calibri" w:cstheme="minorHAnsi"/>
          <w:b/>
          <w:sz w:val="24"/>
          <w:szCs w:val="24"/>
        </w:rPr>
        <w:t>ou</w:t>
      </w:r>
      <w:r w:rsidRPr="00000769">
        <w:rPr>
          <w:rFonts w:eastAsia="Calibri" w:cstheme="minorHAnsi"/>
          <w:b/>
          <w:sz w:val="24"/>
          <w:szCs w:val="24"/>
        </w:rPr>
        <w:t xml:space="preserve"> analytickou spoločnosťou CEEC Research s.r.o. za podpory generálneho partnera Cementárne Ladce, a.s. </w:t>
      </w:r>
      <w:bookmarkEnd w:id="0"/>
    </w:p>
    <w:p w14:paraId="6610AEC7" w14:textId="290DED73" w:rsidR="00E0718C" w:rsidRDefault="00E0718C" w:rsidP="00E70A50">
      <w:pPr>
        <w:autoSpaceDE w:val="0"/>
        <w:autoSpaceDN w:val="0"/>
        <w:adjustRightInd w:val="0"/>
        <w:spacing w:after="0" w:line="240" w:lineRule="auto"/>
        <w:rPr>
          <w:rFonts w:cstheme="minorHAnsi"/>
          <w:sz w:val="24"/>
          <w:szCs w:val="24"/>
        </w:rPr>
      </w:pPr>
    </w:p>
    <w:p w14:paraId="165B1080" w14:textId="7BD731B8" w:rsidR="00E0718C" w:rsidRPr="009B1925" w:rsidRDefault="00E0718C" w:rsidP="009B1925">
      <w:pPr>
        <w:autoSpaceDE w:val="0"/>
        <w:autoSpaceDN w:val="0"/>
        <w:adjustRightInd w:val="0"/>
        <w:spacing w:after="0" w:line="240" w:lineRule="auto"/>
        <w:jc w:val="both"/>
        <w:rPr>
          <w:rFonts w:cstheme="minorHAnsi"/>
          <w:sz w:val="24"/>
          <w:szCs w:val="24"/>
        </w:rPr>
      </w:pPr>
      <w:r w:rsidRPr="009B1925">
        <w:rPr>
          <w:rFonts w:cstheme="minorHAnsi"/>
          <w:sz w:val="24"/>
          <w:szCs w:val="24"/>
        </w:rPr>
        <w:t>Neistá situácia na trhu sa prepisuje do očakávania projektových spoločností. Do konca rok</w:t>
      </w:r>
      <w:r w:rsidR="002328A8">
        <w:rPr>
          <w:rFonts w:cstheme="minorHAnsi"/>
          <w:sz w:val="24"/>
          <w:szCs w:val="24"/>
        </w:rPr>
        <w:t>a</w:t>
      </w:r>
      <w:r w:rsidRPr="009B1925">
        <w:rPr>
          <w:rFonts w:cstheme="minorHAnsi"/>
          <w:sz w:val="24"/>
          <w:szCs w:val="24"/>
        </w:rPr>
        <w:t xml:space="preserve"> 2022 očakáva 46 % firiem pokles</w:t>
      </w:r>
      <w:r w:rsidR="009B1925">
        <w:rPr>
          <w:rFonts w:cstheme="minorHAnsi"/>
          <w:sz w:val="24"/>
          <w:szCs w:val="24"/>
        </w:rPr>
        <w:t xml:space="preserve"> </w:t>
      </w:r>
      <w:r w:rsidRPr="009B1925">
        <w:rPr>
          <w:rFonts w:cstheme="minorHAnsi"/>
          <w:sz w:val="24"/>
          <w:szCs w:val="24"/>
        </w:rPr>
        <w:t>trhu o 1 %. Ešte menší dopyt po projektových prácach potom projektové spoločnosti očakávajú v roku 2023, kedy počítajú</w:t>
      </w:r>
      <w:r w:rsidR="009B1925">
        <w:rPr>
          <w:rFonts w:cstheme="minorHAnsi"/>
          <w:sz w:val="24"/>
          <w:szCs w:val="24"/>
        </w:rPr>
        <w:t xml:space="preserve"> </w:t>
      </w:r>
      <w:r w:rsidRPr="009B1925">
        <w:rPr>
          <w:rFonts w:cstheme="minorHAnsi"/>
          <w:sz w:val="24"/>
          <w:szCs w:val="24"/>
        </w:rPr>
        <w:t>s prepadom trhu o 1,2 %.</w:t>
      </w:r>
    </w:p>
    <w:p w14:paraId="1EEACA50" w14:textId="37110629" w:rsidR="00E0718C" w:rsidRPr="009B1925" w:rsidRDefault="00E0718C" w:rsidP="009B1925">
      <w:pPr>
        <w:autoSpaceDE w:val="0"/>
        <w:autoSpaceDN w:val="0"/>
        <w:adjustRightInd w:val="0"/>
        <w:spacing w:after="0" w:line="240" w:lineRule="auto"/>
        <w:jc w:val="both"/>
        <w:rPr>
          <w:rFonts w:cstheme="minorHAnsi"/>
          <w:sz w:val="24"/>
          <w:szCs w:val="24"/>
        </w:rPr>
      </w:pPr>
      <w:r w:rsidRPr="009B1925">
        <w:rPr>
          <w:rFonts w:cstheme="minorHAnsi"/>
          <w:noProof/>
          <w:sz w:val="24"/>
          <w:szCs w:val="24"/>
        </w:rPr>
        <w:drawing>
          <wp:anchor distT="0" distB="0" distL="114300" distR="114300" simplePos="0" relativeHeight="251663360" behindDoc="1" locked="0" layoutInCell="1" allowOverlap="1" wp14:anchorId="3140D1A6" wp14:editId="23262385">
            <wp:simplePos x="0" y="0"/>
            <wp:positionH relativeFrom="margin">
              <wp:align>center</wp:align>
            </wp:positionH>
            <wp:positionV relativeFrom="paragraph">
              <wp:posOffset>173355</wp:posOffset>
            </wp:positionV>
            <wp:extent cx="4978400" cy="3321050"/>
            <wp:effectExtent l="0" t="0" r="0" b="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978400" cy="3321050"/>
                    </a:xfrm>
                    <a:prstGeom prst="rect">
                      <a:avLst/>
                    </a:prstGeom>
                  </pic:spPr>
                </pic:pic>
              </a:graphicData>
            </a:graphic>
          </wp:anchor>
        </w:drawing>
      </w:r>
    </w:p>
    <w:p w14:paraId="73630AE5" w14:textId="08080769" w:rsidR="00E0718C" w:rsidRPr="009B1925" w:rsidRDefault="00E0718C" w:rsidP="009B1925">
      <w:pPr>
        <w:autoSpaceDE w:val="0"/>
        <w:autoSpaceDN w:val="0"/>
        <w:adjustRightInd w:val="0"/>
        <w:spacing w:after="0" w:line="240" w:lineRule="auto"/>
        <w:jc w:val="both"/>
        <w:rPr>
          <w:rFonts w:cstheme="minorHAnsi"/>
          <w:sz w:val="24"/>
          <w:szCs w:val="24"/>
        </w:rPr>
      </w:pPr>
    </w:p>
    <w:p w14:paraId="155A34DB" w14:textId="40AA6C2E" w:rsidR="00E0718C" w:rsidRPr="009B1925" w:rsidRDefault="00E0718C" w:rsidP="009B1925">
      <w:pPr>
        <w:autoSpaceDE w:val="0"/>
        <w:autoSpaceDN w:val="0"/>
        <w:adjustRightInd w:val="0"/>
        <w:spacing w:after="0" w:line="240" w:lineRule="auto"/>
        <w:jc w:val="both"/>
        <w:rPr>
          <w:rFonts w:cstheme="minorHAnsi"/>
          <w:sz w:val="24"/>
          <w:szCs w:val="24"/>
        </w:rPr>
      </w:pPr>
    </w:p>
    <w:p w14:paraId="65050A82" w14:textId="292AD93F" w:rsidR="00E0718C" w:rsidRPr="009B1925" w:rsidRDefault="00E0718C" w:rsidP="009B1925">
      <w:pPr>
        <w:autoSpaceDE w:val="0"/>
        <w:autoSpaceDN w:val="0"/>
        <w:adjustRightInd w:val="0"/>
        <w:spacing w:after="0" w:line="240" w:lineRule="auto"/>
        <w:jc w:val="both"/>
        <w:rPr>
          <w:rFonts w:cstheme="minorHAnsi"/>
          <w:sz w:val="24"/>
          <w:szCs w:val="24"/>
        </w:rPr>
      </w:pPr>
      <w:r w:rsidRPr="009B1925">
        <w:rPr>
          <w:rFonts w:cstheme="minorHAnsi"/>
          <w:sz w:val="24"/>
          <w:szCs w:val="24"/>
        </w:rPr>
        <w:t>Do konca rok</w:t>
      </w:r>
      <w:r w:rsidR="002328A8">
        <w:rPr>
          <w:rFonts w:cstheme="minorHAnsi"/>
          <w:sz w:val="24"/>
          <w:szCs w:val="24"/>
        </w:rPr>
        <w:t>a</w:t>
      </w:r>
      <w:r w:rsidRPr="009B1925">
        <w:rPr>
          <w:rFonts w:cstheme="minorHAnsi"/>
          <w:sz w:val="24"/>
          <w:szCs w:val="24"/>
        </w:rPr>
        <w:t xml:space="preserve"> 2022 očakávajú pokles trhu projektanti pozemných i inžinierskych stavieb. Zatiaľ čo projektanti pozemných</w:t>
      </w:r>
      <w:r w:rsidR="009B1925">
        <w:rPr>
          <w:rFonts w:cstheme="minorHAnsi"/>
          <w:sz w:val="24"/>
          <w:szCs w:val="24"/>
        </w:rPr>
        <w:t xml:space="preserve"> </w:t>
      </w:r>
      <w:r w:rsidRPr="009B1925">
        <w:rPr>
          <w:rFonts w:cstheme="minorHAnsi"/>
          <w:sz w:val="24"/>
          <w:szCs w:val="24"/>
        </w:rPr>
        <w:t>stavieb prinášajú negatívne predikcie aj na rok 2023, projektanti inžinierskych stavieb aj na základe silnejšieho dopytu</w:t>
      </w:r>
      <w:r w:rsidR="009B1925">
        <w:rPr>
          <w:rFonts w:cstheme="minorHAnsi"/>
          <w:sz w:val="24"/>
          <w:szCs w:val="24"/>
        </w:rPr>
        <w:t xml:space="preserve"> </w:t>
      </w:r>
      <w:r w:rsidRPr="009B1925">
        <w:rPr>
          <w:rFonts w:cstheme="minorHAnsi"/>
          <w:sz w:val="24"/>
          <w:szCs w:val="24"/>
        </w:rPr>
        <w:t>očakávajú v roku 2023 rast trhu o 0,6 %.</w:t>
      </w:r>
    </w:p>
    <w:p w14:paraId="3896AB38" w14:textId="2423A81D" w:rsidR="00E0718C" w:rsidRDefault="00E0718C" w:rsidP="00C30CBE">
      <w:pPr>
        <w:autoSpaceDE w:val="0"/>
        <w:autoSpaceDN w:val="0"/>
        <w:adjustRightInd w:val="0"/>
        <w:spacing w:after="0" w:line="240" w:lineRule="auto"/>
        <w:jc w:val="both"/>
        <w:rPr>
          <w:rFonts w:cstheme="minorHAnsi"/>
          <w:sz w:val="24"/>
          <w:szCs w:val="24"/>
        </w:rPr>
      </w:pPr>
    </w:p>
    <w:p w14:paraId="11E468C7" w14:textId="77777777" w:rsidR="009B1925" w:rsidRPr="009B1925" w:rsidRDefault="009B1925" w:rsidP="00C30CBE">
      <w:pPr>
        <w:autoSpaceDE w:val="0"/>
        <w:autoSpaceDN w:val="0"/>
        <w:adjustRightInd w:val="0"/>
        <w:spacing w:after="0" w:line="240" w:lineRule="auto"/>
        <w:jc w:val="both"/>
        <w:rPr>
          <w:rFonts w:cstheme="minorHAnsi"/>
          <w:sz w:val="24"/>
          <w:szCs w:val="24"/>
        </w:rPr>
      </w:pPr>
    </w:p>
    <w:p w14:paraId="55154D94" w14:textId="65EC6CAF" w:rsidR="00E0718C" w:rsidRPr="002F3D77" w:rsidRDefault="00E0718C" w:rsidP="009B1925">
      <w:pPr>
        <w:autoSpaceDE w:val="0"/>
        <w:autoSpaceDN w:val="0"/>
        <w:adjustRightInd w:val="0"/>
        <w:spacing w:after="0" w:line="240" w:lineRule="auto"/>
        <w:jc w:val="both"/>
        <w:rPr>
          <w:rFonts w:cstheme="minorHAnsi"/>
          <w:b/>
          <w:bCs/>
          <w:sz w:val="24"/>
          <w:szCs w:val="24"/>
        </w:rPr>
      </w:pPr>
      <w:r w:rsidRPr="009B1925">
        <w:rPr>
          <w:rFonts w:cstheme="minorHAnsi"/>
          <w:sz w:val="24"/>
          <w:szCs w:val="24"/>
        </w:rPr>
        <w:t>V súčasnosti majú projektové spoločnosti vyťažené kapacity v priemere na 88 %. Na rok 2023 potom očakávajú zníženie</w:t>
      </w:r>
      <w:r w:rsidR="009B1925">
        <w:rPr>
          <w:rFonts w:cstheme="minorHAnsi"/>
          <w:sz w:val="24"/>
          <w:szCs w:val="24"/>
        </w:rPr>
        <w:t xml:space="preserve"> </w:t>
      </w:r>
      <w:r w:rsidRPr="009B1925">
        <w:rPr>
          <w:rFonts w:cstheme="minorHAnsi"/>
          <w:sz w:val="24"/>
          <w:szCs w:val="24"/>
        </w:rPr>
        <w:t>vyťaženosti z dôvodu energetickej krízy, a to v priemere na 84 %. Vyťaženosť kapacít je pre obe obdobia väčšia u projektantov inžinierskych stavieb.</w:t>
      </w:r>
      <w:r w:rsidR="00915EE3" w:rsidRPr="00915EE3">
        <w:rPr>
          <w:rFonts w:cstheme="minorHAnsi"/>
          <w:sz w:val="24"/>
          <w:szCs w:val="24"/>
        </w:rPr>
        <w:t xml:space="preserve"> </w:t>
      </w:r>
      <w:r w:rsidR="00915EE3" w:rsidRPr="00915EE3">
        <w:rPr>
          <w:rFonts w:cstheme="minorHAnsi"/>
          <w:i/>
          <w:iCs/>
          <w:sz w:val="24"/>
          <w:szCs w:val="24"/>
        </w:rPr>
        <w:t>„Je preukázateľný nárast objednávok v roku 2022 na projektové práce a kapacita je obmedzená. Ak sledujem okolité krajiny, tak nezdieľam veľký optimizmus, že nadpriemerný dopyt po projektových prácach bude pokračovať aj budúci rok.“</w:t>
      </w:r>
      <w:r w:rsidR="00915EE3" w:rsidRPr="00915EE3">
        <w:rPr>
          <w:rFonts w:cstheme="minorHAnsi"/>
          <w:sz w:val="24"/>
          <w:szCs w:val="24"/>
        </w:rPr>
        <w:t xml:space="preserve"> </w:t>
      </w:r>
      <w:r w:rsidR="002328A8">
        <w:rPr>
          <w:rFonts w:cstheme="minorHAnsi"/>
          <w:sz w:val="24"/>
          <w:szCs w:val="24"/>
        </w:rPr>
        <w:t>Oznamuje</w:t>
      </w:r>
      <w:r w:rsidR="00915EE3" w:rsidRPr="00915EE3">
        <w:rPr>
          <w:rFonts w:cstheme="minorHAnsi"/>
          <w:sz w:val="24"/>
          <w:szCs w:val="24"/>
        </w:rPr>
        <w:t xml:space="preserve"> svo</w:t>
      </w:r>
      <w:r w:rsidR="002328A8">
        <w:rPr>
          <w:rFonts w:cstheme="minorHAnsi"/>
          <w:sz w:val="24"/>
          <w:szCs w:val="24"/>
        </w:rPr>
        <w:t>j</w:t>
      </w:r>
      <w:r w:rsidR="00915EE3" w:rsidRPr="00915EE3">
        <w:rPr>
          <w:rFonts w:cstheme="minorHAnsi"/>
          <w:sz w:val="24"/>
          <w:szCs w:val="24"/>
        </w:rPr>
        <w:t xml:space="preserve">u obavu </w:t>
      </w:r>
      <w:r w:rsidR="00915EE3" w:rsidRPr="00915EE3">
        <w:rPr>
          <w:rFonts w:cstheme="minorHAnsi"/>
          <w:b/>
          <w:bCs/>
          <w:sz w:val="24"/>
          <w:szCs w:val="24"/>
        </w:rPr>
        <w:t>Ján Majerský, generálny riaditeľ spoločnosti PROMA, s. r. o.</w:t>
      </w:r>
    </w:p>
    <w:p w14:paraId="6C6C4CE2" w14:textId="11CE6122" w:rsidR="00E0718C" w:rsidRPr="009B1925" w:rsidRDefault="00E0718C" w:rsidP="009B1925">
      <w:pPr>
        <w:autoSpaceDE w:val="0"/>
        <w:autoSpaceDN w:val="0"/>
        <w:adjustRightInd w:val="0"/>
        <w:spacing w:after="0" w:line="240" w:lineRule="auto"/>
        <w:jc w:val="both"/>
        <w:rPr>
          <w:rFonts w:cstheme="minorHAnsi"/>
          <w:sz w:val="24"/>
          <w:szCs w:val="24"/>
        </w:rPr>
      </w:pPr>
    </w:p>
    <w:p w14:paraId="3570FF8A" w14:textId="56D26B2C" w:rsidR="00E0718C" w:rsidRPr="009B1925" w:rsidRDefault="00E0718C" w:rsidP="009B1925">
      <w:pPr>
        <w:autoSpaceDE w:val="0"/>
        <w:autoSpaceDN w:val="0"/>
        <w:adjustRightInd w:val="0"/>
        <w:spacing w:after="0" w:line="240" w:lineRule="auto"/>
        <w:jc w:val="both"/>
        <w:rPr>
          <w:rFonts w:cstheme="minorHAnsi"/>
          <w:sz w:val="24"/>
          <w:szCs w:val="24"/>
        </w:rPr>
      </w:pPr>
      <w:r w:rsidRPr="009B1925">
        <w:rPr>
          <w:rFonts w:cstheme="minorHAnsi"/>
          <w:sz w:val="24"/>
          <w:szCs w:val="24"/>
        </w:rPr>
        <w:t>Veľmi podobný očakávaný vývoj tržieb do konca rok</w:t>
      </w:r>
      <w:r w:rsidR="002328A8">
        <w:rPr>
          <w:rFonts w:cstheme="minorHAnsi"/>
          <w:sz w:val="24"/>
          <w:szCs w:val="24"/>
        </w:rPr>
        <w:t>a</w:t>
      </w:r>
      <w:r w:rsidRPr="009B1925">
        <w:rPr>
          <w:rFonts w:cstheme="minorHAnsi"/>
          <w:sz w:val="24"/>
          <w:szCs w:val="24"/>
        </w:rPr>
        <w:t xml:space="preserve"> 2022 a na nasledujúci rok 2023 je daný najmä stagnáciou vo vypisovaní projektových zákaziek. Dve pätiny (43 %) opýtaných</w:t>
      </w:r>
      <w:r w:rsidR="009B1925">
        <w:rPr>
          <w:rFonts w:cstheme="minorHAnsi"/>
          <w:sz w:val="24"/>
          <w:szCs w:val="24"/>
        </w:rPr>
        <w:t xml:space="preserve"> </w:t>
      </w:r>
      <w:r w:rsidRPr="009B1925">
        <w:rPr>
          <w:rFonts w:cstheme="minorHAnsi"/>
          <w:sz w:val="24"/>
          <w:szCs w:val="24"/>
        </w:rPr>
        <w:t>projektových spoločností očakáva pre druhý polrok rok</w:t>
      </w:r>
      <w:r w:rsidR="002328A8">
        <w:rPr>
          <w:rFonts w:cstheme="minorHAnsi"/>
          <w:sz w:val="24"/>
          <w:szCs w:val="24"/>
        </w:rPr>
        <w:t>a</w:t>
      </w:r>
      <w:r w:rsidRPr="009B1925">
        <w:rPr>
          <w:rFonts w:cstheme="minorHAnsi"/>
          <w:sz w:val="24"/>
          <w:szCs w:val="24"/>
        </w:rPr>
        <w:t xml:space="preserve"> 2022 pokles tržieb. V roku 2023 už pokles tržieb očakáva o niečo menej projektových spoločností, celkovo 39 %.</w:t>
      </w:r>
    </w:p>
    <w:p w14:paraId="2E4397EF" w14:textId="0A80B393" w:rsidR="00E0718C" w:rsidRPr="009B1925" w:rsidRDefault="00E0718C" w:rsidP="009B1925">
      <w:pPr>
        <w:autoSpaceDE w:val="0"/>
        <w:autoSpaceDN w:val="0"/>
        <w:adjustRightInd w:val="0"/>
        <w:spacing w:after="0" w:line="240" w:lineRule="auto"/>
        <w:jc w:val="both"/>
        <w:rPr>
          <w:rFonts w:cstheme="minorHAnsi"/>
          <w:sz w:val="24"/>
          <w:szCs w:val="24"/>
        </w:rPr>
      </w:pPr>
      <w:r w:rsidRPr="009B1925">
        <w:rPr>
          <w:rFonts w:cstheme="minorHAnsi"/>
          <w:noProof/>
          <w:sz w:val="24"/>
          <w:szCs w:val="24"/>
        </w:rPr>
        <w:drawing>
          <wp:anchor distT="0" distB="0" distL="114300" distR="114300" simplePos="0" relativeHeight="251664384" behindDoc="0" locked="0" layoutInCell="1" allowOverlap="1" wp14:anchorId="4D1EF292" wp14:editId="0675D1C4">
            <wp:simplePos x="0" y="0"/>
            <wp:positionH relativeFrom="margin">
              <wp:align>center</wp:align>
            </wp:positionH>
            <wp:positionV relativeFrom="paragraph">
              <wp:posOffset>218440</wp:posOffset>
            </wp:positionV>
            <wp:extent cx="4921503" cy="3397425"/>
            <wp:effectExtent l="0" t="0" r="0" b="0"/>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921503" cy="3397425"/>
                    </a:xfrm>
                    <a:prstGeom prst="rect">
                      <a:avLst/>
                    </a:prstGeom>
                  </pic:spPr>
                </pic:pic>
              </a:graphicData>
            </a:graphic>
          </wp:anchor>
        </w:drawing>
      </w:r>
    </w:p>
    <w:p w14:paraId="6D57C749" w14:textId="42C7EA9F" w:rsidR="00E0718C" w:rsidRPr="009B1925" w:rsidRDefault="00E0718C" w:rsidP="009B1925">
      <w:pPr>
        <w:autoSpaceDE w:val="0"/>
        <w:autoSpaceDN w:val="0"/>
        <w:adjustRightInd w:val="0"/>
        <w:spacing w:after="0" w:line="240" w:lineRule="auto"/>
        <w:jc w:val="both"/>
        <w:rPr>
          <w:rFonts w:cstheme="minorHAnsi"/>
          <w:sz w:val="24"/>
          <w:szCs w:val="24"/>
        </w:rPr>
      </w:pPr>
    </w:p>
    <w:p w14:paraId="60620907" w14:textId="2C0132A7" w:rsidR="00E0718C" w:rsidRPr="009B1925" w:rsidRDefault="00E0718C" w:rsidP="009B1925">
      <w:pPr>
        <w:autoSpaceDE w:val="0"/>
        <w:autoSpaceDN w:val="0"/>
        <w:adjustRightInd w:val="0"/>
        <w:spacing w:after="0" w:line="240" w:lineRule="auto"/>
        <w:jc w:val="both"/>
        <w:rPr>
          <w:rFonts w:cstheme="minorHAnsi"/>
          <w:sz w:val="24"/>
          <w:szCs w:val="24"/>
        </w:rPr>
      </w:pPr>
    </w:p>
    <w:p w14:paraId="4500F3BB" w14:textId="364999BD" w:rsidR="00E0718C" w:rsidRDefault="00E0718C" w:rsidP="009B1925">
      <w:pPr>
        <w:autoSpaceDE w:val="0"/>
        <w:autoSpaceDN w:val="0"/>
        <w:adjustRightInd w:val="0"/>
        <w:spacing w:after="0" w:line="240" w:lineRule="auto"/>
        <w:jc w:val="both"/>
        <w:rPr>
          <w:rFonts w:cstheme="minorHAnsi"/>
          <w:sz w:val="24"/>
          <w:szCs w:val="24"/>
        </w:rPr>
      </w:pPr>
      <w:r w:rsidRPr="009B1925">
        <w:rPr>
          <w:rFonts w:cstheme="minorHAnsi"/>
          <w:sz w:val="24"/>
          <w:szCs w:val="24"/>
        </w:rPr>
        <w:t>Zatiaľ čo projektanti zaoberajúci sa prevažne projekciou pozemných stavieb očakávajú pokles vývoja tržieb, projektantov</w:t>
      </w:r>
      <w:r w:rsidR="009B1925">
        <w:rPr>
          <w:rFonts w:cstheme="minorHAnsi"/>
          <w:sz w:val="24"/>
          <w:szCs w:val="24"/>
        </w:rPr>
        <w:t xml:space="preserve"> </w:t>
      </w:r>
      <w:r w:rsidRPr="009B1925">
        <w:rPr>
          <w:rFonts w:cstheme="minorHAnsi"/>
          <w:sz w:val="24"/>
          <w:szCs w:val="24"/>
        </w:rPr>
        <w:t>inžinierskych stavieb optimizmus neopúšťa a na nadchádzajúce obdobie predikujú rast. Potenciál vidia v nutnosti čerpania</w:t>
      </w:r>
      <w:r w:rsidR="009B1925">
        <w:rPr>
          <w:rFonts w:cstheme="minorHAnsi"/>
          <w:sz w:val="24"/>
          <w:szCs w:val="24"/>
        </w:rPr>
        <w:t xml:space="preserve"> </w:t>
      </w:r>
      <w:r w:rsidRPr="009B1925">
        <w:rPr>
          <w:rFonts w:cstheme="minorHAnsi"/>
          <w:sz w:val="24"/>
          <w:szCs w:val="24"/>
        </w:rPr>
        <w:t>európskych fondov z dôvodu končiaceho plánovacieho obdobia.</w:t>
      </w:r>
    </w:p>
    <w:p w14:paraId="45404E4A" w14:textId="4F084DB1" w:rsidR="00E0718C" w:rsidRPr="009B1925" w:rsidRDefault="00E0718C" w:rsidP="009B1925">
      <w:pPr>
        <w:autoSpaceDE w:val="0"/>
        <w:autoSpaceDN w:val="0"/>
        <w:adjustRightInd w:val="0"/>
        <w:spacing w:after="0" w:line="240" w:lineRule="auto"/>
        <w:jc w:val="both"/>
        <w:rPr>
          <w:rFonts w:cstheme="minorHAnsi"/>
          <w:sz w:val="24"/>
          <w:szCs w:val="24"/>
        </w:rPr>
      </w:pPr>
    </w:p>
    <w:p w14:paraId="3D2DAC10" w14:textId="31C87A8E" w:rsidR="00C30CBE" w:rsidRPr="00C30CBE" w:rsidRDefault="00E0718C" w:rsidP="00C30CBE">
      <w:pPr>
        <w:autoSpaceDE w:val="0"/>
        <w:autoSpaceDN w:val="0"/>
        <w:adjustRightInd w:val="0"/>
        <w:spacing w:after="0" w:line="240" w:lineRule="auto"/>
        <w:jc w:val="both"/>
        <w:rPr>
          <w:rFonts w:ascii="SourceSansVariable-Roman" w:hAnsi="SourceSansVariable-Roman" w:cs="SourceSansVariable-Roman"/>
          <w:b/>
          <w:bCs/>
          <w:color w:val="008CD3"/>
        </w:rPr>
      </w:pPr>
      <w:r w:rsidRPr="009B1925">
        <w:rPr>
          <w:rFonts w:cstheme="minorHAnsi"/>
          <w:sz w:val="24"/>
          <w:szCs w:val="24"/>
        </w:rPr>
        <w:t>Neustále rastúce ceny majú vplyv na ziskovosť zákaziek projektových spoločností. Viac ako jedna tretina opýtaných</w:t>
      </w:r>
      <w:r w:rsidR="009B1925">
        <w:rPr>
          <w:rFonts w:cstheme="minorHAnsi"/>
          <w:sz w:val="24"/>
          <w:szCs w:val="24"/>
        </w:rPr>
        <w:t xml:space="preserve"> </w:t>
      </w:r>
      <w:r w:rsidRPr="009B1925">
        <w:rPr>
          <w:rFonts w:cstheme="minorHAnsi"/>
          <w:sz w:val="24"/>
          <w:szCs w:val="24"/>
        </w:rPr>
        <w:t>projektantov pocítila v tomto roku pokles ziskovosti zákaziek, zároveň ho pociťujú viacerí projektanti zameriavajúci sa na</w:t>
      </w:r>
      <w:r w:rsidR="009B1925">
        <w:rPr>
          <w:rFonts w:cstheme="minorHAnsi"/>
          <w:sz w:val="24"/>
          <w:szCs w:val="24"/>
        </w:rPr>
        <w:t xml:space="preserve"> </w:t>
      </w:r>
      <w:r w:rsidRPr="009B1925">
        <w:rPr>
          <w:rFonts w:cstheme="minorHAnsi"/>
          <w:sz w:val="24"/>
          <w:szCs w:val="24"/>
        </w:rPr>
        <w:t>pozemné staviteľstvo. Zmenu ziskovosti zatiaľ v tomto roku nepocítilo 42 % opýtaných.</w:t>
      </w:r>
      <w:r w:rsidR="00C30CBE" w:rsidRPr="00C30CBE">
        <w:rPr>
          <w:rFonts w:cstheme="minorHAnsi"/>
          <w:sz w:val="24"/>
          <w:szCs w:val="24"/>
        </w:rPr>
        <w:t xml:space="preserve"> </w:t>
      </w:r>
      <w:r w:rsidR="00C30CBE" w:rsidRPr="00C30CBE">
        <w:rPr>
          <w:rFonts w:cstheme="minorHAnsi"/>
          <w:i/>
          <w:iCs/>
          <w:sz w:val="24"/>
          <w:szCs w:val="24"/>
        </w:rPr>
        <w:t xml:space="preserve">„Všeobecne môžeme povedať, že trh projektových zákaziek v rokoch 2021 a 2022 výrazne klesol oproti minulým rokom. Pri </w:t>
      </w:r>
      <w:r w:rsidR="00C30CBE" w:rsidRPr="00C30CBE">
        <w:rPr>
          <w:rFonts w:cstheme="minorHAnsi"/>
          <w:i/>
          <w:iCs/>
          <w:sz w:val="24"/>
          <w:szCs w:val="24"/>
        </w:rPr>
        <w:lastRenderedPageBreak/>
        <w:t xml:space="preserve">diaľniciach, rýchlostných cestách a cestách I. triedy sa nesúťažilo takmer nič. Takýto prístup verejných investorov nemôže trvať večne. Nie som síce v tomto smere veľký optimista, ale ak chceme pokračovať vo výstavbe diaľnic a rýchlostných ciest, rekonštrukcii ciest I. </w:t>
      </w:r>
      <w:r w:rsidR="002328A8">
        <w:rPr>
          <w:rFonts w:cstheme="minorHAnsi"/>
          <w:i/>
          <w:iCs/>
          <w:sz w:val="24"/>
          <w:szCs w:val="24"/>
        </w:rPr>
        <w:t>t</w:t>
      </w:r>
      <w:r w:rsidR="00C30CBE" w:rsidRPr="00C30CBE">
        <w:rPr>
          <w:rFonts w:cstheme="minorHAnsi"/>
          <w:i/>
          <w:iCs/>
          <w:sz w:val="24"/>
          <w:szCs w:val="24"/>
        </w:rPr>
        <w:t>riedy a opravách mostov so zanedbanou údržbou, tak musí nevyhnutne dôjsť k oživeniu projektových prác.“</w:t>
      </w:r>
      <w:r w:rsidR="00C30CBE" w:rsidRPr="00C30CBE">
        <w:rPr>
          <w:rFonts w:cstheme="minorHAnsi"/>
          <w:sz w:val="24"/>
          <w:szCs w:val="24"/>
        </w:rPr>
        <w:t xml:space="preserve"> Komentuje s</w:t>
      </w:r>
      <w:r w:rsidR="002328A8">
        <w:rPr>
          <w:rFonts w:cstheme="minorHAnsi"/>
          <w:sz w:val="24"/>
          <w:szCs w:val="24"/>
        </w:rPr>
        <w:t>ú</w:t>
      </w:r>
      <w:r w:rsidR="00C30CBE" w:rsidRPr="00C30CBE">
        <w:rPr>
          <w:rFonts w:cstheme="minorHAnsi"/>
          <w:sz w:val="24"/>
          <w:szCs w:val="24"/>
        </w:rPr>
        <w:t xml:space="preserve">časný stav </w:t>
      </w:r>
      <w:r w:rsidR="00C30CBE" w:rsidRPr="00C30CBE">
        <w:rPr>
          <w:rFonts w:cstheme="minorHAnsi"/>
          <w:b/>
          <w:bCs/>
          <w:sz w:val="24"/>
          <w:szCs w:val="24"/>
        </w:rPr>
        <w:t>Viliam Piták, riaditeľ spoločnosti HBH Projekt spol. s r. o. – organizačná zložka Slovensko</w:t>
      </w:r>
      <w:r w:rsidR="00C30CBE">
        <w:rPr>
          <w:rFonts w:cstheme="minorHAnsi"/>
          <w:b/>
          <w:bCs/>
          <w:sz w:val="24"/>
          <w:szCs w:val="24"/>
        </w:rPr>
        <w:t>.</w:t>
      </w:r>
    </w:p>
    <w:p w14:paraId="13A65547" w14:textId="6F22392B" w:rsidR="00E0718C" w:rsidRPr="009B1925" w:rsidRDefault="00E0718C" w:rsidP="009B1925">
      <w:pPr>
        <w:autoSpaceDE w:val="0"/>
        <w:autoSpaceDN w:val="0"/>
        <w:adjustRightInd w:val="0"/>
        <w:spacing w:after="0" w:line="240" w:lineRule="auto"/>
        <w:jc w:val="both"/>
        <w:rPr>
          <w:rFonts w:cstheme="minorHAnsi"/>
          <w:sz w:val="24"/>
          <w:szCs w:val="24"/>
        </w:rPr>
      </w:pPr>
    </w:p>
    <w:p w14:paraId="02999ACE" w14:textId="6CE0BAC8" w:rsidR="006731FB" w:rsidRPr="005217B5" w:rsidRDefault="00E0718C" w:rsidP="005217B5">
      <w:pPr>
        <w:autoSpaceDE w:val="0"/>
        <w:autoSpaceDN w:val="0"/>
        <w:adjustRightInd w:val="0"/>
        <w:spacing w:after="0" w:line="240" w:lineRule="auto"/>
        <w:jc w:val="both"/>
        <w:rPr>
          <w:rFonts w:cstheme="minorHAnsi"/>
          <w:sz w:val="24"/>
          <w:szCs w:val="24"/>
        </w:rPr>
      </w:pPr>
      <w:r w:rsidRPr="009B1925">
        <w:rPr>
          <w:rFonts w:cstheme="minorHAnsi"/>
          <w:sz w:val="24"/>
          <w:szCs w:val="24"/>
        </w:rPr>
        <w:t xml:space="preserve">Rovnaké množstvo </w:t>
      </w:r>
      <w:proofErr w:type="spellStart"/>
      <w:r w:rsidRPr="009B1925">
        <w:rPr>
          <w:rFonts w:cstheme="minorHAnsi"/>
          <w:sz w:val="24"/>
          <w:szCs w:val="24"/>
        </w:rPr>
        <w:t>zazmluvnených</w:t>
      </w:r>
      <w:proofErr w:type="spellEnd"/>
      <w:r w:rsidRPr="009B1925">
        <w:rPr>
          <w:rFonts w:cstheme="minorHAnsi"/>
          <w:sz w:val="24"/>
          <w:szCs w:val="24"/>
        </w:rPr>
        <w:t xml:space="preserve"> zákaziek v porovnaní s minulým rokom eviduje 48 % projektových firiem, tie majú</w:t>
      </w:r>
      <w:r w:rsidR="009B1925">
        <w:rPr>
          <w:rFonts w:cstheme="minorHAnsi"/>
          <w:sz w:val="24"/>
          <w:szCs w:val="24"/>
        </w:rPr>
        <w:t xml:space="preserve"> </w:t>
      </w:r>
      <w:proofErr w:type="spellStart"/>
      <w:r w:rsidRPr="009B1925">
        <w:rPr>
          <w:rFonts w:cstheme="minorHAnsi"/>
          <w:sz w:val="24"/>
          <w:szCs w:val="24"/>
        </w:rPr>
        <w:t>zazmluvnené</w:t>
      </w:r>
      <w:proofErr w:type="spellEnd"/>
      <w:r w:rsidRPr="009B1925">
        <w:rPr>
          <w:rFonts w:cstheme="minorHAnsi"/>
          <w:sz w:val="24"/>
          <w:szCs w:val="24"/>
        </w:rPr>
        <w:t xml:space="preserve"> zákazky v priemere na 5 mesiacov dopredu. Takmer tretina firiem potom pociťuje menšie množstvo</w:t>
      </w:r>
      <w:r w:rsidR="009B1925">
        <w:rPr>
          <w:rFonts w:cstheme="minorHAnsi"/>
          <w:sz w:val="24"/>
          <w:szCs w:val="24"/>
        </w:rPr>
        <w:t xml:space="preserve"> </w:t>
      </w:r>
      <w:proofErr w:type="spellStart"/>
      <w:r w:rsidRPr="009B1925">
        <w:rPr>
          <w:rFonts w:cstheme="minorHAnsi"/>
          <w:sz w:val="24"/>
          <w:szCs w:val="24"/>
        </w:rPr>
        <w:t>zazmluvnených</w:t>
      </w:r>
      <w:proofErr w:type="spellEnd"/>
      <w:r w:rsidRPr="009B1925">
        <w:rPr>
          <w:rFonts w:cstheme="minorHAnsi"/>
          <w:sz w:val="24"/>
          <w:szCs w:val="24"/>
        </w:rPr>
        <w:t xml:space="preserve"> zákaziek v porovnaní s minulým rokom.</w:t>
      </w:r>
    </w:p>
    <w:p w14:paraId="2C66DF21" w14:textId="018AAE50" w:rsidR="00C30CBE" w:rsidRDefault="00C30CBE" w:rsidP="009F6FE8">
      <w:pPr>
        <w:pStyle w:val="Zkladnodstavec"/>
        <w:suppressAutoHyphens/>
        <w:jc w:val="center"/>
        <w:rPr>
          <w:rFonts w:asciiTheme="minorHAnsi" w:hAnsiTheme="minorHAnsi" w:cstheme="minorHAnsi"/>
          <w:b/>
          <w:bCs/>
          <w:color w:val="auto"/>
          <w:sz w:val="30"/>
          <w:szCs w:val="30"/>
        </w:rPr>
      </w:pPr>
    </w:p>
    <w:p w14:paraId="404DE4D1" w14:textId="074FF0C9" w:rsidR="00C30CBE" w:rsidRDefault="00C30CBE" w:rsidP="009F6FE8">
      <w:pPr>
        <w:pStyle w:val="Zkladnodstavec"/>
        <w:suppressAutoHyphens/>
        <w:jc w:val="center"/>
        <w:rPr>
          <w:rFonts w:asciiTheme="minorHAnsi" w:hAnsiTheme="minorHAnsi" w:cstheme="minorHAnsi"/>
          <w:b/>
          <w:bCs/>
          <w:color w:val="auto"/>
          <w:sz w:val="30"/>
          <w:szCs w:val="30"/>
        </w:rPr>
      </w:pPr>
    </w:p>
    <w:p w14:paraId="20D4F935" w14:textId="63A60AB6" w:rsidR="00C30CBE" w:rsidRDefault="005217B5" w:rsidP="009F6FE8">
      <w:pPr>
        <w:pStyle w:val="Zkladnodstavec"/>
        <w:suppressAutoHyphens/>
        <w:jc w:val="center"/>
        <w:rPr>
          <w:rFonts w:asciiTheme="minorHAnsi" w:hAnsiTheme="minorHAnsi" w:cstheme="minorHAnsi"/>
          <w:b/>
          <w:bCs/>
          <w:color w:val="auto"/>
          <w:sz w:val="30"/>
          <w:szCs w:val="30"/>
        </w:rPr>
      </w:pPr>
      <w:r>
        <w:rPr>
          <w:noProof/>
        </w:rPr>
        <w:drawing>
          <wp:inline distT="0" distB="0" distL="0" distR="0" wp14:anchorId="73F5E5FE" wp14:editId="3293D860">
            <wp:extent cx="4076274" cy="2889808"/>
            <wp:effectExtent l="0" t="0" r="635"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94360" cy="2902629"/>
                    </a:xfrm>
                    <a:prstGeom prst="rect">
                      <a:avLst/>
                    </a:prstGeom>
                  </pic:spPr>
                </pic:pic>
              </a:graphicData>
            </a:graphic>
          </wp:inline>
        </w:drawing>
      </w:r>
    </w:p>
    <w:p w14:paraId="5E3416A6" w14:textId="0703945A" w:rsidR="009F6FE8" w:rsidRPr="00000769" w:rsidRDefault="009F6FE8" w:rsidP="005217B5">
      <w:pPr>
        <w:pStyle w:val="Zkladnodstavec"/>
        <w:suppressAutoHyphens/>
        <w:jc w:val="center"/>
        <w:rPr>
          <w:rFonts w:asciiTheme="minorHAnsi" w:hAnsiTheme="minorHAnsi" w:cstheme="minorHAnsi"/>
          <w:b/>
          <w:bCs/>
          <w:color w:val="auto"/>
          <w:sz w:val="30"/>
          <w:szCs w:val="30"/>
        </w:rPr>
      </w:pPr>
      <w:r w:rsidRPr="00000769">
        <w:rPr>
          <w:rFonts w:asciiTheme="minorHAnsi" w:hAnsiTheme="minorHAnsi" w:cstheme="minorHAnsi"/>
          <w:b/>
          <w:bCs/>
          <w:color w:val="auto"/>
          <w:sz w:val="30"/>
          <w:szCs w:val="30"/>
        </w:rPr>
        <w:t xml:space="preserve">POLROČNÁ ŠTÚDIA SLOVENSKÉHO STAVEBNÍCTVA </w:t>
      </w:r>
      <w:r w:rsidRPr="00000769">
        <w:rPr>
          <w:rFonts w:asciiTheme="minorHAnsi" w:hAnsiTheme="minorHAnsi" w:cstheme="minorHAnsi"/>
          <w:b/>
          <w:bCs/>
          <w:color w:val="auto"/>
          <w:sz w:val="30"/>
          <w:szCs w:val="30"/>
        </w:rPr>
        <w:br/>
        <w:t>H2/2022 JE ZVEREJNENÁ NA:</w:t>
      </w:r>
    </w:p>
    <w:p w14:paraId="0F55C8EE" w14:textId="77777777" w:rsidR="009F6FE8" w:rsidRPr="00000769" w:rsidRDefault="009F6FE8" w:rsidP="005217B5">
      <w:pPr>
        <w:pStyle w:val="Zkladnodstavec"/>
        <w:suppressAutoHyphens/>
        <w:jc w:val="center"/>
        <w:rPr>
          <w:rFonts w:asciiTheme="minorHAnsi" w:hAnsiTheme="minorHAnsi" w:cstheme="minorHAnsi"/>
          <w:b/>
          <w:bCs/>
          <w:color w:val="auto"/>
          <w:sz w:val="30"/>
          <w:szCs w:val="30"/>
        </w:rPr>
      </w:pPr>
      <w:r w:rsidRPr="00000769">
        <w:rPr>
          <w:rFonts w:asciiTheme="minorHAnsi" w:hAnsiTheme="minorHAnsi" w:cstheme="minorHAnsi"/>
          <w:b/>
          <w:bCs/>
          <w:color w:val="auto"/>
          <w:sz w:val="30"/>
          <w:szCs w:val="30"/>
        </w:rPr>
        <w:t>WWW.CEEC.EU</w:t>
      </w:r>
    </w:p>
    <w:p w14:paraId="690A1824" w14:textId="77777777" w:rsidR="009F6FE8" w:rsidRPr="00000769" w:rsidRDefault="009F6FE8" w:rsidP="009F6FE8">
      <w:pPr>
        <w:spacing w:after="0" w:line="276" w:lineRule="auto"/>
        <w:jc w:val="both"/>
        <w:rPr>
          <w:rFonts w:ascii="Source Sans Pro" w:eastAsia="Calibri" w:hAnsi="Source Sans Pro" w:cs="Calibri"/>
          <w:b/>
          <w:sz w:val="18"/>
          <w:szCs w:val="18"/>
        </w:rPr>
      </w:pPr>
    </w:p>
    <w:p w14:paraId="434D1A6F" w14:textId="77777777" w:rsidR="009F6FE8" w:rsidRPr="00000769" w:rsidRDefault="009F6FE8" w:rsidP="009F6FE8">
      <w:pPr>
        <w:spacing w:after="0" w:line="276" w:lineRule="auto"/>
        <w:jc w:val="both"/>
        <w:rPr>
          <w:rFonts w:ascii="Source Sans Pro" w:eastAsia="Calibri" w:hAnsi="Source Sans Pro" w:cs="Calibri"/>
          <w:b/>
          <w:sz w:val="18"/>
          <w:szCs w:val="18"/>
        </w:rPr>
      </w:pPr>
    </w:p>
    <w:p w14:paraId="7FFBE9BD" w14:textId="77777777" w:rsidR="009F6FE8" w:rsidRPr="00000769" w:rsidRDefault="009F6FE8" w:rsidP="009F6FE8">
      <w:pPr>
        <w:spacing w:after="0" w:line="276" w:lineRule="auto"/>
        <w:jc w:val="both"/>
        <w:rPr>
          <w:rFonts w:ascii="Source Sans Pro" w:eastAsia="Calibri" w:hAnsi="Source Sans Pro" w:cs="Calibri"/>
          <w:b/>
          <w:sz w:val="18"/>
          <w:szCs w:val="18"/>
        </w:rPr>
      </w:pPr>
    </w:p>
    <w:p w14:paraId="7E42FA8E" w14:textId="77777777" w:rsidR="009F6FE8" w:rsidRPr="00000769" w:rsidRDefault="009F6FE8" w:rsidP="009F6FE8">
      <w:pPr>
        <w:spacing w:after="0" w:line="276" w:lineRule="auto"/>
        <w:jc w:val="both"/>
        <w:rPr>
          <w:rFonts w:eastAsia="Calibri" w:cstheme="minorHAnsi"/>
          <w:b/>
          <w:sz w:val="24"/>
          <w:szCs w:val="24"/>
        </w:rPr>
      </w:pPr>
      <w:r w:rsidRPr="00000769">
        <w:rPr>
          <w:rFonts w:eastAsia="Calibri" w:cstheme="minorHAnsi"/>
          <w:b/>
          <w:sz w:val="24"/>
          <w:szCs w:val="24"/>
        </w:rPr>
        <w:t>Kontakt pre média:</w:t>
      </w:r>
    </w:p>
    <w:p w14:paraId="6A932660" w14:textId="77777777" w:rsidR="009F6FE8" w:rsidRPr="00000769" w:rsidRDefault="009F6FE8" w:rsidP="009F6FE8">
      <w:pPr>
        <w:spacing w:after="0" w:line="276" w:lineRule="auto"/>
        <w:jc w:val="both"/>
        <w:rPr>
          <w:rFonts w:eastAsia="Calibri" w:cstheme="minorHAnsi"/>
          <w:sz w:val="24"/>
          <w:szCs w:val="24"/>
        </w:rPr>
      </w:pPr>
      <w:r w:rsidRPr="00000769">
        <w:rPr>
          <w:rFonts w:eastAsia="Calibri" w:cstheme="minorHAnsi"/>
          <w:sz w:val="24"/>
          <w:szCs w:val="24"/>
        </w:rPr>
        <w:t>Ing. Michal Vacek</w:t>
      </w:r>
    </w:p>
    <w:p w14:paraId="2A341668" w14:textId="4C7E83FA" w:rsidR="009F6FE8" w:rsidRPr="00000769" w:rsidRDefault="00E0718C" w:rsidP="009F6FE8">
      <w:pPr>
        <w:spacing w:after="0" w:line="276" w:lineRule="auto"/>
        <w:jc w:val="both"/>
        <w:rPr>
          <w:rFonts w:eastAsia="Calibri" w:cstheme="minorHAnsi"/>
          <w:sz w:val="24"/>
          <w:szCs w:val="24"/>
        </w:rPr>
      </w:pPr>
      <w:r>
        <w:rPr>
          <w:rFonts w:eastAsia="Calibri" w:cstheme="minorHAnsi"/>
          <w:sz w:val="24"/>
          <w:szCs w:val="24"/>
        </w:rPr>
        <w:t>v</w:t>
      </w:r>
      <w:r w:rsidR="009F6FE8" w:rsidRPr="00000769">
        <w:rPr>
          <w:rFonts w:eastAsia="Calibri" w:cstheme="minorHAnsi"/>
          <w:sz w:val="24"/>
          <w:szCs w:val="24"/>
        </w:rPr>
        <w:t>ýkonný riaditeľ spoločnosti</w:t>
      </w:r>
    </w:p>
    <w:p w14:paraId="2B4C4BFB" w14:textId="77777777" w:rsidR="009F6FE8" w:rsidRPr="00000769" w:rsidRDefault="009F6FE8" w:rsidP="009F6FE8">
      <w:pPr>
        <w:spacing w:after="0" w:line="276" w:lineRule="auto"/>
        <w:jc w:val="both"/>
        <w:rPr>
          <w:rFonts w:eastAsia="Calibri" w:cstheme="minorHAnsi"/>
          <w:sz w:val="24"/>
          <w:szCs w:val="24"/>
        </w:rPr>
      </w:pPr>
      <w:r w:rsidRPr="00000769">
        <w:rPr>
          <w:rFonts w:eastAsia="Calibri" w:cstheme="minorHAnsi"/>
          <w:sz w:val="24"/>
          <w:szCs w:val="24"/>
        </w:rPr>
        <w:t>CEEC Research</w:t>
      </w:r>
    </w:p>
    <w:p w14:paraId="290B9881" w14:textId="77777777" w:rsidR="009F6FE8" w:rsidRPr="00000769" w:rsidRDefault="009F6FE8" w:rsidP="009F6FE8">
      <w:pPr>
        <w:spacing w:after="0" w:line="276" w:lineRule="auto"/>
        <w:jc w:val="both"/>
        <w:rPr>
          <w:rFonts w:eastAsia="Calibri" w:cstheme="minorHAnsi"/>
          <w:sz w:val="24"/>
          <w:szCs w:val="24"/>
        </w:rPr>
      </w:pPr>
      <w:r w:rsidRPr="00000769">
        <w:rPr>
          <w:rFonts w:eastAsia="Calibri" w:cstheme="minorHAnsi"/>
          <w:sz w:val="24"/>
          <w:szCs w:val="24"/>
        </w:rPr>
        <w:t>+420 776 023 170</w:t>
      </w:r>
    </w:p>
    <w:p w14:paraId="3CE648CE" w14:textId="77777777" w:rsidR="009F6FE8" w:rsidRPr="00000769" w:rsidRDefault="00000000" w:rsidP="009F6FE8">
      <w:pPr>
        <w:spacing w:after="0" w:line="276" w:lineRule="auto"/>
        <w:jc w:val="both"/>
        <w:rPr>
          <w:rFonts w:eastAsia="Calibri" w:cstheme="minorHAnsi"/>
          <w:sz w:val="24"/>
          <w:szCs w:val="24"/>
        </w:rPr>
      </w:pPr>
      <w:hyperlink r:id="rId9">
        <w:r w:rsidR="009F6FE8" w:rsidRPr="00000769">
          <w:rPr>
            <w:rFonts w:eastAsia="Calibri" w:cstheme="minorHAnsi"/>
            <w:color w:val="1155CC"/>
            <w:sz w:val="24"/>
            <w:szCs w:val="24"/>
            <w:u w:val="single"/>
          </w:rPr>
          <w:t>michal.vacek@ceec.eu</w:t>
        </w:r>
      </w:hyperlink>
    </w:p>
    <w:p w14:paraId="6983ECA9" w14:textId="77777777" w:rsidR="009F6FE8" w:rsidRPr="00000769" w:rsidRDefault="009F6FE8" w:rsidP="009F6FE8">
      <w:pPr>
        <w:spacing w:after="0" w:line="276" w:lineRule="auto"/>
        <w:jc w:val="both"/>
        <w:rPr>
          <w:rFonts w:eastAsia="Calibri" w:cstheme="minorHAnsi"/>
          <w:sz w:val="24"/>
          <w:szCs w:val="24"/>
        </w:rPr>
      </w:pPr>
    </w:p>
    <w:p w14:paraId="051B09D5" w14:textId="77777777" w:rsidR="009F6FE8" w:rsidRPr="00000769" w:rsidRDefault="009F6FE8" w:rsidP="009F6FE8">
      <w:pPr>
        <w:spacing w:after="0" w:line="276" w:lineRule="auto"/>
        <w:jc w:val="both"/>
        <w:rPr>
          <w:rFonts w:eastAsia="Calibri" w:cstheme="minorHAnsi"/>
          <w:sz w:val="24"/>
          <w:szCs w:val="24"/>
        </w:rPr>
      </w:pPr>
      <w:r w:rsidRPr="00000769">
        <w:rPr>
          <w:rFonts w:eastAsia="Calibri" w:cstheme="minorHAnsi"/>
          <w:sz w:val="24"/>
          <w:szCs w:val="24"/>
        </w:rPr>
        <w:lastRenderedPageBreak/>
        <w:t>Spoločnosť CEEC Research je poprednou analytickou a výskumnou spoločnosťou zameriavajúcou sa na vývoj vybraných sektorov ekonomiky v krajinách strednej a východnej Európy. Jej štúdie sú využívané v súčasnej dobe viac ako 17 000 spoločnosťami. Spoločnosť CEEC Research vznikla v roku 2005 ako analytická organizácia špecializujúca sa na spracovanie výskumov a analýz stavebného sektora, následne sa analytické zameranie rozšírilo aj na ďalšie vybrané sektory ekonomiky, vrátane stavebníctva.</w:t>
      </w:r>
    </w:p>
    <w:p w14:paraId="7954DC35" w14:textId="77777777" w:rsidR="009F6FE8" w:rsidRPr="00000769" w:rsidRDefault="009F6FE8" w:rsidP="009F6FE8">
      <w:pPr>
        <w:spacing w:after="0" w:line="276" w:lineRule="auto"/>
        <w:jc w:val="both"/>
        <w:rPr>
          <w:rFonts w:eastAsia="Calibri" w:cstheme="minorHAnsi"/>
          <w:sz w:val="24"/>
          <w:szCs w:val="24"/>
        </w:rPr>
      </w:pPr>
    </w:p>
    <w:p w14:paraId="4790E76C" w14:textId="77777777" w:rsidR="009F6FE8" w:rsidRPr="00000769" w:rsidRDefault="009F6FE8" w:rsidP="009F6FE8">
      <w:pPr>
        <w:spacing w:after="0" w:line="276" w:lineRule="auto"/>
        <w:jc w:val="both"/>
        <w:rPr>
          <w:rFonts w:eastAsia="Calibri" w:cstheme="minorHAnsi"/>
          <w:sz w:val="24"/>
          <w:szCs w:val="24"/>
        </w:rPr>
      </w:pPr>
      <w:r w:rsidRPr="00000769">
        <w:rPr>
          <w:rFonts w:eastAsia="Calibri" w:cstheme="minorHAnsi"/>
          <w:sz w:val="24"/>
          <w:szCs w:val="24"/>
        </w:rPr>
        <w:t>CEEC Research navyše k pravidelným a bezplatným analýzam tiež organizuje vysoko špecializované odborné konferencie, na ktorých sa zúčastňujú generálni riaditelia najvýznamnejších spoločností, prezidenti kľúčových zväzov, cechov a komôr a tiež ministri a najvyšší predstavitelia štátu z vybraných krajín.</w:t>
      </w:r>
    </w:p>
    <w:p w14:paraId="70894BF6" w14:textId="77777777" w:rsidR="009F6FE8" w:rsidRPr="00000769" w:rsidRDefault="009F6FE8" w:rsidP="0011327B">
      <w:pPr>
        <w:autoSpaceDE w:val="0"/>
        <w:autoSpaceDN w:val="0"/>
        <w:adjustRightInd w:val="0"/>
        <w:spacing w:after="0" w:line="240" w:lineRule="auto"/>
        <w:jc w:val="both"/>
        <w:rPr>
          <w:rFonts w:cstheme="minorHAnsi"/>
          <w:sz w:val="24"/>
          <w:szCs w:val="24"/>
        </w:rPr>
      </w:pPr>
    </w:p>
    <w:sectPr w:rsidR="009F6FE8" w:rsidRPr="0000076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DE0C" w14:textId="77777777" w:rsidR="00220FDD" w:rsidRDefault="00220FDD" w:rsidP="00E65B60">
      <w:pPr>
        <w:spacing w:after="0" w:line="240" w:lineRule="auto"/>
      </w:pPr>
      <w:r>
        <w:separator/>
      </w:r>
    </w:p>
  </w:endnote>
  <w:endnote w:type="continuationSeparator" w:id="0">
    <w:p w14:paraId="65776E94" w14:textId="77777777" w:rsidR="00220FDD" w:rsidRDefault="00220FDD" w:rsidP="00E6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ourceSansVariable-Roman">
    <w:altName w:val="Calibri"/>
    <w:panose1 w:val="00000000000000000000"/>
    <w:charset w:val="EE"/>
    <w:family w:val="swiss"/>
    <w:notTrueType/>
    <w:pitch w:val="default"/>
    <w:sig w:usb0="00000005" w:usb1="00000000" w:usb2="00000000" w:usb3="00000000" w:csb0="00000002" w:csb1="00000000"/>
  </w:font>
  <w:font w:name="Source Sans Pro">
    <w:panose1 w:val="020B0503030403020204"/>
    <w:charset w:val="00"/>
    <w:family w:val="swiss"/>
    <w:pitch w:val="variable"/>
    <w:sig w:usb0="600002F7" w:usb1="02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7318" w14:textId="77777777" w:rsidR="00220FDD" w:rsidRDefault="00220FDD" w:rsidP="00E65B60">
      <w:pPr>
        <w:spacing w:after="0" w:line="240" w:lineRule="auto"/>
      </w:pPr>
      <w:r>
        <w:separator/>
      </w:r>
    </w:p>
  </w:footnote>
  <w:footnote w:type="continuationSeparator" w:id="0">
    <w:p w14:paraId="72DB9976" w14:textId="77777777" w:rsidR="00220FDD" w:rsidRDefault="00220FDD" w:rsidP="00E65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D98A" w14:textId="22782E0D" w:rsidR="00E65B60" w:rsidRDefault="00E65B60">
    <w:pPr>
      <w:pStyle w:val="Zhlav"/>
    </w:pPr>
    <w:r>
      <w:rPr>
        <w:noProof/>
      </w:rPr>
      <w:drawing>
        <wp:anchor distT="0" distB="0" distL="114300" distR="114300" simplePos="0" relativeHeight="251659264" behindDoc="0" locked="0" layoutInCell="1" allowOverlap="1" wp14:anchorId="612B2108" wp14:editId="778B5A79">
          <wp:simplePos x="0" y="0"/>
          <wp:positionH relativeFrom="margin">
            <wp:align>right</wp:align>
          </wp:positionH>
          <wp:positionV relativeFrom="paragraph">
            <wp:posOffset>-195580</wp:posOffset>
          </wp:positionV>
          <wp:extent cx="869950" cy="786765"/>
          <wp:effectExtent l="0" t="0" r="635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78676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65B32D4D" wp14:editId="67381FD8">
          <wp:simplePos x="0" y="0"/>
          <wp:positionH relativeFrom="margin">
            <wp:align>left</wp:align>
          </wp:positionH>
          <wp:positionV relativeFrom="paragraph">
            <wp:posOffset>-163830</wp:posOffset>
          </wp:positionV>
          <wp:extent cx="1313180" cy="709295"/>
          <wp:effectExtent l="0" t="0" r="127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3180" cy="709295"/>
                  </a:xfrm>
                  <a:prstGeom prst="rect">
                    <a:avLst/>
                  </a:prstGeom>
                  <a:noFill/>
                  <a:ln>
                    <a:noFill/>
                  </a:ln>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50"/>
    <w:rsid w:val="00000769"/>
    <w:rsid w:val="00044592"/>
    <w:rsid w:val="00044F24"/>
    <w:rsid w:val="0011327B"/>
    <w:rsid w:val="0015532D"/>
    <w:rsid w:val="001D2520"/>
    <w:rsid w:val="00220FDD"/>
    <w:rsid w:val="002328A8"/>
    <w:rsid w:val="00250740"/>
    <w:rsid w:val="002F3D77"/>
    <w:rsid w:val="003B2CF1"/>
    <w:rsid w:val="00434CA9"/>
    <w:rsid w:val="004F401F"/>
    <w:rsid w:val="005217B5"/>
    <w:rsid w:val="00525A75"/>
    <w:rsid w:val="00640FE7"/>
    <w:rsid w:val="006731FB"/>
    <w:rsid w:val="006B7E61"/>
    <w:rsid w:val="00706354"/>
    <w:rsid w:val="00915EE3"/>
    <w:rsid w:val="009344C8"/>
    <w:rsid w:val="009B1925"/>
    <w:rsid w:val="009F6FE8"/>
    <w:rsid w:val="00AD27C2"/>
    <w:rsid w:val="00C30CBE"/>
    <w:rsid w:val="00C359DB"/>
    <w:rsid w:val="00D1455B"/>
    <w:rsid w:val="00DB78E6"/>
    <w:rsid w:val="00E0718C"/>
    <w:rsid w:val="00E248BA"/>
    <w:rsid w:val="00E65B60"/>
    <w:rsid w:val="00E70A50"/>
    <w:rsid w:val="00F27650"/>
    <w:rsid w:val="00F5723A"/>
    <w:rsid w:val="00F762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2CE5"/>
  <w15:chartTrackingRefBased/>
  <w15:docId w15:val="{F0164EAA-841B-44A2-B076-4A5B0878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5B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5B60"/>
  </w:style>
  <w:style w:type="paragraph" w:styleId="Zpat">
    <w:name w:val="footer"/>
    <w:basedOn w:val="Normln"/>
    <w:link w:val="ZpatChar"/>
    <w:uiPriority w:val="99"/>
    <w:unhideWhenUsed/>
    <w:rsid w:val="00E65B60"/>
    <w:pPr>
      <w:tabs>
        <w:tab w:val="center" w:pos="4536"/>
        <w:tab w:val="right" w:pos="9072"/>
      </w:tabs>
      <w:spacing w:after="0" w:line="240" w:lineRule="auto"/>
    </w:pPr>
  </w:style>
  <w:style w:type="character" w:customStyle="1" w:styleId="ZpatChar">
    <w:name w:val="Zápatí Char"/>
    <w:basedOn w:val="Standardnpsmoodstavce"/>
    <w:link w:val="Zpat"/>
    <w:uiPriority w:val="99"/>
    <w:rsid w:val="00E65B60"/>
  </w:style>
  <w:style w:type="paragraph" w:customStyle="1" w:styleId="Zkladnodstavec">
    <w:name w:val="[Základní odstavec]"/>
    <w:basedOn w:val="Normln"/>
    <w:uiPriority w:val="99"/>
    <w:rsid w:val="009F6FE8"/>
    <w:pPr>
      <w:autoSpaceDE w:val="0"/>
      <w:autoSpaceDN w:val="0"/>
      <w:adjustRightInd w:val="0"/>
      <w:spacing w:after="0" w:line="288" w:lineRule="auto"/>
      <w:textAlignment w:val="center"/>
    </w:pPr>
    <w:rPr>
      <w:rFonts w:ascii="Minion Pro" w:eastAsiaTheme="minorEastAsia" w:hAnsi="Minion Pro" w:cs="Minion Pro"/>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ichal.vacek@ceec.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754</Words>
  <Characters>4452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Vacek</dc:creator>
  <cp:keywords/>
  <dc:description/>
  <cp:lastModifiedBy>Michal Vacek</cp:lastModifiedBy>
  <cp:revision>2</cp:revision>
  <dcterms:created xsi:type="dcterms:W3CDTF">2022-11-30T06:57:00Z</dcterms:created>
  <dcterms:modified xsi:type="dcterms:W3CDTF">2022-11-30T06:57:00Z</dcterms:modified>
</cp:coreProperties>
</file>