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E5AC" w14:textId="7F163069" w:rsidR="00E65B60" w:rsidRPr="00000769" w:rsidRDefault="00E65B60" w:rsidP="00E65B60">
      <w:pPr>
        <w:spacing w:after="0" w:line="276" w:lineRule="auto"/>
        <w:jc w:val="center"/>
        <w:rPr>
          <w:rFonts w:cstheme="minorHAnsi"/>
          <w:b/>
          <w:bCs/>
          <w:sz w:val="36"/>
          <w:szCs w:val="36"/>
          <w:lang w:val="sk-SK"/>
        </w:rPr>
      </w:pPr>
      <w:r w:rsidRPr="00000769">
        <w:rPr>
          <w:rFonts w:cstheme="minorHAnsi"/>
          <w:b/>
          <w:bCs/>
          <w:sz w:val="36"/>
          <w:szCs w:val="36"/>
          <w:lang w:val="sk-SK"/>
        </w:rPr>
        <w:t xml:space="preserve">TRH STAVEBNÝCH PRÁC </w:t>
      </w:r>
      <w:r w:rsidR="00000769">
        <w:rPr>
          <w:rFonts w:cstheme="minorHAnsi"/>
          <w:b/>
          <w:bCs/>
          <w:sz w:val="36"/>
          <w:szCs w:val="36"/>
          <w:lang w:val="sk-SK"/>
        </w:rPr>
        <w:t xml:space="preserve">PORASTIE </w:t>
      </w:r>
      <w:r w:rsidRPr="00000769">
        <w:rPr>
          <w:rFonts w:cstheme="minorHAnsi"/>
          <w:b/>
          <w:bCs/>
          <w:sz w:val="36"/>
          <w:szCs w:val="36"/>
          <w:lang w:val="sk-SK"/>
        </w:rPr>
        <w:t>V ROKU 2023 O 0,6</w:t>
      </w:r>
      <w:r w:rsidR="00000769">
        <w:rPr>
          <w:rFonts w:cstheme="minorHAnsi"/>
          <w:b/>
          <w:bCs/>
          <w:sz w:val="36"/>
          <w:szCs w:val="36"/>
          <w:lang w:val="sk-SK"/>
        </w:rPr>
        <w:t xml:space="preserve"> </w:t>
      </w:r>
      <w:r w:rsidRPr="00000769">
        <w:rPr>
          <w:rFonts w:cstheme="minorHAnsi"/>
          <w:b/>
          <w:bCs/>
          <w:sz w:val="36"/>
          <w:szCs w:val="36"/>
          <w:lang w:val="sk-SK"/>
        </w:rPr>
        <w:t>%</w:t>
      </w:r>
    </w:p>
    <w:p w14:paraId="18C80161" w14:textId="77777777" w:rsidR="00E65B60" w:rsidRPr="00000769" w:rsidRDefault="00E65B60" w:rsidP="00E65B60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sk-SK"/>
        </w:rPr>
      </w:pPr>
    </w:p>
    <w:p w14:paraId="3D973D97" w14:textId="6C2750EC" w:rsidR="00E65B60" w:rsidRPr="00000769" w:rsidRDefault="00E65B60" w:rsidP="00E65B60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val="sk-SK"/>
        </w:rPr>
      </w:pPr>
      <w:r w:rsidRPr="00000769">
        <w:rPr>
          <w:rFonts w:cstheme="minorHAnsi"/>
          <w:b/>
          <w:bCs/>
          <w:sz w:val="24"/>
          <w:szCs w:val="24"/>
          <w:lang w:val="sk-SK"/>
        </w:rPr>
        <w:t xml:space="preserve">Bratislava – 24. 10. 2022 - </w:t>
      </w:r>
      <w:r w:rsidR="00E70A50" w:rsidRPr="00000769">
        <w:rPr>
          <w:rFonts w:cstheme="minorHAnsi"/>
          <w:b/>
          <w:bCs/>
          <w:sz w:val="24"/>
          <w:szCs w:val="24"/>
          <w:lang w:val="sk-SK"/>
        </w:rPr>
        <w:t xml:space="preserve">Vysoká miera inflácie, rastúce ceny energií alebo nedostatok stavebného materiálu brzdia vývoj trhu stavebníctva. Stavebné firmy aj napriek tomu očakávajú do konca roka 2022 rast trhu o 0,3 %. Optimizmus sa drží najmä firiem zameraných na inžinierske staviteľstvo, ktoré očakávajú rast do konca roka o 2,1 %. Zároveň majú stavebné spoločnosti svoje kapacity pomerne dosť využité - aktuálne na 93 %, čo je od roku 2018 najvyššie využitie. V porovnaní s vývojom trhu sú očakávania vývoja tržieb optimistickejšie. Najväčší rast tržieb očakávajú spoločnosti zamerané na inžinierske staviteľstvo, ktoré do konca roka predikujú rast o 2,4 %. V roku 2023 potom očakávajú rast dokonca o 3,7 %. Zároveň má 40 % firiem </w:t>
      </w:r>
      <w:proofErr w:type="spellStart"/>
      <w:r w:rsidR="00E70A50" w:rsidRPr="00000769">
        <w:rPr>
          <w:rFonts w:cstheme="minorHAnsi"/>
          <w:b/>
          <w:bCs/>
          <w:sz w:val="24"/>
          <w:szCs w:val="24"/>
          <w:lang w:val="sk-SK"/>
        </w:rPr>
        <w:t>zazmluvnené</w:t>
      </w:r>
      <w:proofErr w:type="spellEnd"/>
      <w:r w:rsidR="00E70A50" w:rsidRPr="00000769">
        <w:rPr>
          <w:rFonts w:cstheme="minorHAnsi"/>
          <w:b/>
          <w:bCs/>
          <w:sz w:val="24"/>
          <w:szCs w:val="24"/>
          <w:lang w:val="sk-SK"/>
        </w:rPr>
        <w:t xml:space="preserve"> zákazky na rovnakú dobu ako v minulom roku, a to v priemere na 7 mesiacov dopredu.</w:t>
      </w:r>
      <w:r w:rsidR="00044592" w:rsidRPr="00000769">
        <w:rPr>
          <w:rFonts w:cstheme="minorHAnsi"/>
          <w:b/>
          <w:bCs/>
          <w:sz w:val="24"/>
          <w:szCs w:val="24"/>
          <w:lang w:val="sk-SK"/>
        </w:rPr>
        <w:t xml:space="preserve"> </w:t>
      </w:r>
      <w:r w:rsidRPr="00000769">
        <w:rPr>
          <w:rFonts w:eastAsia="Calibri" w:cstheme="minorHAnsi"/>
          <w:b/>
          <w:sz w:val="24"/>
          <w:szCs w:val="24"/>
          <w:lang w:val="sk-SK"/>
        </w:rPr>
        <w:t>Vyplýva to z Polročnej štúdie slovenského stavebníctva H2/2022 spracovan</w:t>
      </w:r>
      <w:r w:rsidR="00000769">
        <w:rPr>
          <w:rFonts w:eastAsia="Calibri" w:cstheme="minorHAnsi"/>
          <w:b/>
          <w:sz w:val="24"/>
          <w:szCs w:val="24"/>
          <w:lang w:val="sk-SK"/>
        </w:rPr>
        <w:t>ou</w:t>
      </w:r>
      <w:r w:rsidRPr="00000769">
        <w:rPr>
          <w:rFonts w:eastAsia="Calibri" w:cstheme="minorHAnsi"/>
          <w:b/>
          <w:sz w:val="24"/>
          <w:szCs w:val="24"/>
          <w:lang w:val="sk-SK"/>
        </w:rPr>
        <w:t xml:space="preserve"> analytickou spoločnosťou CEEC Research s.r.o. za podpory generálneho partnera Cementárne Ladce, a.s. </w:t>
      </w:r>
    </w:p>
    <w:p w14:paraId="6173B174" w14:textId="6E228E90" w:rsidR="00640FE7" w:rsidRPr="00000769" w:rsidRDefault="00640FE7" w:rsidP="00E70A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sk-SK"/>
        </w:rPr>
      </w:pPr>
    </w:p>
    <w:p w14:paraId="56FD0FD2" w14:textId="4554D28A" w:rsidR="00E70A50" w:rsidRPr="00000769" w:rsidRDefault="00E70A50" w:rsidP="00E70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k-SK"/>
        </w:rPr>
      </w:pPr>
    </w:p>
    <w:p w14:paraId="621DDD82" w14:textId="49B80AEF" w:rsidR="00E70A50" w:rsidRPr="00000769" w:rsidRDefault="00706354" w:rsidP="006731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sk-SK"/>
        </w:rPr>
      </w:pPr>
      <w:r w:rsidRPr="00000769">
        <w:rPr>
          <w:rFonts w:cstheme="minorHAnsi"/>
          <w:noProof/>
          <w:sz w:val="24"/>
          <w:szCs w:val="24"/>
          <w:lang w:val="sk-SK"/>
        </w:rPr>
        <w:drawing>
          <wp:anchor distT="0" distB="0" distL="114300" distR="114300" simplePos="0" relativeHeight="251658240" behindDoc="0" locked="0" layoutInCell="1" allowOverlap="1" wp14:anchorId="011B63A4" wp14:editId="2D902B76">
            <wp:simplePos x="0" y="0"/>
            <wp:positionH relativeFrom="margin">
              <wp:align>center</wp:align>
            </wp:positionH>
            <wp:positionV relativeFrom="paragraph">
              <wp:posOffset>1693545</wp:posOffset>
            </wp:positionV>
            <wp:extent cx="4550672" cy="3403600"/>
            <wp:effectExtent l="0" t="0" r="2540" b="635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672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A50" w:rsidRPr="00000769">
        <w:rPr>
          <w:rFonts w:cstheme="minorHAnsi"/>
          <w:sz w:val="24"/>
          <w:szCs w:val="24"/>
          <w:lang w:val="sk-SK"/>
        </w:rPr>
        <w:t>Aj napriek vysokej miere inflácie, rastu cien energií a nedostatku stavebného materiálu je do konca roka 2022 očakávaný rast trhu stavebných prác o 0,3 %. O niečo vyšší rast (0,6 %) je potom predikovaný aj pre 1. polrok v roku 2023, kedy ho očakáva 62 % opýtaných riaditeľov stavebných spoločností.</w:t>
      </w:r>
      <w:r w:rsidR="009F6FE8" w:rsidRPr="00000769">
        <w:rPr>
          <w:rFonts w:cstheme="minorHAnsi"/>
          <w:sz w:val="24"/>
          <w:szCs w:val="24"/>
          <w:lang w:val="sk-SK"/>
        </w:rPr>
        <w:t xml:space="preserve"> </w:t>
      </w:r>
      <w:r w:rsidR="009F6FE8" w:rsidRPr="00000769">
        <w:rPr>
          <w:rFonts w:cstheme="minorHAnsi"/>
          <w:i/>
          <w:iCs/>
          <w:sz w:val="24"/>
          <w:szCs w:val="24"/>
          <w:lang w:val="sk-SK"/>
        </w:rPr>
        <w:t xml:space="preserve">„Postupujúca kríza sa podpisuje aj v slovenskom stavebníctve, avšak vďaka členstvu v eurozóne sú dopady krízy na Slovensku výrazne nižšie, než je tomu v Českej republike. Aké budú celkové dopady krízy, bude závisieť od stavu slovenského štátneho rozpočtu a od snahy slovenskej vlády investovať do stavebníctva.“  </w:t>
      </w:r>
      <w:r w:rsidR="00AD27C2" w:rsidRPr="00000769">
        <w:rPr>
          <w:rFonts w:cstheme="minorHAnsi"/>
          <w:sz w:val="24"/>
          <w:szCs w:val="24"/>
          <w:lang w:val="sk-SK"/>
        </w:rPr>
        <w:t>upozorňuje na prebiehajúc</w:t>
      </w:r>
      <w:r w:rsidR="00000769">
        <w:rPr>
          <w:rFonts w:cstheme="minorHAnsi"/>
          <w:sz w:val="24"/>
          <w:szCs w:val="24"/>
          <w:lang w:val="sk-SK"/>
        </w:rPr>
        <w:t>u</w:t>
      </w:r>
      <w:r w:rsidR="00AD27C2" w:rsidRPr="00000769">
        <w:rPr>
          <w:rFonts w:cstheme="minorHAnsi"/>
          <w:sz w:val="24"/>
          <w:szCs w:val="24"/>
          <w:lang w:val="sk-SK"/>
        </w:rPr>
        <w:t xml:space="preserve"> krízu v slovenskom stavebníctve </w:t>
      </w:r>
      <w:r w:rsidR="00AD27C2" w:rsidRPr="00000769">
        <w:rPr>
          <w:rFonts w:cstheme="minorHAnsi"/>
          <w:b/>
          <w:bCs/>
          <w:sz w:val="24"/>
          <w:szCs w:val="24"/>
          <w:lang w:val="sk-SK"/>
        </w:rPr>
        <w:t>Michal Vacek, výkonný riaditeľ spoločnosti CEEC Research s.r.o.</w:t>
      </w:r>
    </w:p>
    <w:p w14:paraId="3810FB1E" w14:textId="53ADCB9D" w:rsidR="00E70A50" w:rsidRPr="00000769" w:rsidRDefault="00E70A50" w:rsidP="00E70A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604F882D" w14:textId="2EB10615" w:rsidR="00706354" w:rsidRPr="00000769" w:rsidRDefault="00706354" w:rsidP="00E70A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574F8DA6" w14:textId="12AD7FD7" w:rsidR="00E70A50" w:rsidRPr="00000769" w:rsidRDefault="00E70A50" w:rsidP="006731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sk-SK"/>
        </w:rPr>
      </w:pPr>
      <w:r w:rsidRPr="00000769">
        <w:rPr>
          <w:rFonts w:cstheme="minorHAnsi"/>
          <w:sz w:val="24"/>
          <w:szCs w:val="24"/>
          <w:lang w:val="sk-SK"/>
        </w:rPr>
        <w:t>Rozdielne očakávania vývoja trhu majú firmy zamerané na pozemné a inžinierske staviteľstvo. Zatiaľ čo firmy špecializujúce sa na inžinierske staviteľstvo očakávajú v druhej polovici rok</w:t>
      </w:r>
      <w:r w:rsidR="00000769">
        <w:rPr>
          <w:rFonts w:cstheme="minorHAnsi"/>
          <w:sz w:val="24"/>
          <w:szCs w:val="24"/>
          <w:lang w:val="sk-SK"/>
        </w:rPr>
        <w:t>a</w:t>
      </w:r>
      <w:r w:rsidRPr="00000769">
        <w:rPr>
          <w:rFonts w:cstheme="minorHAnsi"/>
          <w:sz w:val="24"/>
          <w:szCs w:val="24"/>
          <w:lang w:val="sk-SK"/>
        </w:rPr>
        <w:t xml:space="preserve"> 2022 vývoj trhu stavebných prác 2,1 %, firmy zameriavajúce sa na pozemné staviteľstvo očakávajú pokles o 0,4 %. Podobná nálada sa potom prepisuje aj do predikcií pre rok 2023, kedy riaditelia spoločností zameraných na inžinierske staviteľstvo očakávajú rast 2,8 % a riaditelia spoločností zameraných na pozemné staviteľstvo očakávajú pokles o 0,2 %.</w:t>
      </w:r>
      <w:r w:rsidR="00AD27C2" w:rsidRPr="00000769">
        <w:rPr>
          <w:rFonts w:cstheme="minorHAnsi"/>
          <w:sz w:val="24"/>
          <w:szCs w:val="24"/>
          <w:lang w:val="sk-SK"/>
        </w:rPr>
        <w:t xml:space="preserve"> </w:t>
      </w:r>
      <w:r w:rsidR="00AD27C2" w:rsidRPr="00000769">
        <w:rPr>
          <w:rFonts w:cstheme="minorHAnsi"/>
          <w:i/>
          <w:iCs/>
          <w:sz w:val="24"/>
          <w:szCs w:val="24"/>
          <w:lang w:val="sk-SK"/>
        </w:rPr>
        <w:t>„Po období rastu stavebníctva je možné pozorovať, že stavebníctvu postupne dochádza dych. Už v tomto období sledujeme, že vzhľadom na veľkú neistotu v hospodárstve spôsobenú extrémnym rastom nákladov na energie, dochádza k prehodnocovaniu mnohých projektov. Očakávam, že ak sa nenájde rýchle a účinné celoeurópske riešenie vysokých cien energií, recesia v stavebníctve bude v budúcom roku veľmi výrazná.“</w:t>
      </w:r>
      <w:r w:rsidR="00E248BA" w:rsidRPr="00000769">
        <w:rPr>
          <w:rFonts w:cstheme="minorHAnsi"/>
          <w:i/>
          <w:iCs/>
          <w:sz w:val="24"/>
          <w:szCs w:val="24"/>
          <w:lang w:val="sk-SK"/>
        </w:rPr>
        <w:t xml:space="preserve"> </w:t>
      </w:r>
      <w:r w:rsidR="00E248BA" w:rsidRPr="00000769">
        <w:rPr>
          <w:rFonts w:cstheme="minorHAnsi"/>
          <w:sz w:val="24"/>
          <w:szCs w:val="24"/>
          <w:lang w:val="sk-SK"/>
        </w:rPr>
        <w:t>popisuje viditeľné spomalen</w:t>
      </w:r>
      <w:r w:rsidR="00000769">
        <w:rPr>
          <w:rFonts w:cstheme="minorHAnsi"/>
          <w:sz w:val="24"/>
          <w:szCs w:val="24"/>
          <w:lang w:val="sk-SK"/>
        </w:rPr>
        <w:t>ie</w:t>
      </w:r>
      <w:r w:rsidR="00E248BA" w:rsidRPr="00000769">
        <w:rPr>
          <w:rFonts w:cstheme="minorHAnsi"/>
          <w:sz w:val="24"/>
          <w:szCs w:val="24"/>
          <w:lang w:val="sk-SK"/>
        </w:rPr>
        <w:t xml:space="preserve"> stavebníctva </w:t>
      </w:r>
      <w:r w:rsidR="00E248BA" w:rsidRPr="00000769">
        <w:rPr>
          <w:rFonts w:cstheme="minorHAnsi"/>
          <w:b/>
          <w:bCs/>
          <w:sz w:val="24"/>
          <w:szCs w:val="24"/>
          <w:lang w:val="sk-SK"/>
        </w:rPr>
        <w:t>Pavel Kohout, predseda predstavenstva a generálny riaditeľ spoločnosti Považská cementáreň Ladce, a. s.</w:t>
      </w:r>
    </w:p>
    <w:p w14:paraId="5BFC8937" w14:textId="0228DF39" w:rsidR="00E70A50" w:rsidRPr="00000769" w:rsidRDefault="00E70A50" w:rsidP="006731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750831D2" w14:textId="59F32B6C" w:rsidR="00E70A50" w:rsidRPr="00000769" w:rsidRDefault="00E70A50" w:rsidP="006731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00769">
        <w:rPr>
          <w:rFonts w:cstheme="minorHAnsi"/>
          <w:sz w:val="24"/>
          <w:szCs w:val="24"/>
          <w:lang w:val="sk-SK"/>
        </w:rPr>
        <w:t>Aktuálne firmy svoje kapacity využívajú v priemere na 93 %, čo znamená najvyššie priemerné využitie kapacít od roku 2018. V nasledujúcom polroku sa očakáva pokles priemerného využitia kapacít na 85 %. Z dlhodobého hľadiska možno povedať, že ide o nadpriemerné využitie kapacít.</w:t>
      </w:r>
    </w:p>
    <w:p w14:paraId="60D5A872" w14:textId="7FAC11ED" w:rsidR="0011327B" w:rsidRPr="00000769" w:rsidRDefault="0011327B" w:rsidP="006731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07389C40" w14:textId="61EE412D" w:rsidR="0011327B" w:rsidRPr="00000769" w:rsidRDefault="0011327B" w:rsidP="006731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sk-SK"/>
        </w:rPr>
      </w:pPr>
      <w:r w:rsidRPr="00000769">
        <w:rPr>
          <w:rFonts w:cstheme="minorHAnsi"/>
          <w:sz w:val="24"/>
          <w:szCs w:val="24"/>
          <w:lang w:val="sk-SK"/>
        </w:rPr>
        <w:t>Riaditelia, ktorí sa zúčastnili interview pre Polročnú analýzu slovenského stavebníctva, sú v ďalšom vývoji tržieb optimistickí – nadpolovičná väčšina z nich očakáva rast ako do konca rok</w:t>
      </w:r>
      <w:r w:rsidR="00000769">
        <w:rPr>
          <w:rFonts w:cstheme="minorHAnsi"/>
          <w:sz w:val="24"/>
          <w:szCs w:val="24"/>
          <w:lang w:val="sk-SK"/>
        </w:rPr>
        <w:t>a</w:t>
      </w:r>
      <w:r w:rsidRPr="00000769">
        <w:rPr>
          <w:rFonts w:cstheme="minorHAnsi"/>
          <w:sz w:val="24"/>
          <w:szCs w:val="24"/>
          <w:lang w:val="sk-SK"/>
        </w:rPr>
        <w:t xml:space="preserve"> 2022, tak aj v roku 2023. Pre rok 2022 je očakávaný rast tržieb o 1,6 % a v roku 2023 očakávajú stavebné firmy rast o 1,2 %.</w:t>
      </w:r>
      <w:r w:rsidR="00E248BA" w:rsidRPr="00000769">
        <w:rPr>
          <w:rFonts w:cstheme="minorHAnsi"/>
          <w:sz w:val="24"/>
          <w:szCs w:val="24"/>
          <w:lang w:val="sk-SK"/>
        </w:rPr>
        <w:t xml:space="preserve"> </w:t>
      </w:r>
      <w:r w:rsidR="00E248BA" w:rsidRPr="00000769">
        <w:rPr>
          <w:rFonts w:cstheme="minorHAnsi"/>
          <w:i/>
          <w:iCs/>
          <w:sz w:val="24"/>
          <w:szCs w:val="24"/>
          <w:lang w:val="sk-SK"/>
        </w:rPr>
        <w:t>„Napriek problémom v segmente z dôvodu pandémie a situácie na Ukrajine môže byť ešte istý rast z titulu konca programovacieho obdobia, t. j. potreby čerpania eurofondov. Na druhej strane sa k vysokým cenám materiálu pridružili problémy s niekoľkonásobným rastom cien energií, čo ovplyvňuje každú oblasť života, nielen stavebníctva a v konečnom dôsledku môže opätovne investície utlmiť.“</w:t>
      </w:r>
      <w:r w:rsidR="003B2CF1" w:rsidRPr="00000769">
        <w:rPr>
          <w:rFonts w:cstheme="minorHAnsi"/>
          <w:i/>
          <w:iCs/>
          <w:sz w:val="24"/>
          <w:szCs w:val="24"/>
          <w:lang w:val="sk-SK"/>
        </w:rPr>
        <w:t xml:space="preserve"> </w:t>
      </w:r>
      <w:r w:rsidR="00F27650" w:rsidRPr="00000769">
        <w:rPr>
          <w:rFonts w:cstheme="minorHAnsi"/>
          <w:sz w:val="24"/>
          <w:szCs w:val="24"/>
          <w:lang w:val="sk-SK"/>
        </w:rPr>
        <w:t>k</w:t>
      </w:r>
      <w:r w:rsidR="0015532D" w:rsidRPr="00000769">
        <w:rPr>
          <w:rFonts w:cstheme="minorHAnsi"/>
          <w:sz w:val="24"/>
          <w:szCs w:val="24"/>
          <w:lang w:val="sk-SK"/>
        </w:rPr>
        <w:t>omentuje možný vývoj stavebníctva</w:t>
      </w:r>
      <w:r w:rsidR="00F762E9" w:rsidRPr="00000769">
        <w:rPr>
          <w:rFonts w:cstheme="minorHAnsi"/>
          <w:sz w:val="24"/>
          <w:szCs w:val="24"/>
          <w:lang w:val="sk-SK"/>
        </w:rPr>
        <w:t xml:space="preserve"> </w:t>
      </w:r>
      <w:r w:rsidR="003B2CF1" w:rsidRPr="00000769">
        <w:rPr>
          <w:rFonts w:cstheme="minorHAnsi"/>
          <w:b/>
          <w:bCs/>
          <w:sz w:val="24"/>
          <w:szCs w:val="24"/>
          <w:lang w:val="sk-SK"/>
        </w:rPr>
        <w:t>Jiří Skuhra, generálny riaditeľ a predseda predstavenstva spoločnosti VÁHOSTAV-SK, a. s.</w:t>
      </w:r>
      <w:r w:rsidR="00F762E9" w:rsidRPr="00000769">
        <w:rPr>
          <w:rFonts w:cstheme="minorHAnsi"/>
          <w:b/>
          <w:bCs/>
          <w:sz w:val="24"/>
          <w:szCs w:val="24"/>
          <w:lang w:val="sk-SK"/>
        </w:rPr>
        <w:t xml:space="preserve"> </w:t>
      </w:r>
      <w:r w:rsidR="00F762E9" w:rsidRPr="00000769">
        <w:rPr>
          <w:rFonts w:cstheme="minorHAnsi"/>
          <w:i/>
          <w:iCs/>
          <w:sz w:val="24"/>
          <w:szCs w:val="24"/>
          <w:lang w:val="sk-SK"/>
        </w:rPr>
        <w:t>„V oblasti rezidenčnej výstavby neočakávam výrazné spomalenie trhu, som však presvedčený, že bez zásahu do systému prípravy a čerpania ve</w:t>
      </w:r>
      <w:r w:rsidR="00000769">
        <w:rPr>
          <w:rFonts w:cstheme="minorHAnsi"/>
          <w:i/>
          <w:iCs/>
          <w:sz w:val="24"/>
          <w:szCs w:val="24"/>
          <w:lang w:val="sk-SK"/>
        </w:rPr>
        <w:t>r</w:t>
      </w:r>
      <w:r w:rsidR="00F762E9" w:rsidRPr="00000769">
        <w:rPr>
          <w:rFonts w:cstheme="minorHAnsi"/>
          <w:i/>
          <w:iCs/>
          <w:sz w:val="24"/>
          <w:szCs w:val="24"/>
          <w:lang w:val="sk-SK"/>
        </w:rPr>
        <w:t xml:space="preserve">ejných investícií nás čaká rok veľmi náročný. Dopady pandémie a vojnového konfliktu na Ukrajine ešte viac prehĺbia rozdiely medzi malými a strednými podnikmi, medzi firmami so zahraničným kapitálom a lokálnymi spoločnosťami.“ </w:t>
      </w:r>
      <w:r w:rsidR="00F762E9" w:rsidRPr="00000769">
        <w:rPr>
          <w:rFonts w:cstheme="minorHAnsi"/>
          <w:sz w:val="24"/>
          <w:szCs w:val="24"/>
          <w:lang w:val="sk-SK"/>
        </w:rPr>
        <w:t xml:space="preserve">doplňuje </w:t>
      </w:r>
      <w:r w:rsidR="00F762E9" w:rsidRPr="00000769">
        <w:rPr>
          <w:rFonts w:cstheme="minorHAnsi"/>
          <w:b/>
          <w:bCs/>
          <w:sz w:val="24"/>
          <w:szCs w:val="24"/>
          <w:lang w:val="sk-SK"/>
        </w:rPr>
        <w:t xml:space="preserve">Martin </w:t>
      </w:r>
      <w:proofErr w:type="spellStart"/>
      <w:r w:rsidR="00F762E9" w:rsidRPr="00000769">
        <w:rPr>
          <w:rFonts w:cstheme="minorHAnsi"/>
          <w:b/>
          <w:bCs/>
          <w:sz w:val="24"/>
          <w:szCs w:val="24"/>
          <w:lang w:val="sk-SK"/>
        </w:rPr>
        <w:t>Chrapp</w:t>
      </w:r>
      <w:proofErr w:type="spellEnd"/>
      <w:r w:rsidR="00F762E9" w:rsidRPr="00000769">
        <w:rPr>
          <w:rFonts w:cstheme="minorHAnsi"/>
          <w:b/>
          <w:bCs/>
          <w:sz w:val="24"/>
          <w:szCs w:val="24"/>
          <w:lang w:val="sk-SK"/>
        </w:rPr>
        <w:t>, obchodno-technický riaditeľ spoločnosti Doprastav, a.s.</w:t>
      </w:r>
    </w:p>
    <w:p w14:paraId="479125BD" w14:textId="554CD24E" w:rsidR="00706354" w:rsidRPr="00000769" w:rsidRDefault="00706354" w:rsidP="00F762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</w:p>
    <w:p w14:paraId="7F2CEDCC" w14:textId="6ABEAA62" w:rsidR="00706354" w:rsidRPr="00000769" w:rsidRDefault="00706354" w:rsidP="00F762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sk-SK"/>
        </w:rPr>
      </w:pPr>
      <w:r w:rsidRPr="00000769">
        <w:rPr>
          <w:rFonts w:cstheme="minorHAnsi"/>
          <w:b/>
          <w:bCs/>
          <w:noProof/>
          <w:sz w:val="24"/>
          <w:szCs w:val="24"/>
          <w:lang w:val="sk-SK"/>
        </w:rPr>
        <w:lastRenderedPageBreak/>
        <w:drawing>
          <wp:anchor distT="0" distB="0" distL="114300" distR="114300" simplePos="0" relativeHeight="251659264" behindDoc="0" locked="0" layoutInCell="1" allowOverlap="1" wp14:anchorId="3CDAADE7" wp14:editId="41CBDD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98670" cy="331470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67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DA293" w14:textId="0D944A26" w:rsidR="00E70A50" w:rsidRPr="00000769" w:rsidRDefault="00E70A50" w:rsidP="00E70A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3AE9ADE9" w14:textId="1F21F588" w:rsidR="00E70A50" w:rsidRPr="00000769" w:rsidRDefault="0011327B" w:rsidP="00113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00769">
        <w:rPr>
          <w:rFonts w:cstheme="minorHAnsi"/>
          <w:sz w:val="24"/>
          <w:szCs w:val="24"/>
          <w:lang w:val="sk-SK"/>
        </w:rPr>
        <w:t>Rovnako ako pri predikciách pre vývoj trhu, majú pre vývoj tržieb spoločnosti zamerané na inžinierske stavebníctvo väčšie očakávania. Do konca roka 2022 predpovedajú rast o 2,4 % a pre rok 2023 potom odhadujú rast na 3,7 %. Pozitívne predikcie ovplyvňuje aj stále silný dopyt po stavebných službách.</w:t>
      </w:r>
    </w:p>
    <w:p w14:paraId="7B482E5A" w14:textId="3CBEE8CD" w:rsidR="0011327B" w:rsidRPr="00000769" w:rsidRDefault="0011327B" w:rsidP="00113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4B0C058A" w14:textId="603ADAED" w:rsidR="0011327B" w:rsidRPr="00000769" w:rsidRDefault="0011327B" w:rsidP="00113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00769">
        <w:rPr>
          <w:rFonts w:cstheme="minorHAnsi"/>
          <w:sz w:val="24"/>
          <w:szCs w:val="24"/>
          <w:lang w:val="sk-SK"/>
        </w:rPr>
        <w:t xml:space="preserve">Celkom 40 % stavebných spoločností má </w:t>
      </w:r>
      <w:proofErr w:type="spellStart"/>
      <w:r w:rsidRPr="00000769">
        <w:rPr>
          <w:rFonts w:cstheme="minorHAnsi"/>
          <w:sz w:val="24"/>
          <w:szCs w:val="24"/>
          <w:lang w:val="sk-SK"/>
        </w:rPr>
        <w:t>zazmluvnené</w:t>
      </w:r>
      <w:proofErr w:type="spellEnd"/>
      <w:r w:rsidRPr="00000769">
        <w:rPr>
          <w:rFonts w:cstheme="minorHAnsi"/>
          <w:sz w:val="24"/>
          <w:szCs w:val="24"/>
          <w:lang w:val="sk-SK"/>
        </w:rPr>
        <w:t xml:space="preserve"> zákazky dopredu na rovnaké obdobie ako v minulom polroku, a to v priemere na 7 mesiacov dopredu. 37 % firiem má potom zákazky dohodnuté na dlhšiu dobu ako je to v porovnaní s minulým rokom.</w:t>
      </w:r>
    </w:p>
    <w:p w14:paraId="70960415" w14:textId="260EFEBC" w:rsidR="0011327B" w:rsidRPr="00000769" w:rsidRDefault="006731FB" w:rsidP="00113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00769">
        <w:rPr>
          <w:rFonts w:cstheme="minorHAnsi"/>
          <w:noProof/>
          <w:sz w:val="24"/>
          <w:szCs w:val="24"/>
          <w:lang w:val="sk-SK"/>
        </w:rPr>
        <w:lastRenderedPageBreak/>
        <w:drawing>
          <wp:anchor distT="0" distB="0" distL="114300" distR="114300" simplePos="0" relativeHeight="251662336" behindDoc="1" locked="0" layoutInCell="1" allowOverlap="1" wp14:anchorId="28541B8B" wp14:editId="0AD7AD42">
            <wp:simplePos x="0" y="0"/>
            <wp:positionH relativeFrom="margin">
              <wp:align>center</wp:align>
            </wp:positionH>
            <wp:positionV relativeFrom="paragraph">
              <wp:posOffset>888365</wp:posOffset>
            </wp:positionV>
            <wp:extent cx="4864100" cy="3740150"/>
            <wp:effectExtent l="0" t="0" r="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374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27B" w:rsidRPr="00000769">
        <w:rPr>
          <w:rFonts w:cstheme="minorHAnsi"/>
          <w:sz w:val="24"/>
          <w:szCs w:val="24"/>
          <w:lang w:val="sk-SK"/>
        </w:rPr>
        <w:t>Celkom 99 % dopytovaných označuje za najdôležitejšie rozhodujúce kritérium pri výbere stavebnej firmy ponúkanú cenu nasledovanú vlastnými predchádzajúcimi skúsenosťami so stavebnou firmou. Naopak, reklama alebo samotná veľkosť firmy je</w:t>
      </w:r>
      <w:r w:rsidR="00000769">
        <w:rPr>
          <w:rFonts w:cstheme="minorHAnsi"/>
          <w:sz w:val="24"/>
          <w:szCs w:val="24"/>
          <w:lang w:val="sk-SK"/>
        </w:rPr>
        <w:t>,</w:t>
      </w:r>
      <w:r w:rsidR="0011327B" w:rsidRPr="00000769">
        <w:rPr>
          <w:rFonts w:cstheme="minorHAnsi"/>
          <w:sz w:val="24"/>
          <w:szCs w:val="24"/>
          <w:lang w:val="sk-SK"/>
        </w:rPr>
        <w:t xml:space="preserve"> podľa riaditeľov stavebných firiem</w:t>
      </w:r>
      <w:r w:rsidR="00000769">
        <w:rPr>
          <w:rFonts w:cstheme="minorHAnsi"/>
          <w:sz w:val="24"/>
          <w:szCs w:val="24"/>
          <w:lang w:val="sk-SK"/>
        </w:rPr>
        <w:t>,</w:t>
      </w:r>
      <w:r w:rsidR="0011327B" w:rsidRPr="00000769">
        <w:rPr>
          <w:rFonts w:cstheme="minorHAnsi"/>
          <w:sz w:val="24"/>
          <w:szCs w:val="24"/>
          <w:lang w:val="sk-SK"/>
        </w:rPr>
        <w:t xml:space="preserve"> pre zákazníkov pri výbere menej významná.</w:t>
      </w:r>
    </w:p>
    <w:p w14:paraId="1CE8CE9D" w14:textId="75C76509" w:rsidR="006731FB" w:rsidRPr="00000769" w:rsidRDefault="006731FB" w:rsidP="00113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2B4C2529" w14:textId="04D55024" w:rsidR="0011327B" w:rsidRPr="00000769" w:rsidRDefault="0011327B" w:rsidP="00113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00769">
        <w:rPr>
          <w:rFonts w:cstheme="minorHAnsi"/>
          <w:sz w:val="24"/>
          <w:szCs w:val="24"/>
          <w:lang w:val="sk-SK"/>
        </w:rPr>
        <w:t>Väčšina opýtaných riaditeľov (94 %), ktorí sa zúčastnili interview pre Polročnú štúdiu slovenského stavebníctva, sa zhoduje, že sú pre nich hlavným spôsobom získavania nových zákaziek dlhodobé spolupráce. Pre 89 % z nich sú dôležité aj osobné kontakty. Okrem spôsobov zobrazených v grafe potom riaditelia stavebných firiem spomínali, že zákazky získali prevažn</w:t>
      </w:r>
      <w:r w:rsidR="00000769">
        <w:rPr>
          <w:rFonts w:cstheme="minorHAnsi"/>
          <w:sz w:val="24"/>
          <w:szCs w:val="24"/>
          <w:lang w:val="sk-SK"/>
        </w:rPr>
        <w:t>e</w:t>
      </w:r>
      <w:r w:rsidRPr="00000769">
        <w:rPr>
          <w:rFonts w:cstheme="minorHAnsi"/>
          <w:sz w:val="24"/>
          <w:szCs w:val="24"/>
          <w:lang w:val="sk-SK"/>
        </w:rPr>
        <w:t xml:space="preserve"> cez svoje webové stránky.</w:t>
      </w:r>
    </w:p>
    <w:p w14:paraId="2F292E6C" w14:textId="1FB5A437" w:rsidR="0011327B" w:rsidRPr="00000769" w:rsidRDefault="0011327B" w:rsidP="00113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010CB24F" w14:textId="082E6ED5" w:rsidR="0011327B" w:rsidRPr="00000769" w:rsidRDefault="0011327B" w:rsidP="00113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  <w:r w:rsidRPr="00000769">
        <w:rPr>
          <w:rFonts w:cstheme="minorHAnsi"/>
          <w:sz w:val="24"/>
          <w:szCs w:val="24"/>
          <w:lang w:val="sk-SK"/>
        </w:rPr>
        <w:t>Z analýzy slovenského stavebníctva vyplýva, že pri získavaní zákaziek svoje smernice nikdy neprekračuje 55 % opýtaných firiem. Iba 2 % riaditeľov stavebných spoločností potom uviedlo, že ich firma na získanie zákazky často prekračuje svoje smernice. Ďalších 7 % z opýtaných sa stretlo s požiadavkou na úplatok na získanie zákazky.</w:t>
      </w:r>
    </w:p>
    <w:p w14:paraId="467B84F9" w14:textId="0BA914A2" w:rsidR="009F6FE8" w:rsidRPr="00000769" w:rsidRDefault="009F6FE8" w:rsidP="00113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p w14:paraId="203D508D" w14:textId="77777777" w:rsidR="006731FB" w:rsidRPr="00000769" w:rsidRDefault="006731FB" w:rsidP="009F6FE8">
      <w:pPr>
        <w:pStyle w:val="Zkladnodstavec"/>
        <w:suppressAutoHyphens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  <w:lang w:val="sk-SK"/>
        </w:rPr>
      </w:pPr>
    </w:p>
    <w:p w14:paraId="41E0C465" w14:textId="77777777" w:rsidR="006731FB" w:rsidRPr="00000769" w:rsidRDefault="006731FB" w:rsidP="009F6FE8">
      <w:pPr>
        <w:pStyle w:val="Zkladnodstavec"/>
        <w:suppressAutoHyphens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  <w:lang w:val="sk-SK"/>
        </w:rPr>
      </w:pPr>
    </w:p>
    <w:p w14:paraId="02999ACE" w14:textId="77777777" w:rsidR="006731FB" w:rsidRPr="00000769" w:rsidRDefault="006731FB" w:rsidP="009F6FE8">
      <w:pPr>
        <w:pStyle w:val="Zkladnodstavec"/>
        <w:suppressAutoHyphens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  <w:lang w:val="sk-SK"/>
        </w:rPr>
      </w:pPr>
    </w:p>
    <w:p w14:paraId="498B7B3C" w14:textId="77777777" w:rsidR="006731FB" w:rsidRPr="00000769" w:rsidRDefault="006731FB" w:rsidP="009F6FE8">
      <w:pPr>
        <w:pStyle w:val="Zkladnodstavec"/>
        <w:suppressAutoHyphens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  <w:lang w:val="sk-SK"/>
        </w:rPr>
      </w:pPr>
    </w:p>
    <w:p w14:paraId="2F5EF539" w14:textId="77777777" w:rsidR="006731FB" w:rsidRPr="00000769" w:rsidRDefault="006731FB" w:rsidP="009F6FE8">
      <w:pPr>
        <w:pStyle w:val="Zkladnodstavec"/>
        <w:suppressAutoHyphens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  <w:lang w:val="sk-SK"/>
        </w:rPr>
      </w:pPr>
    </w:p>
    <w:p w14:paraId="5E3416A6" w14:textId="0703945A" w:rsidR="009F6FE8" w:rsidRPr="00000769" w:rsidRDefault="009F6FE8" w:rsidP="009F6FE8">
      <w:pPr>
        <w:pStyle w:val="Zkladnodstavec"/>
        <w:suppressAutoHyphens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  <w:lang w:val="sk-SK"/>
        </w:rPr>
      </w:pPr>
      <w:r w:rsidRPr="00000769">
        <w:rPr>
          <w:rFonts w:asciiTheme="minorHAnsi" w:hAnsiTheme="minorHAnsi" w:cstheme="minorHAnsi"/>
          <w:b/>
          <w:bCs/>
          <w:color w:val="auto"/>
          <w:sz w:val="30"/>
          <w:szCs w:val="30"/>
          <w:lang w:val="sk-SK"/>
        </w:rPr>
        <w:lastRenderedPageBreak/>
        <w:t xml:space="preserve">POLROČNÁ ŠTÚDIA SLOVENSKÉHO STAVEBNÍCTVA </w:t>
      </w:r>
      <w:r w:rsidRPr="00000769">
        <w:rPr>
          <w:rFonts w:asciiTheme="minorHAnsi" w:hAnsiTheme="minorHAnsi" w:cstheme="minorHAnsi"/>
          <w:b/>
          <w:bCs/>
          <w:color w:val="auto"/>
          <w:sz w:val="30"/>
          <w:szCs w:val="30"/>
          <w:lang w:val="sk-SK"/>
        </w:rPr>
        <w:br/>
        <w:t>H2/2022 JE ZVEREJNENÁ NA:</w:t>
      </w:r>
    </w:p>
    <w:p w14:paraId="0F55C8EE" w14:textId="77777777" w:rsidR="009F6FE8" w:rsidRPr="00000769" w:rsidRDefault="009F6FE8" w:rsidP="009F6FE8">
      <w:pPr>
        <w:pStyle w:val="Zkladnodstavec"/>
        <w:suppressAutoHyphens/>
        <w:jc w:val="center"/>
        <w:rPr>
          <w:rFonts w:asciiTheme="minorHAnsi" w:hAnsiTheme="minorHAnsi" w:cstheme="minorHAnsi"/>
          <w:b/>
          <w:bCs/>
          <w:color w:val="auto"/>
          <w:sz w:val="30"/>
          <w:szCs w:val="30"/>
          <w:lang w:val="sk-SK"/>
        </w:rPr>
      </w:pPr>
      <w:r w:rsidRPr="00000769">
        <w:rPr>
          <w:rFonts w:asciiTheme="minorHAnsi" w:hAnsiTheme="minorHAnsi" w:cstheme="minorHAnsi"/>
          <w:b/>
          <w:bCs/>
          <w:color w:val="auto"/>
          <w:sz w:val="30"/>
          <w:szCs w:val="30"/>
          <w:lang w:val="sk-SK"/>
        </w:rPr>
        <w:t>WWW.CEEC.EU</w:t>
      </w:r>
    </w:p>
    <w:p w14:paraId="690A1824" w14:textId="77777777" w:rsidR="009F6FE8" w:rsidRPr="00000769" w:rsidRDefault="009F6FE8" w:rsidP="009F6FE8">
      <w:pPr>
        <w:spacing w:after="0" w:line="276" w:lineRule="auto"/>
        <w:jc w:val="both"/>
        <w:rPr>
          <w:rFonts w:ascii="Source Sans Pro" w:eastAsia="Calibri" w:hAnsi="Source Sans Pro" w:cs="Calibri"/>
          <w:b/>
          <w:sz w:val="18"/>
          <w:szCs w:val="18"/>
          <w:lang w:val="sk-SK"/>
        </w:rPr>
      </w:pPr>
    </w:p>
    <w:p w14:paraId="434D1A6F" w14:textId="77777777" w:rsidR="009F6FE8" w:rsidRPr="00000769" w:rsidRDefault="009F6FE8" w:rsidP="009F6FE8">
      <w:pPr>
        <w:spacing w:after="0" w:line="276" w:lineRule="auto"/>
        <w:jc w:val="both"/>
        <w:rPr>
          <w:rFonts w:ascii="Source Sans Pro" w:eastAsia="Calibri" w:hAnsi="Source Sans Pro" w:cs="Calibri"/>
          <w:b/>
          <w:sz w:val="18"/>
          <w:szCs w:val="18"/>
          <w:lang w:val="sk-SK"/>
        </w:rPr>
      </w:pPr>
    </w:p>
    <w:p w14:paraId="7FFBE9BD" w14:textId="77777777" w:rsidR="009F6FE8" w:rsidRPr="00000769" w:rsidRDefault="009F6FE8" w:rsidP="009F6FE8">
      <w:pPr>
        <w:spacing w:after="0" w:line="276" w:lineRule="auto"/>
        <w:jc w:val="both"/>
        <w:rPr>
          <w:rFonts w:ascii="Source Sans Pro" w:eastAsia="Calibri" w:hAnsi="Source Sans Pro" w:cs="Calibri"/>
          <w:b/>
          <w:sz w:val="18"/>
          <w:szCs w:val="18"/>
          <w:lang w:val="sk-SK"/>
        </w:rPr>
      </w:pPr>
    </w:p>
    <w:p w14:paraId="7E42FA8E" w14:textId="77777777" w:rsidR="009F6FE8" w:rsidRPr="00000769" w:rsidRDefault="009F6FE8" w:rsidP="009F6FE8">
      <w:pPr>
        <w:spacing w:after="0" w:line="276" w:lineRule="auto"/>
        <w:jc w:val="both"/>
        <w:rPr>
          <w:rFonts w:eastAsia="Calibri" w:cstheme="minorHAnsi"/>
          <w:b/>
          <w:sz w:val="24"/>
          <w:szCs w:val="24"/>
          <w:lang w:val="sk-SK"/>
        </w:rPr>
      </w:pPr>
      <w:r w:rsidRPr="00000769">
        <w:rPr>
          <w:rFonts w:eastAsia="Calibri" w:cstheme="minorHAnsi"/>
          <w:b/>
          <w:sz w:val="24"/>
          <w:szCs w:val="24"/>
          <w:lang w:val="sk-SK"/>
        </w:rPr>
        <w:t>Kontakt pre média:</w:t>
      </w:r>
    </w:p>
    <w:p w14:paraId="6A932660" w14:textId="77777777" w:rsidR="009F6FE8" w:rsidRPr="00000769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  <w:lang w:val="sk-SK"/>
        </w:rPr>
      </w:pPr>
      <w:r w:rsidRPr="00000769">
        <w:rPr>
          <w:rFonts w:eastAsia="Calibri" w:cstheme="minorHAnsi"/>
          <w:sz w:val="24"/>
          <w:szCs w:val="24"/>
          <w:lang w:val="sk-SK"/>
        </w:rPr>
        <w:t>Ing. Michal Vacek</w:t>
      </w:r>
    </w:p>
    <w:p w14:paraId="2A341668" w14:textId="77777777" w:rsidR="009F6FE8" w:rsidRPr="00000769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  <w:lang w:val="sk-SK"/>
        </w:rPr>
      </w:pPr>
      <w:r w:rsidRPr="00000769">
        <w:rPr>
          <w:rFonts w:eastAsia="Calibri" w:cstheme="minorHAnsi"/>
          <w:sz w:val="24"/>
          <w:szCs w:val="24"/>
          <w:lang w:val="sk-SK"/>
        </w:rPr>
        <w:t>Výkonný riaditeľ spoločnosti</w:t>
      </w:r>
    </w:p>
    <w:p w14:paraId="2B4C4BFB" w14:textId="77777777" w:rsidR="009F6FE8" w:rsidRPr="00000769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  <w:lang w:val="sk-SK"/>
        </w:rPr>
      </w:pPr>
      <w:r w:rsidRPr="00000769">
        <w:rPr>
          <w:rFonts w:eastAsia="Calibri" w:cstheme="minorHAnsi"/>
          <w:sz w:val="24"/>
          <w:szCs w:val="24"/>
          <w:lang w:val="sk-SK"/>
        </w:rPr>
        <w:t>CEEC Research</w:t>
      </w:r>
    </w:p>
    <w:p w14:paraId="290B9881" w14:textId="77777777" w:rsidR="009F6FE8" w:rsidRPr="00000769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  <w:lang w:val="sk-SK"/>
        </w:rPr>
      </w:pPr>
      <w:r w:rsidRPr="00000769">
        <w:rPr>
          <w:rFonts w:eastAsia="Calibri" w:cstheme="minorHAnsi"/>
          <w:sz w:val="24"/>
          <w:szCs w:val="24"/>
          <w:lang w:val="sk-SK"/>
        </w:rPr>
        <w:t>+420 776 023 170</w:t>
      </w:r>
    </w:p>
    <w:p w14:paraId="3CE648CE" w14:textId="77777777" w:rsidR="009F6FE8" w:rsidRPr="00000769" w:rsidRDefault="00000000" w:rsidP="009F6FE8">
      <w:pPr>
        <w:spacing w:after="0" w:line="276" w:lineRule="auto"/>
        <w:jc w:val="both"/>
        <w:rPr>
          <w:rFonts w:eastAsia="Calibri" w:cstheme="minorHAnsi"/>
          <w:sz w:val="24"/>
          <w:szCs w:val="24"/>
          <w:lang w:val="sk-SK"/>
        </w:rPr>
      </w:pPr>
      <w:hyperlink r:id="rId9">
        <w:r w:rsidR="009F6FE8" w:rsidRPr="00000769">
          <w:rPr>
            <w:rFonts w:eastAsia="Calibri" w:cstheme="minorHAnsi"/>
            <w:color w:val="1155CC"/>
            <w:sz w:val="24"/>
            <w:szCs w:val="24"/>
            <w:u w:val="single"/>
            <w:lang w:val="sk-SK"/>
          </w:rPr>
          <w:t>michal.vacek@ceec.eu</w:t>
        </w:r>
      </w:hyperlink>
    </w:p>
    <w:p w14:paraId="6983ECA9" w14:textId="77777777" w:rsidR="009F6FE8" w:rsidRPr="00000769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  <w:lang w:val="sk-SK"/>
        </w:rPr>
      </w:pPr>
    </w:p>
    <w:p w14:paraId="051B09D5" w14:textId="77777777" w:rsidR="009F6FE8" w:rsidRPr="00000769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  <w:lang w:val="sk-SK"/>
        </w:rPr>
      </w:pPr>
      <w:r w:rsidRPr="00000769">
        <w:rPr>
          <w:rFonts w:eastAsia="Calibri" w:cstheme="minorHAnsi"/>
          <w:sz w:val="24"/>
          <w:szCs w:val="24"/>
          <w:lang w:val="sk-SK"/>
        </w:rPr>
        <w:t>Spoločnosť CEEC Research je poprednou analytickou a výskumnou spoločnosťou zameriavajúcou sa na vývoj vybraných sektorov ekonomiky v krajinách strednej a východnej Európy. Jej štúdie sú využívané v súčasnej dobe viac ako 17 000 spoločnosťami. Spoločnosť CEEC Research vznikla v roku 2005 ako analytická organizácia špecializujúca sa na spracovanie výskumov a analýz stavebného sektora, následne sa analytické zameranie rozšírilo aj na ďalšie vybrané sektory ekonomiky, vrátane stavebníctva.</w:t>
      </w:r>
    </w:p>
    <w:p w14:paraId="7954DC35" w14:textId="77777777" w:rsidR="009F6FE8" w:rsidRPr="00000769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  <w:lang w:val="sk-SK"/>
        </w:rPr>
      </w:pPr>
    </w:p>
    <w:p w14:paraId="4790E76C" w14:textId="77777777" w:rsidR="009F6FE8" w:rsidRPr="00000769" w:rsidRDefault="009F6FE8" w:rsidP="009F6FE8">
      <w:pPr>
        <w:spacing w:after="0" w:line="276" w:lineRule="auto"/>
        <w:jc w:val="both"/>
        <w:rPr>
          <w:rFonts w:eastAsia="Calibri" w:cstheme="minorHAnsi"/>
          <w:sz w:val="24"/>
          <w:szCs w:val="24"/>
          <w:lang w:val="sk-SK"/>
        </w:rPr>
      </w:pPr>
      <w:r w:rsidRPr="00000769">
        <w:rPr>
          <w:rFonts w:eastAsia="Calibri" w:cstheme="minorHAnsi"/>
          <w:sz w:val="24"/>
          <w:szCs w:val="24"/>
          <w:lang w:val="sk-SK"/>
        </w:rPr>
        <w:t>CEEC Research navyše k pravidelným a bezplatným analýzam tiež organizuje vysoko špecializované odborné konferencie, na ktorých sa zúčastňujú generálni riaditelia najvýznamnejších spoločností, prezidenti kľúčových zväzov, cechov a komôr a tiež ministri a najvyšší predstavitelia štátu z vybraných krajín.</w:t>
      </w:r>
    </w:p>
    <w:p w14:paraId="70894BF6" w14:textId="77777777" w:rsidR="009F6FE8" w:rsidRPr="00000769" w:rsidRDefault="009F6FE8" w:rsidP="001132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sk-SK"/>
        </w:rPr>
      </w:pPr>
    </w:p>
    <w:sectPr w:rsidR="009F6FE8" w:rsidRPr="0000076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984D" w14:textId="77777777" w:rsidR="009344C8" w:rsidRDefault="009344C8" w:rsidP="00E65B60">
      <w:pPr>
        <w:spacing w:after="0" w:line="240" w:lineRule="auto"/>
      </w:pPr>
      <w:r>
        <w:separator/>
      </w:r>
    </w:p>
  </w:endnote>
  <w:endnote w:type="continuationSeparator" w:id="0">
    <w:p w14:paraId="646F4B16" w14:textId="77777777" w:rsidR="009344C8" w:rsidRDefault="009344C8" w:rsidP="00E6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5D3E" w14:textId="77777777" w:rsidR="009344C8" w:rsidRDefault="009344C8" w:rsidP="00E65B60">
      <w:pPr>
        <w:spacing w:after="0" w:line="240" w:lineRule="auto"/>
      </w:pPr>
      <w:r>
        <w:separator/>
      </w:r>
    </w:p>
  </w:footnote>
  <w:footnote w:type="continuationSeparator" w:id="0">
    <w:p w14:paraId="363EFAA5" w14:textId="77777777" w:rsidR="009344C8" w:rsidRDefault="009344C8" w:rsidP="00E6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D98A" w14:textId="22782E0D" w:rsidR="00E65B60" w:rsidRDefault="00E65B6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2B2108" wp14:editId="778B5A79">
          <wp:simplePos x="0" y="0"/>
          <wp:positionH relativeFrom="margin">
            <wp:align>right</wp:align>
          </wp:positionH>
          <wp:positionV relativeFrom="paragraph">
            <wp:posOffset>-195580</wp:posOffset>
          </wp:positionV>
          <wp:extent cx="869950" cy="786765"/>
          <wp:effectExtent l="0" t="0" r="635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5B32D4D" wp14:editId="67381FD8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313180" cy="709295"/>
          <wp:effectExtent l="0" t="0" r="127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50"/>
    <w:rsid w:val="00000769"/>
    <w:rsid w:val="00044592"/>
    <w:rsid w:val="0011327B"/>
    <w:rsid w:val="0015532D"/>
    <w:rsid w:val="001D2520"/>
    <w:rsid w:val="003B2CF1"/>
    <w:rsid w:val="00434CA9"/>
    <w:rsid w:val="004F401F"/>
    <w:rsid w:val="00640FE7"/>
    <w:rsid w:val="006731FB"/>
    <w:rsid w:val="00706354"/>
    <w:rsid w:val="009344C8"/>
    <w:rsid w:val="009F6FE8"/>
    <w:rsid w:val="00AD27C2"/>
    <w:rsid w:val="00C359DB"/>
    <w:rsid w:val="00E248BA"/>
    <w:rsid w:val="00E65B60"/>
    <w:rsid w:val="00E70A50"/>
    <w:rsid w:val="00F27650"/>
    <w:rsid w:val="00F5723A"/>
    <w:rsid w:val="00F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2CE5"/>
  <w15:chartTrackingRefBased/>
  <w15:docId w15:val="{F0164EAA-841B-44A2-B076-4A5B0878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5B60"/>
  </w:style>
  <w:style w:type="paragraph" w:styleId="Zpat">
    <w:name w:val="footer"/>
    <w:basedOn w:val="Normln"/>
    <w:link w:val="ZpatChar"/>
    <w:uiPriority w:val="99"/>
    <w:unhideWhenUsed/>
    <w:rsid w:val="00E6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B60"/>
  </w:style>
  <w:style w:type="paragraph" w:customStyle="1" w:styleId="Zkladnodstavec">
    <w:name w:val="[Základní odstavec]"/>
    <w:basedOn w:val="Normln"/>
    <w:uiPriority w:val="99"/>
    <w:rsid w:val="009F6F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chal.vacek@ceec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2</cp:revision>
  <dcterms:created xsi:type="dcterms:W3CDTF">2022-10-24T06:22:00Z</dcterms:created>
  <dcterms:modified xsi:type="dcterms:W3CDTF">2022-10-24T06:22:00Z</dcterms:modified>
</cp:coreProperties>
</file>