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D374" w14:textId="3CEE50B8" w:rsidR="0022265E" w:rsidRPr="0022265E" w:rsidRDefault="0022265E" w:rsidP="00264AD9">
      <w:pPr>
        <w:jc w:val="both"/>
        <w:rPr>
          <w:b/>
          <w:bCs/>
          <w:sz w:val="36"/>
          <w:szCs w:val="36"/>
        </w:rPr>
      </w:pPr>
      <w:r w:rsidRPr="0022265E">
        <w:rPr>
          <w:b/>
          <w:bCs/>
          <w:sz w:val="36"/>
          <w:szCs w:val="36"/>
        </w:rPr>
        <w:t>NABÍDKA NEMOVITOSTÍ V ČR PŘÍŠTÍ ROK POROSTE O 4,3 %</w:t>
      </w:r>
    </w:p>
    <w:p w14:paraId="240E9366" w14:textId="1D30AD5D" w:rsidR="00264AD9" w:rsidRPr="0022265E" w:rsidRDefault="00264AD9" w:rsidP="00264AD9">
      <w:pPr>
        <w:jc w:val="both"/>
        <w:rPr>
          <w:rFonts w:cstheme="minorHAnsi"/>
          <w:b/>
          <w:bCs/>
          <w:sz w:val="24"/>
          <w:szCs w:val="24"/>
        </w:rPr>
      </w:pPr>
      <w:r w:rsidRPr="00F63FFF">
        <w:rPr>
          <w:b/>
          <w:bCs/>
          <w:sz w:val="24"/>
          <w:szCs w:val="24"/>
        </w:rPr>
        <w:t xml:space="preserve">Praha </w:t>
      </w:r>
      <w:r w:rsidR="00F63FFF" w:rsidRPr="00F63FFF">
        <w:rPr>
          <w:b/>
          <w:bCs/>
          <w:sz w:val="24"/>
          <w:szCs w:val="24"/>
        </w:rPr>
        <w:t>17</w:t>
      </w:r>
      <w:r w:rsidRPr="00F63FFF">
        <w:rPr>
          <w:b/>
          <w:bCs/>
          <w:sz w:val="24"/>
          <w:szCs w:val="24"/>
        </w:rPr>
        <w:t>. 10.</w:t>
      </w:r>
      <w:r w:rsidR="00F63FFF">
        <w:rPr>
          <w:b/>
          <w:bCs/>
          <w:sz w:val="24"/>
          <w:szCs w:val="24"/>
        </w:rPr>
        <w:t xml:space="preserve"> 2022</w:t>
      </w:r>
      <w:r w:rsidRPr="0022265E">
        <w:rPr>
          <w:b/>
          <w:bCs/>
          <w:sz w:val="24"/>
          <w:szCs w:val="24"/>
        </w:rPr>
        <w:t xml:space="preserve"> </w:t>
      </w:r>
      <w:r w:rsidR="00D72692">
        <w:rPr>
          <w:b/>
          <w:bCs/>
          <w:sz w:val="24"/>
          <w:szCs w:val="24"/>
        </w:rPr>
        <w:t>–</w:t>
      </w:r>
      <w:r w:rsidRPr="0022265E">
        <w:rPr>
          <w:b/>
          <w:bCs/>
          <w:sz w:val="24"/>
          <w:szCs w:val="24"/>
        </w:rPr>
        <w:t xml:space="preserve"> Nabídka nemovitostí v ČR příští rok poroste o 4,3 %. Poptávka po nemovitostech v ČR příští rok klesne o 2,8 %. Polovina dotázaných developerů nebude měnit ceny svých nemovitostí. </w:t>
      </w:r>
      <w:r w:rsidRPr="0022265E">
        <w:rPr>
          <w:rFonts w:cstheme="minorHAnsi"/>
          <w:b/>
          <w:bCs/>
          <w:color w:val="000000"/>
          <w:sz w:val="24"/>
          <w:szCs w:val="24"/>
        </w:rPr>
        <w:t>Vyplývá to ze Studie developerských společností H2/2022 zpracované analytickou společností CEEC Research s.r.o. </w:t>
      </w:r>
      <w:r w:rsidR="0022265E" w:rsidRPr="0022265E">
        <w:rPr>
          <w:rFonts w:cstheme="minorHAnsi"/>
          <w:b/>
          <w:bCs/>
          <w:color w:val="000000"/>
          <w:sz w:val="24"/>
          <w:szCs w:val="24"/>
        </w:rPr>
        <w:t xml:space="preserve">za podpory generálního partnera </w:t>
      </w:r>
      <w:r w:rsidR="0022265E" w:rsidRPr="0022265E">
        <w:rPr>
          <w:rFonts w:cstheme="minorHAnsi"/>
          <w:b/>
          <w:bCs/>
          <w:sz w:val="24"/>
          <w:szCs w:val="24"/>
        </w:rPr>
        <w:t>společnosti</w:t>
      </w:r>
      <w:r w:rsidR="0022265E" w:rsidRPr="0022265E">
        <w:rPr>
          <w:rFonts w:cstheme="minorHAnsi"/>
          <w:b/>
          <w:bCs/>
          <w:sz w:val="24"/>
          <w:szCs w:val="24"/>
          <w:shd w:val="clear" w:color="auto" w:fill="FFFFFF"/>
        </w:rPr>
        <w:t xml:space="preserve"> LAUFEN CZ s.r.o. </w:t>
      </w:r>
    </w:p>
    <w:p w14:paraId="6291ADB1" w14:textId="72CB49CB" w:rsidR="000160D6" w:rsidRDefault="00EA3CEC" w:rsidP="00F85DF1">
      <w:pPr>
        <w:jc w:val="both"/>
        <w:rPr>
          <w:b/>
          <w:bCs/>
          <w:sz w:val="24"/>
          <w:szCs w:val="24"/>
        </w:rPr>
      </w:pPr>
      <w:r>
        <w:rPr>
          <w:b/>
          <w:bCs/>
          <w:noProof/>
          <w:sz w:val="24"/>
          <w:szCs w:val="24"/>
        </w:rPr>
        <w:drawing>
          <wp:anchor distT="0" distB="0" distL="114300" distR="114300" simplePos="0" relativeHeight="251658240" behindDoc="1" locked="0" layoutInCell="1" allowOverlap="1" wp14:anchorId="3A0180CF" wp14:editId="5B68DBF9">
            <wp:simplePos x="0" y="0"/>
            <wp:positionH relativeFrom="margin">
              <wp:align>center</wp:align>
            </wp:positionH>
            <wp:positionV relativeFrom="paragraph">
              <wp:posOffset>2272665</wp:posOffset>
            </wp:positionV>
            <wp:extent cx="3982085" cy="398780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a:extLst>
                        <a:ext uri="{28A0092B-C50C-407E-A947-70E740481C1C}">
                          <a14:useLocalDpi xmlns:a14="http://schemas.microsoft.com/office/drawing/2010/main" val="0"/>
                        </a:ext>
                      </a:extLst>
                    </a:blip>
                    <a:stretch>
                      <a:fillRect/>
                    </a:stretch>
                  </pic:blipFill>
                  <pic:spPr>
                    <a:xfrm>
                      <a:off x="0" y="0"/>
                      <a:ext cx="3982085" cy="3987800"/>
                    </a:xfrm>
                    <a:prstGeom prst="rect">
                      <a:avLst/>
                    </a:prstGeom>
                  </pic:spPr>
                </pic:pic>
              </a:graphicData>
            </a:graphic>
          </wp:anchor>
        </w:drawing>
      </w:r>
      <w:r w:rsidR="00264AD9" w:rsidRPr="00264AD9">
        <w:rPr>
          <w:sz w:val="24"/>
          <w:szCs w:val="24"/>
        </w:rPr>
        <w:t>Nabídka nemovitostí v celé ČR ve druhém pololetí letošního roku poroste o 2,4 %, v první polovině roku následujícího vzroste o další 4,3 %. V Praze nabídka v druhé polovině roku poroste o 3,8 % a v první polovině roku 2023 vzroste o 5,1 %. Developerské společnosti tento rok výrazně zvýšily výstavbu bytů, což pomůže k růstu nabídky v roce příštím, kdy se tyto stavby budou dokončovat.</w:t>
      </w:r>
      <w:r w:rsidR="00F85DF1">
        <w:rPr>
          <w:sz w:val="24"/>
          <w:szCs w:val="24"/>
        </w:rPr>
        <w:t xml:space="preserve"> </w:t>
      </w:r>
      <w:r w:rsidR="00F85DF1" w:rsidRPr="00F85DF1">
        <w:rPr>
          <w:i/>
          <w:iCs/>
          <w:sz w:val="24"/>
          <w:szCs w:val="24"/>
        </w:rPr>
        <w:t>„Ve společnosti nyní panuje velká nejistota a značná část lidí proto vyčkává, co se bude dít. Část poptávky se proto odloží na dobu, kdy budou podmínky pro koupi opět výhodnější. Letos se prodá výrazně méně bytů než v loňském roce, v Praze očekáváme prodeje jen kolem 3 tisíc bytů. Nabídka sice mírně roste, ale vzhledem ke komplikovaným povolovacím procesům stále je a bude nedostatečná</w:t>
      </w:r>
      <w:r w:rsidR="00D72692">
        <w:rPr>
          <w:i/>
          <w:iCs/>
          <w:sz w:val="24"/>
          <w:szCs w:val="24"/>
        </w:rPr>
        <w:t>,</w:t>
      </w:r>
      <w:r w:rsidR="00F85DF1" w:rsidRPr="00F85DF1">
        <w:rPr>
          <w:i/>
          <w:iCs/>
          <w:sz w:val="24"/>
          <w:szCs w:val="24"/>
        </w:rPr>
        <w:t>“</w:t>
      </w:r>
      <w:r w:rsidR="00F85DF1">
        <w:rPr>
          <w:i/>
          <w:iCs/>
          <w:sz w:val="24"/>
          <w:szCs w:val="24"/>
        </w:rPr>
        <w:t xml:space="preserve"> </w:t>
      </w:r>
      <w:r w:rsidR="00F85DF1">
        <w:rPr>
          <w:sz w:val="24"/>
          <w:szCs w:val="24"/>
        </w:rPr>
        <w:t xml:space="preserve">popisuje současnou </w:t>
      </w:r>
      <w:r w:rsidR="003B094F">
        <w:rPr>
          <w:sz w:val="24"/>
          <w:szCs w:val="24"/>
        </w:rPr>
        <w:t xml:space="preserve">situaci </w:t>
      </w:r>
      <w:r w:rsidR="00F85DF1">
        <w:rPr>
          <w:sz w:val="24"/>
          <w:szCs w:val="24"/>
        </w:rPr>
        <w:t xml:space="preserve">a budoucí </w:t>
      </w:r>
      <w:r w:rsidR="003B094F">
        <w:rPr>
          <w:sz w:val="24"/>
          <w:szCs w:val="24"/>
        </w:rPr>
        <w:t>možný vývoj</w:t>
      </w:r>
      <w:r w:rsidR="00F85DF1">
        <w:rPr>
          <w:sz w:val="24"/>
          <w:szCs w:val="24"/>
        </w:rPr>
        <w:t xml:space="preserve"> na developerském trhu </w:t>
      </w:r>
      <w:r w:rsidR="00F85DF1" w:rsidRPr="00F85DF1">
        <w:rPr>
          <w:b/>
          <w:bCs/>
          <w:sz w:val="24"/>
          <w:szCs w:val="24"/>
        </w:rPr>
        <w:t>Dušan</w:t>
      </w:r>
      <w:r w:rsidR="00F85DF1">
        <w:rPr>
          <w:b/>
          <w:bCs/>
          <w:sz w:val="24"/>
          <w:szCs w:val="24"/>
        </w:rPr>
        <w:t xml:space="preserve"> </w:t>
      </w:r>
      <w:r w:rsidR="00F85DF1" w:rsidRPr="00F85DF1">
        <w:rPr>
          <w:b/>
          <w:bCs/>
          <w:sz w:val="24"/>
          <w:szCs w:val="24"/>
        </w:rPr>
        <w:t>Kunovský, předseda představenstva společnosti CENTRAL GROUP a.s.</w:t>
      </w:r>
    </w:p>
    <w:p w14:paraId="368A693F" w14:textId="3E7EF756" w:rsidR="00EA3CEC" w:rsidRPr="00F85DF1" w:rsidRDefault="00EA3CEC" w:rsidP="00F85DF1">
      <w:pPr>
        <w:jc w:val="both"/>
        <w:rPr>
          <w:b/>
          <w:bCs/>
          <w:sz w:val="24"/>
          <w:szCs w:val="24"/>
        </w:rPr>
      </w:pPr>
    </w:p>
    <w:p w14:paraId="38CFC56D" w14:textId="77777777" w:rsidR="00F976D6" w:rsidRDefault="00F976D6" w:rsidP="00DF1D51">
      <w:pPr>
        <w:jc w:val="both"/>
        <w:rPr>
          <w:sz w:val="24"/>
          <w:szCs w:val="24"/>
        </w:rPr>
      </w:pPr>
    </w:p>
    <w:p w14:paraId="2CD55619" w14:textId="7984A4BE" w:rsidR="00264AD9" w:rsidRDefault="00264AD9" w:rsidP="00DF1D51">
      <w:pPr>
        <w:jc w:val="both"/>
        <w:rPr>
          <w:b/>
          <w:bCs/>
          <w:sz w:val="24"/>
          <w:szCs w:val="24"/>
        </w:rPr>
      </w:pPr>
      <w:r w:rsidRPr="00264AD9">
        <w:rPr>
          <w:sz w:val="24"/>
          <w:szCs w:val="24"/>
        </w:rPr>
        <w:lastRenderedPageBreak/>
        <w:t>V druhém pololetí letošního roku by měla poptávka po nemovitostech klesnout o 5,1 % v rámci celé ČR, v prvním pololetí roku 2023 by měla podle názoru dotazovaných ředitelů developerských společností klesnout o dalších 2,8 %. V rámci Prahy by měla poptávka v</w:t>
      </w:r>
      <w:r w:rsidR="00D72692">
        <w:rPr>
          <w:sz w:val="24"/>
          <w:szCs w:val="24"/>
        </w:rPr>
        <w:t> </w:t>
      </w:r>
      <w:r w:rsidRPr="00264AD9">
        <w:rPr>
          <w:sz w:val="24"/>
          <w:szCs w:val="24"/>
        </w:rPr>
        <w:t>druhém pololetí letošního roku klesat až o 0,9 % a v první polovině následujícího roku by měl být zaznamenán její lehký růst o 0,2 %. Důvodem poklesu poptávky je především aktuální ekonomická situace na trhu a zvyšování úrokových sazeb hypotečních úvěrů, které je výrazně rychlejší než v minulých letech. Prognóza České národní banky předpokládá v příštím roce mírný pokles úrokových sazeb hypotečních úvěrů s následně dalším, již výraznějším poklesem v roce 2024.</w:t>
      </w:r>
      <w:r w:rsidR="00DF1D51">
        <w:rPr>
          <w:sz w:val="24"/>
          <w:szCs w:val="24"/>
        </w:rPr>
        <w:t xml:space="preserve"> </w:t>
      </w:r>
      <w:r w:rsidR="00DF1D51" w:rsidRPr="00DF1D51">
        <w:rPr>
          <w:i/>
          <w:iCs/>
          <w:sz w:val="24"/>
          <w:szCs w:val="24"/>
        </w:rPr>
        <w:t>„V krátkodobém horizontu neočekáváme výraznější odchylky od trendu,</w:t>
      </w:r>
      <w:r w:rsidR="00DF1D51">
        <w:rPr>
          <w:i/>
          <w:iCs/>
          <w:sz w:val="24"/>
          <w:szCs w:val="24"/>
        </w:rPr>
        <w:t xml:space="preserve"> </w:t>
      </w:r>
      <w:r w:rsidR="00DF1D51" w:rsidRPr="00DF1D51">
        <w:rPr>
          <w:i/>
          <w:iCs/>
          <w:sz w:val="24"/>
          <w:szCs w:val="24"/>
        </w:rPr>
        <w:t>který nastal pár měsíců zpět. Cena nemovitostí, zdá se, dosáhla</w:t>
      </w:r>
      <w:r w:rsidR="00DF1D51">
        <w:rPr>
          <w:i/>
          <w:iCs/>
          <w:sz w:val="24"/>
          <w:szCs w:val="24"/>
        </w:rPr>
        <w:t xml:space="preserve"> </w:t>
      </w:r>
      <w:r w:rsidR="00DF1D51" w:rsidRPr="00DF1D51">
        <w:rPr>
          <w:i/>
          <w:iCs/>
          <w:sz w:val="24"/>
          <w:szCs w:val="24"/>
        </w:rPr>
        <w:t>svého stropu, za který jsou majitelé ochotni je kupovat. V</w:t>
      </w:r>
      <w:r w:rsidR="00DF1D51">
        <w:rPr>
          <w:i/>
          <w:iCs/>
          <w:sz w:val="24"/>
          <w:szCs w:val="24"/>
        </w:rPr>
        <w:t> </w:t>
      </w:r>
      <w:r w:rsidR="00DF1D51" w:rsidRPr="00DF1D51">
        <w:rPr>
          <w:i/>
          <w:iCs/>
          <w:sz w:val="24"/>
          <w:szCs w:val="24"/>
        </w:rPr>
        <w:t>kombinaci</w:t>
      </w:r>
      <w:r w:rsidR="00DF1D51">
        <w:rPr>
          <w:i/>
          <w:iCs/>
          <w:sz w:val="24"/>
          <w:szCs w:val="24"/>
        </w:rPr>
        <w:t xml:space="preserve"> </w:t>
      </w:r>
      <w:r w:rsidR="00DF1D51" w:rsidRPr="00DF1D51">
        <w:rPr>
          <w:i/>
          <w:iCs/>
          <w:sz w:val="24"/>
          <w:szCs w:val="24"/>
        </w:rPr>
        <w:t>se zvyšujícími se náklady na hypotéky je tedy patrné ochlazení</w:t>
      </w:r>
      <w:r w:rsidR="00DF1D51">
        <w:rPr>
          <w:i/>
          <w:iCs/>
          <w:sz w:val="24"/>
          <w:szCs w:val="24"/>
        </w:rPr>
        <w:t xml:space="preserve"> </w:t>
      </w:r>
      <w:r w:rsidR="00DF1D51" w:rsidRPr="00DF1D51">
        <w:rPr>
          <w:i/>
          <w:iCs/>
          <w:sz w:val="24"/>
          <w:szCs w:val="24"/>
        </w:rPr>
        <w:t>hypotečního trhu. Pokud se bavíme o nemovitostech jako komoditě,</w:t>
      </w:r>
      <w:r w:rsidR="00DF1D51">
        <w:rPr>
          <w:i/>
          <w:iCs/>
          <w:sz w:val="24"/>
          <w:szCs w:val="24"/>
        </w:rPr>
        <w:t xml:space="preserve"> </w:t>
      </w:r>
      <w:r w:rsidR="00DF1D51" w:rsidRPr="00DF1D51">
        <w:rPr>
          <w:i/>
          <w:iCs/>
          <w:sz w:val="24"/>
          <w:szCs w:val="24"/>
        </w:rPr>
        <w:t>nezapomínejme, že se stále bavíme jednak o velmi atraktivním</w:t>
      </w:r>
      <w:r w:rsidR="00DF1D51">
        <w:rPr>
          <w:i/>
          <w:iCs/>
          <w:sz w:val="24"/>
          <w:szCs w:val="24"/>
        </w:rPr>
        <w:t xml:space="preserve"> </w:t>
      </w:r>
      <w:r w:rsidR="00DF1D51" w:rsidRPr="00DF1D51">
        <w:rPr>
          <w:i/>
          <w:iCs/>
          <w:sz w:val="24"/>
          <w:szCs w:val="24"/>
        </w:rPr>
        <w:t>investičním aktivu, ale také nutné základní potřebě lidí – bydlet. Díky</w:t>
      </w:r>
      <w:r w:rsidR="00DF1D51">
        <w:rPr>
          <w:i/>
          <w:iCs/>
          <w:sz w:val="24"/>
          <w:szCs w:val="24"/>
        </w:rPr>
        <w:t xml:space="preserve"> </w:t>
      </w:r>
      <w:r w:rsidR="00DF1D51" w:rsidRPr="00DF1D51">
        <w:rPr>
          <w:i/>
          <w:iCs/>
          <w:sz w:val="24"/>
          <w:szCs w:val="24"/>
        </w:rPr>
        <w:t>těmto silným faktorům neočekáváme drastický propad na straně</w:t>
      </w:r>
      <w:r w:rsidR="00DF1D51">
        <w:rPr>
          <w:i/>
          <w:iCs/>
          <w:sz w:val="24"/>
          <w:szCs w:val="24"/>
        </w:rPr>
        <w:t xml:space="preserve"> </w:t>
      </w:r>
      <w:r w:rsidR="00DF1D51" w:rsidRPr="00DF1D51">
        <w:rPr>
          <w:i/>
          <w:iCs/>
          <w:sz w:val="24"/>
          <w:szCs w:val="24"/>
        </w:rPr>
        <w:t>poptávky. Na nabídkové straně můžeme očekávat zvyšující se trend</w:t>
      </w:r>
      <w:r w:rsidR="00DF1D51">
        <w:rPr>
          <w:i/>
          <w:iCs/>
          <w:sz w:val="24"/>
          <w:szCs w:val="24"/>
        </w:rPr>
        <w:t xml:space="preserve"> </w:t>
      </w:r>
      <w:r w:rsidR="00DF1D51" w:rsidRPr="00DF1D51">
        <w:rPr>
          <w:i/>
          <w:iCs/>
          <w:sz w:val="24"/>
          <w:szCs w:val="24"/>
        </w:rPr>
        <w:t>(díky odlivu kupujících), nicméně stále se bavíme o krátkodobém</w:t>
      </w:r>
      <w:r w:rsidR="00DF1D51">
        <w:rPr>
          <w:i/>
          <w:iCs/>
          <w:sz w:val="24"/>
          <w:szCs w:val="24"/>
        </w:rPr>
        <w:t xml:space="preserve"> </w:t>
      </w:r>
      <w:r w:rsidR="00DF1D51" w:rsidRPr="00DF1D51">
        <w:rPr>
          <w:i/>
          <w:iCs/>
          <w:sz w:val="24"/>
          <w:szCs w:val="24"/>
        </w:rPr>
        <w:t>horizontu, který je ovlivněn zejména aktuálním děním</w:t>
      </w:r>
      <w:r w:rsidR="005956D6">
        <w:rPr>
          <w:i/>
          <w:iCs/>
          <w:sz w:val="24"/>
          <w:szCs w:val="24"/>
        </w:rPr>
        <w:t>,</w:t>
      </w:r>
      <w:r w:rsidR="00DF1D51">
        <w:rPr>
          <w:i/>
          <w:iCs/>
          <w:sz w:val="24"/>
          <w:szCs w:val="24"/>
        </w:rPr>
        <w:t xml:space="preserve">“ </w:t>
      </w:r>
      <w:r w:rsidR="00F976D6" w:rsidRPr="00F976D6">
        <w:rPr>
          <w:rStyle w:val="cf01"/>
          <w:rFonts w:asciiTheme="minorHAnsi" w:hAnsiTheme="minorHAnsi" w:cstheme="minorHAnsi"/>
          <w:sz w:val="24"/>
          <w:szCs w:val="24"/>
        </w:rPr>
        <w:t>vysvětluje aktuální nabídkový a poptávkový trend na trhu s nemovitostmi</w:t>
      </w:r>
      <w:r w:rsidR="00F976D6">
        <w:rPr>
          <w:rStyle w:val="cf01"/>
        </w:rPr>
        <w:t xml:space="preserve"> </w:t>
      </w:r>
      <w:r w:rsidR="00DF1D51" w:rsidRPr="00DF1D51">
        <w:rPr>
          <w:b/>
          <w:bCs/>
          <w:sz w:val="24"/>
          <w:szCs w:val="24"/>
        </w:rPr>
        <w:t>Michal Hrbatý</w:t>
      </w:r>
      <w:r w:rsidR="00DF1D51">
        <w:rPr>
          <w:b/>
          <w:bCs/>
          <w:sz w:val="24"/>
          <w:szCs w:val="24"/>
        </w:rPr>
        <w:t xml:space="preserve">, </w:t>
      </w:r>
      <w:r w:rsidR="00DF1D51" w:rsidRPr="00DF1D51">
        <w:rPr>
          <w:b/>
          <w:bCs/>
          <w:sz w:val="24"/>
          <w:szCs w:val="24"/>
        </w:rPr>
        <w:t>CEO společnosti UlovDomov.cz s.r.o.</w:t>
      </w:r>
    </w:p>
    <w:p w14:paraId="7E0FA057" w14:textId="22051AF6" w:rsidR="003B094F" w:rsidRDefault="003B094F" w:rsidP="00DF1D51">
      <w:pPr>
        <w:jc w:val="both"/>
        <w:rPr>
          <w:b/>
          <w:bCs/>
          <w:sz w:val="24"/>
          <w:szCs w:val="24"/>
        </w:rPr>
      </w:pPr>
      <w:r>
        <w:rPr>
          <w:noProof/>
        </w:rPr>
        <w:drawing>
          <wp:anchor distT="0" distB="0" distL="114300" distR="114300" simplePos="0" relativeHeight="251660288" behindDoc="1" locked="0" layoutInCell="1" allowOverlap="1" wp14:anchorId="11FE4406" wp14:editId="20D6E6CF">
            <wp:simplePos x="0" y="0"/>
            <wp:positionH relativeFrom="column">
              <wp:posOffset>1281430</wp:posOffset>
            </wp:positionH>
            <wp:positionV relativeFrom="paragraph">
              <wp:posOffset>50165</wp:posOffset>
            </wp:positionV>
            <wp:extent cx="3458845" cy="3200400"/>
            <wp:effectExtent l="0" t="0" r="8255"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58845" cy="3200400"/>
                    </a:xfrm>
                    <a:prstGeom prst="rect">
                      <a:avLst/>
                    </a:prstGeom>
                  </pic:spPr>
                </pic:pic>
              </a:graphicData>
            </a:graphic>
            <wp14:sizeRelH relativeFrom="margin">
              <wp14:pctWidth>0</wp14:pctWidth>
            </wp14:sizeRelH>
            <wp14:sizeRelV relativeFrom="margin">
              <wp14:pctHeight>0</wp14:pctHeight>
            </wp14:sizeRelV>
          </wp:anchor>
        </w:drawing>
      </w:r>
    </w:p>
    <w:p w14:paraId="35EB60F9" w14:textId="2A79E9A5" w:rsidR="003B094F" w:rsidRPr="00DF1D51" w:rsidRDefault="003B094F" w:rsidP="00DF1D51">
      <w:pPr>
        <w:jc w:val="both"/>
        <w:rPr>
          <w:b/>
          <w:bCs/>
          <w:sz w:val="24"/>
          <w:szCs w:val="24"/>
        </w:rPr>
      </w:pPr>
    </w:p>
    <w:p w14:paraId="0E851377" w14:textId="335BE350" w:rsidR="00264AD9" w:rsidRDefault="00264AD9" w:rsidP="00F936BF">
      <w:pPr>
        <w:jc w:val="both"/>
        <w:rPr>
          <w:b/>
          <w:bCs/>
          <w:sz w:val="24"/>
          <w:szCs w:val="24"/>
        </w:rPr>
      </w:pPr>
      <w:r w:rsidRPr="00264AD9">
        <w:rPr>
          <w:sz w:val="24"/>
          <w:szCs w:val="24"/>
        </w:rPr>
        <w:t xml:space="preserve">Více než polovina dotázaných developerů nebude ceny svých nemovitostí měnit. U jedné třetiny bude nadále pokračovat trend rostoucích cen, který je v poslední době výraznější než v letech minulých, a to v průměru až o 8 %. Někteří developeři jsou naopak nuceni své ceny snižovat. Jedná se především o menší developery stavící v méně lukrativních lokalitách, kde je poptávka víc citlivá na cenu a na ekonomickou situaci. Ceny nemovitostí v posledním roce </w:t>
      </w:r>
      <w:r w:rsidRPr="00264AD9">
        <w:rPr>
          <w:sz w:val="24"/>
          <w:szCs w:val="24"/>
        </w:rPr>
        <w:lastRenderedPageBreak/>
        <w:t>rostly především z důvodu rostoucích nákladů na výstavbu, kterým developeři čelí v souvislosti se zvyšováním cen stavebních materiálů a v poslední době také energií.</w:t>
      </w:r>
      <w:r w:rsidR="00F936BF">
        <w:rPr>
          <w:sz w:val="24"/>
          <w:szCs w:val="24"/>
        </w:rPr>
        <w:t xml:space="preserve"> </w:t>
      </w:r>
      <w:r w:rsidR="00F936BF" w:rsidRPr="00F936BF">
        <w:rPr>
          <w:i/>
          <w:iCs/>
          <w:sz w:val="24"/>
          <w:szCs w:val="24"/>
        </w:rPr>
        <w:t>„Do konce letošního roku neočekávám žádné výrazné změny u cen nemovitostí. Domnívám se, že v příštím roce by však ceny mohly začít klesat, protože poptávka na trhu s nemovitostmi klesla. Developeři však nemají moc možností pro nějaké radikální snížení cen svých nemovitostí, protože jejich náklady na stavební materiály jsou nyní dražší než dříve. Snížení cen proto bude do značné míry záviset i na finanční stabilitě samotných developerů a stavebníků</w:t>
      </w:r>
      <w:r w:rsidR="005956D6">
        <w:rPr>
          <w:i/>
          <w:iCs/>
          <w:sz w:val="24"/>
          <w:szCs w:val="24"/>
        </w:rPr>
        <w:t>,</w:t>
      </w:r>
      <w:r w:rsidR="00F936BF" w:rsidRPr="00F936BF">
        <w:rPr>
          <w:i/>
          <w:iCs/>
          <w:sz w:val="24"/>
          <w:szCs w:val="24"/>
        </w:rPr>
        <w:t>“</w:t>
      </w:r>
      <w:r w:rsidR="00F936BF">
        <w:rPr>
          <w:i/>
          <w:iCs/>
          <w:sz w:val="24"/>
          <w:szCs w:val="24"/>
        </w:rPr>
        <w:t xml:space="preserve"> </w:t>
      </w:r>
      <w:r w:rsidR="003B094F">
        <w:rPr>
          <w:sz w:val="24"/>
          <w:szCs w:val="24"/>
        </w:rPr>
        <w:t>popisuje</w:t>
      </w:r>
      <w:r w:rsidR="00FA629F">
        <w:rPr>
          <w:sz w:val="24"/>
          <w:szCs w:val="24"/>
        </w:rPr>
        <w:t xml:space="preserve"> možn</w:t>
      </w:r>
      <w:r w:rsidR="00F976D6">
        <w:rPr>
          <w:sz w:val="24"/>
          <w:szCs w:val="24"/>
        </w:rPr>
        <w:t>ý</w:t>
      </w:r>
      <w:r w:rsidR="00F936BF">
        <w:rPr>
          <w:sz w:val="24"/>
          <w:szCs w:val="24"/>
        </w:rPr>
        <w:t xml:space="preserve"> </w:t>
      </w:r>
      <w:r w:rsidR="003B094F">
        <w:rPr>
          <w:sz w:val="24"/>
          <w:szCs w:val="24"/>
        </w:rPr>
        <w:t>vývoj</w:t>
      </w:r>
      <w:r w:rsidR="00F936BF">
        <w:rPr>
          <w:sz w:val="24"/>
          <w:szCs w:val="24"/>
        </w:rPr>
        <w:t xml:space="preserve"> cen </w:t>
      </w:r>
      <w:r w:rsidR="00F976D6">
        <w:rPr>
          <w:sz w:val="24"/>
          <w:szCs w:val="24"/>
        </w:rPr>
        <w:t xml:space="preserve">nemovitostí </w:t>
      </w:r>
      <w:r w:rsidR="00F936BF" w:rsidRPr="00F936BF">
        <w:rPr>
          <w:b/>
          <w:bCs/>
          <w:sz w:val="24"/>
          <w:szCs w:val="24"/>
        </w:rPr>
        <w:t>Sergio Castro, generální ředitel společnosti LAUFEN CZ s.r.o.</w:t>
      </w:r>
    </w:p>
    <w:p w14:paraId="05874825" w14:textId="68280971" w:rsidR="00EA3CEC" w:rsidRPr="00F936BF" w:rsidRDefault="00EA3CEC" w:rsidP="00F936BF">
      <w:pPr>
        <w:jc w:val="both"/>
        <w:rPr>
          <w:b/>
          <w:bCs/>
          <w:sz w:val="24"/>
          <w:szCs w:val="24"/>
        </w:rPr>
      </w:pPr>
      <w:r>
        <w:rPr>
          <w:b/>
          <w:bCs/>
          <w:noProof/>
          <w:sz w:val="24"/>
          <w:szCs w:val="24"/>
        </w:rPr>
        <w:drawing>
          <wp:anchor distT="0" distB="0" distL="114300" distR="114300" simplePos="0" relativeHeight="251659264" behindDoc="0" locked="0" layoutInCell="1" allowOverlap="1" wp14:anchorId="62FF286A" wp14:editId="51176B2B">
            <wp:simplePos x="0" y="0"/>
            <wp:positionH relativeFrom="margin">
              <wp:align>center</wp:align>
            </wp:positionH>
            <wp:positionV relativeFrom="paragraph">
              <wp:posOffset>0</wp:posOffset>
            </wp:positionV>
            <wp:extent cx="3707443" cy="3441700"/>
            <wp:effectExtent l="0" t="0" r="7620" b="635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a:extLst>
                        <a:ext uri="{28A0092B-C50C-407E-A947-70E740481C1C}">
                          <a14:useLocalDpi xmlns:a14="http://schemas.microsoft.com/office/drawing/2010/main" val="0"/>
                        </a:ext>
                      </a:extLst>
                    </a:blip>
                    <a:stretch>
                      <a:fillRect/>
                    </a:stretch>
                  </pic:blipFill>
                  <pic:spPr>
                    <a:xfrm>
                      <a:off x="0" y="0"/>
                      <a:ext cx="3707443" cy="3441700"/>
                    </a:xfrm>
                    <a:prstGeom prst="rect">
                      <a:avLst/>
                    </a:prstGeom>
                  </pic:spPr>
                </pic:pic>
              </a:graphicData>
            </a:graphic>
          </wp:anchor>
        </w:drawing>
      </w:r>
    </w:p>
    <w:p w14:paraId="02D86167" w14:textId="77777777" w:rsidR="003B094F" w:rsidRDefault="003B094F" w:rsidP="0022265E">
      <w:pPr>
        <w:pStyle w:val="Normlnweb"/>
        <w:spacing w:before="0" w:beforeAutospacing="0" w:after="160" w:afterAutospacing="0"/>
        <w:jc w:val="center"/>
        <w:rPr>
          <w:rFonts w:ascii="Calibri" w:hAnsi="Calibri" w:cs="Calibri"/>
          <w:b/>
          <w:bCs/>
          <w:color w:val="000000"/>
          <w:sz w:val="32"/>
          <w:szCs w:val="32"/>
        </w:rPr>
      </w:pPr>
    </w:p>
    <w:p w14:paraId="7A84B66B" w14:textId="77777777" w:rsidR="003B094F" w:rsidRDefault="003B094F" w:rsidP="0022265E">
      <w:pPr>
        <w:pStyle w:val="Normlnweb"/>
        <w:spacing w:before="0" w:beforeAutospacing="0" w:after="160" w:afterAutospacing="0"/>
        <w:jc w:val="center"/>
        <w:rPr>
          <w:rFonts w:ascii="Calibri" w:hAnsi="Calibri" w:cs="Calibri"/>
          <w:b/>
          <w:bCs/>
          <w:color w:val="000000"/>
          <w:sz w:val="32"/>
          <w:szCs w:val="32"/>
        </w:rPr>
      </w:pPr>
    </w:p>
    <w:p w14:paraId="36B4616B" w14:textId="77777777" w:rsidR="003B094F" w:rsidRDefault="003B094F" w:rsidP="0022265E">
      <w:pPr>
        <w:pStyle w:val="Normlnweb"/>
        <w:spacing w:before="0" w:beforeAutospacing="0" w:after="160" w:afterAutospacing="0"/>
        <w:jc w:val="center"/>
        <w:rPr>
          <w:rFonts w:ascii="Calibri" w:hAnsi="Calibri" w:cs="Calibri"/>
          <w:b/>
          <w:bCs/>
          <w:color w:val="000000"/>
          <w:sz w:val="32"/>
          <w:szCs w:val="32"/>
        </w:rPr>
      </w:pPr>
    </w:p>
    <w:p w14:paraId="3902A23C" w14:textId="77777777" w:rsidR="003B094F" w:rsidRDefault="003B094F" w:rsidP="0022265E">
      <w:pPr>
        <w:pStyle w:val="Normlnweb"/>
        <w:spacing w:before="0" w:beforeAutospacing="0" w:after="160" w:afterAutospacing="0"/>
        <w:jc w:val="center"/>
        <w:rPr>
          <w:rFonts w:ascii="Calibri" w:hAnsi="Calibri" w:cs="Calibri"/>
          <w:b/>
          <w:bCs/>
          <w:color w:val="000000"/>
          <w:sz w:val="32"/>
          <w:szCs w:val="32"/>
        </w:rPr>
      </w:pPr>
    </w:p>
    <w:p w14:paraId="413C7C50" w14:textId="77777777" w:rsidR="003B094F" w:rsidRDefault="003B094F" w:rsidP="0022265E">
      <w:pPr>
        <w:pStyle w:val="Normlnweb"/>
        <w:spacing w:before="0" w:beforeAutospacing="0" w:after="160" w:afterAutospacing="0"/>
        <w:jc w:val="center"/>
        <w:rPr>
          <w:rFonts w:ascii="Calibri" w:hAnsi="Calibri" w:cs="Calibri"/>
          <w:b/>
          <w:bCs/>
          <w:color w:val="000000"/>
          <w:sz w:val="32"/>
          <w:szCs w:val="32"/>
        </w:rPr>
      </w:pPr>
    </w:p>
    <w:p w14:paraId="04E34209" w14:textId="77777777" w:rsidR="003B094F" w:rsidRDefault="003B094F" w:rsidP="0022265E">
      <w:pPr>
        <w:pStyle w:val="Normlnweb"/>
        <w:spacing w:before="0" w:beforeAutospacing="0" w:after="160" w:afterAutospacing="0"/>
        <w:jc w:val="center"/>
        <w:rPr>
          <w:rFonts w:ascii="Calibri" w:hAnsi="Calibri" w:cs="Calibri"/>
          <w:b/>
          <w:bCs/>
          <w:color w:val="000000"/>
          <w:sz w:val="32"/>
          <w:szCs w:val="32"/>
        </w:rPr>
      </w:pPr>
    </w:p>
    <w:p w14:paraId="62E0EBCA" w14:textId="77777777" w:rsidR="003B094F" w:rsidRDefault="003B094F" w:rsidP="0022265E">
      <w:pPr>
        <w:pStyle w:val="Normlnweb"/>
        <w:spacing w:before="0" w:beforeAutospacing="0" w:after="160" w:afterAutospacing="0"/>
        <w:jc w:val="center"/>
        <w:rPr>
          <w:rFonts w:ascii="Calibri" w:hAnsi="Calibri" w:cs="Calibri"/>
          <w:b/>
          <w:bCs/>
          <w:color w:val="000000"/>
          <w:sz w:val="32"/>
          <w:szCs w:val="32"/>
        </w:rPr>
      </w:pPr>
    </w:p>
    <w:p w14:paraId="6557438A" w14:textId="77777777" w:rsidR="003B094F" w:rsidRDefault="003B094F" w:rsidP="0022265E">
      <w:pPr>
        <w:pStyle w:val="Normlnweb"/>
        <w:spacing w:before="0" w:beforeAutospacing="0" w:after="160" w:afterAutospacing="0"/>
        <w:jc w:val="center"/>
        <w:rPr>
          <w:rFonts w:ascii="Calibri" w:hAnsi="Calibri" w:cs="Calibri"/>
          <w:b/>
          <w:bCs/>
          <w:color w:val="000000"/>
          <w:sz w:val="32"/>
          <w:szCs w:val="32"/>
        </w:rPr>
      </w:pPr>
    </w:p>
    <w:p w14:paraId="70E268E3" w14:textId="77777777" w:rsidR="003B094F" w:rsidRDefault="003B094F" w:rsidP="0022265E">
      <w:pPr>
        <w:pStyle w:val="Normlnweb"/>
        <w:spacing w:before="0" w:beforeAutospacing="0" w:after="160" w:afterAutospacing="0"/>
        <w:jc w:val="center"/>
        <w:rPr>
          <w:rFonts w:ascii="Calibri" w:hAnsi="Calibri" w:cs="Calibri"/>
          <w:b/>
          <w:bCs/>
          <w:color w:val="000000"/>
          <w:sz w:val="32"/>
          <w:szCs w:val="32"/>
        </w:rPr>
      </w:pPr>
    </w:p>
    <w:p w14:paraId="109975BB" w14:textId="5FC7039C" w:rsidR="0022265E" w:rsidRDefault="0022265E" w:rsidP="0022265E">
      <w:pPr>
        <w:pStyle w:val="Normlnweb"/>
        <w:spacing w:before="0" w:beforeAutospacing="0" w:after="160" w:afterAutospacing="0"/>
        <w:jc w:val="center"/>
      </w:pPr>
      <w:r w:rsidRPr="0022265E">
        <w:rPr>
          <w:rFonts w:ascii="Calibri" w:hAnsi="Calibri" w:cs="Calibri"/>
          <w:b/>
          <w:bCs/>
          <w:color w:val="000000"/>
          <w:sz w:val="32"/>
          <w:szCs w:val="32"/>
        </w:rPr>
        <w:lastRenderedPageBreak/>
        <w:t>STUDIE DEVELOPERSKÝCH SPOLEČNOSTÍ</w:t>
      </w:r>
      <w:r>
        <w:rPr>
          <w:rFonts w:ascii="Calibri" w:hAnsi="Calibri" w:cs="Calibri"/>
          <w:b/>
          <w:bCs/>
          <w:color w:val="000000"/>
          <w:sz w:val="32"/>
          <w:szCs w:val="32"/>
        </w:rPr>
        <w:t xml:space="preserve"> H2/2022 JE ZVEŘEJNĚNA NA:</w:t>
      </w:r>
    </w:p>
    <w:p w14:paraId="6A463D2E" w14:textId="77777777" w:rsidR="0022265E" w:rsidRDefault="00000000" w:rsidP="0022265E">
      <w:pPr>
        <w:pStyle w:val="Normlnweb"/>
        <w:spacing w:before="0" w:beforeAutospacing="0" w:after="160" w:afterAutospacing="0"/>
        <w:jc w:val="center"/>
      </w:pPr>
      <w:hyperlink r:id="rId10" w:history="1">
        <w:r w:rsidR="0022265E">
          <w:rPr>
            <w:rStyle w:val="Hypertextovodkaz"/>
            <w:rFonts w:ascii="Calibri" w:hAnsi="Calibri" w:cs="Calibri"/>
            <w:b/>
            <w:bCs/>
            <w:color w:val="0563C1"/>
            <w:sz w:val="32"/>
            <w:szCs w:val="32"/>
          </w:rPr>
          <w:t>www.ceec.eu</w:t>
        </w:r>
      </w:hyperlink>
      <w:r w:rsidR="0022265E">
        <w:rPr>
          <w:rFonts w:ascii="Calibri" w:hAnsi="Calibri" w:cs="Calibri"/>
          <w:b/>
          <w:bCs/>
          <w:color w:val="000000"/>
          <w:sz w:val="32"/>
          <w:szCs w:val="32"/>
        </w:rPr>
        <w:t> </w:t>
      </w:r>
    </w:p>
    <w:p w14:paraId="23A5FB09" w14:textId="77777777" w:rsidR="0022265E" w:rsidRDefault="0022265E" w:rsidP="0022265E">
      <w:pPr>
        <w:pStyle w:val="Normlnweb"/>
        <w:spacing w:before="240" w:beforeAutospacing="0" w:after="240" w:afterAutospacing="0"/>
      </w:pPr>
      <w:r>
        <w:rPr>
          <w:rFonts w:ascii="Calibri" w:hAnsi="Calibri" w:cs="Calibri"/>
          <w:b/>
          <w:bCs/>
          <w:color w:val="000000"/>
        </w:rPr>
        <w:t>Kontakt pro média:</w:t>
      </w:r>
      <w:r>
        <w:rPr>
          <w:rFonts w:ascii="Calibri" w:hAnsi="Calibri" w:cs="Calibri"/>
          <w:b/>
          <w:bCs/>
          <w:color w:val="000000"/>
        </w:rPr>
        <w:br/>
      </w:r>
      <w:r>
        <w:rPr>
          <w:rFonts w:ascii="Calibri" w:hAnsi="Calibri" w:cs="Calibri"/>
          <w:color w:val="000000"/>
        </w:rPr>
        <w:t>Ing. Michal Vacek,</w:t>
      </w:r>
      <w:r>
        <w:rPr>
          <w:rFonts w:ascii="Calibri" w:hAnsi="Calibri" w:cs="Calibri"/>
          <w:color w:val="000000"/>
        </w:rPr>
        <w:br/>
        <w:t>výkonný ředitel společnosti</w:t>
      </w:r>
      <w:r>
        <w:rPr>
          <w:rFonts w:ascii="Calibri" w:hAnsi="Calibri" w:cs="Calibri"/>
          <w:color w:val="000000"/>
        </w:rPr>
        <w:br/>
        <w:t>CEEC Research</w:t>
      </w:r>
      <w:r>
        <w:rPr>
          <w:rFonts w:ascii="Calibri" w:hAnsi="Calibri" w:cs="Calibri"/>
          <w:color w:val="000000"/>
        </w:rPr>
        <w:br/>
        <w:t>+420 776 023 170</w:t>
      </w:r>
      <w:r>
        <w:rPr>
          <w:rFonts w:ascii="Calibri" w:hAnsi="Calibri" w:cs="Calibri"/>
          <w:color w:val="000000"/>
        </w:rPr>
        <w:br/>
      </w:r>
      <w:r>
        <w:rPr>
          <w:rFonts w:ascii="Calibri" w:hAnsi="Calibri" w:cs="Calibri"/>
          <w:color w:val="1155CC"/>
          <w:u w:val="single"/>
        </w:rPr>
        <w:t>michal.vacek@ceec.eu</w:t>
      </w:r>
    </w:p>
    <w:p w14:paraId="319C3C45" w14:textId="53474FF5" w:rsidR="0022265E" w:rsidRDefault="0022265E" w:rsidP="0022265E">
      <w:pPr>
        <w:pStyle w:val="Normlnweb"/>
        <w:spacing w:before="0" w:beforeAutospacing="0" w:after="0" w:afterAutospacing="0"/>
        <w:jc w:val="both"/>
        <w:rPr>
          <w:rFonts w:ascii="Calibri" w:hAnsi="Calibri" w:cs="Calibri"/>
          <w:color w:val="000000"/>
        </w:rPr>
      </w:pPr>
      <w:r>
        <w:rPr>
          <w:rFonts w:ascii="Calibri" w:hAnsi="Calibri" w:cs="Calibri"/>
          <w:color w:val="000000"/>
        </w:rPr>
        <w:t>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w:t>
      </w:r>
      <w:r w:rsidR="005956D6">
        <w:rPr>
          <w:rFonts w:ascii="Calibri" w:hAnsi="Calibri" w:cs="Calibri"/>
          <w:color w:val="000000"/>
        </w:rPr>
        <w:t> </w:t>
      </w:r>
      <w:r>
        <w:rPr>
          <w:rFonts w:ascii="Calibri" w:hAnsi="Calibri" w:cs="Calibri"/>
          <w:color w:val="000000"/>
        </w:rPr>
        <w:t>roce 2005 jako analytická organizace specializující se na zpracování výzkumů a analýz stavebního sektoru, následně se analytické zaměření rozšířilo i na další vybrané sektory ekonomiky, včetně stavebnictví.</w:t>
      </w:r>
    </w:p>
    <w:p w14:paraId="51C0FF27" w14:textId="77777777" w:rsidR="0022265E" w:rsidRDefault="0022265E" w:rsidP="0022265E">
      <w:pPr>
        <w:pStyle w:val="Normlnweb"/>
        <w:spacing w:before="0" w:beforeAutospacing="0" w:after="0" w:afterAutospacing="0"/>
        <w:jc w:val="both"/>
      </w:pPr>
    </w:p>
    <w:p w14:paraId="74095E12" w14:textId="77777777" w:rsidR="0022265E" w:rsidRDefault="0022265E" w:rsidP="0022265E">
      <w:pPr>
        <w:pStyle w:val="Normlnweb"/>
        <w:spacing w:before="0" w:beforeAutospacing="0" w:after="0" w:afterAutospacing="0"/>
        <w:jc w:val="both"/>
      </w:pPr>
      <w:r>
        <w:rPr>
          <w:rFonts w:ascii="Calibri" w:hAnsi="Calibri" w:cs="Calibri"/>
          <w:color w:val="000000"/>
        </w:rPr>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 </w:t>
      </w:r>
    </w:p>
    <w:p w14:paraId="0B928F8B" w14:textId="77777777" w:rsidR="0022265E" w:rsidRPr="00264AD9" w:rsidRDefault="0022265E" w:rsidP="00264AD9">
      <w:pPr>
        <w:jc w:val="both"/>
        <w:rPr>
          <w:sz w:val="24"/>
          <w:szCs w:val="24"/>
        </w:rPr>
      </w:pPr>
    </w:p>
    <w:p w14:paraId="2C459DC9" w14:textId="77777777" w:rsidR="00264AD9" w:rsidRPr="00264AD9" w:rsidRDefault="00264AD9" w:rsidP="00264AD9">
      <w:pPr>
        <w:jc w:val="both"/>
        <w:rPr>
          <w:sz w:val="24"/>
          <w:szCs w:val="24"/>
        </w:rPr>
      </w:pPr>
    </w:p>
    <w:sectPr w:rsidR="00264AD9" w:rsidRPr="00264AD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509C" w14:textId="77777777" w:rsidR="004D4292" w:rsidRDefault="004D4292" w:rsidP="0022265E">
      <w:pPr>
        <w:spacing w:after="0" w:line="240" w:lineRule="auto"/>
      </w:pPr>
      <w:r>
        <w:separator/>
      </w:r>
    </w:p>
  </w:endnote>
  <w:endnote w:type="continuationSeparator" w:id="0">
    <w:p w14:paraId="0366A92F" w14:textId="77777777" w:rsidR="004D4292" w:rsidRDefault="004D4292" w:rsidP="0022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485C" w14:textId="77777777" w:rsidR="004D4292" w:rsidRDefault="004D4292" w:rsidP="0022265E">
      <w:pPr>
        <w:spacing w:after="0" w:line="240" w:lineRule="auto"/>
      </w:pPr>
      <w:r>
        <w:separator/>
      </w:r>
    </w:p>
  </w:footnote>
  <w:footnote w:type="continuationSeparator" w:id="0">
    <w:p w14:paraId="6795D3DB" w14:textId="77777777" w:rsidR="004D4292" w:rsidRDefault="004D4292" w:rsidP="00222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EF71" w14:textId="5C5A73D5" w:rsidR="0022265E" w:rsidRDefault="0022265E">
    <w:pPr>
      <w:pStyle w:val="Zhlav"/>
    </w:pPr>
    <w:r>
      <w:rPr>
        <w:noProof/>
      </w:rPr>
      <w:drawing>
        <wp:anchor distT="0" distB="0" distL="114300" distR="114300" simplePos="0" relativeHeight="251660288" behindDoc="1" locked="0" layoutInCell="1" allowOverlap="1" wp14:anchorId="151AAA0B" wp14:editId="1DF8160D">
          <wp:simplePos x="0" y="0"/>
          <wp:positionH relativeFrom="margin">
            <wp:posOffset>3970655</wp:posOffset>
          </wp:positionH>
          <wp:positionV relativeFrom="paragraph">
            <wp:posOffset>-5080</wp:posOffset>
          </wp:positionV>
          <wp:extent cx="1784350" cy="607060"/>
          <wp:effectExtent l="0" t="0" r="6350" b="2540"/>
          <wp:wrapThrough wrapText="bothSides">
            <wp:wrapPolygon edited="0">
              <wp:start x="0" y="0"/>
              <wp:lineTo x="0" y="21013"/>
              <wp:lineTo x="21446" y="21013"/>
              <wp:lineTo x="21446"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784350" cy="6070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FC79E54" wp14:editId="0DDA4E6C">
          <wp:simplePos x="0" y="0"/>
          <wp:positionH relativeFrom="column">
            <wp:posOffset>-317500</wp:posOffset>
          </wp:positionH>
          <wp:positionV relativeFrom="paragraph">
            <wp:posOffset>-451485</wp:posOffset>
          </wp:positionV>
          <wp:extent cx="1885950" cy="1009650"/>
          <wp:effectExtent l="0" t="0" r="0" b="0"/>
          <wp:wrapTopAndBottom/>
          <wp:docPr id="8" name="Obrázek 8"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kreslení&#10;&#10;Popis byl vytvořen automatick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D9"/>
    <w:rsid w:val="00015FC1"/>
    <w:rsid w:val="000160D6"/>
    <w:rsid w:val="0022265E"/>
    <w:rsid w:val="00264AD9"/>
    <w:rsid w:val="002F5CB9"/>
    <w:rsid w:val="003B094F"/>
    <w:rsid w:val="004D4292"/>
    <w:rsid w:val="005956D6"/>
    <w:rsid w:val="00625450"/>
    <w:rsid w:val="00777B84"/>
    <w:rsid w:val="0082728C"/>
    <w:rsid w:val="00A30DEA"/>
    <w:rsid w:val="00AF3FD3"/>
    <w:rsid w:val="00B0711D"/>
    <w:rsid w:val="00BF1F0E"/>
    <w:rsid w:val="00CA6772"/>
    <w:rsid w:val="00D72692"/>
    <w:rsid w:val="00D82AB7"/>
    <w:rsid w:val="00DF1D51"/>
    <w:rsid w:val="00E322B6"/>
    <w:rsid w:val="00E53684"/>
    <w:rsid w:val="00E8027D"/>
    <w:rsid w:val="00EA3CEC"/>
    <w:rsid w:val="00F63FFF"/>
    <w:rsid w:val="00F85DF1"/>
    <w:rsid w:val="00F936BF"/>
    <w:rsid w:val="00F976D6"/>
    <w:rsid w:val="00FA62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720AF"/>
  <w15:chartTrackingRefBased/>
  <w15:docId w15:val="{95B2DE9A-637B-4730-81E3-8BBF8B26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2265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2265E"/>
    <w:rPr>
      <w:color w:val="0000FF"/>
      <w:u w:val="single"/>
    </w:rPr>
  </w:style>
  <w:style w:type="paragraph" w:styleId="Zhlav">
    <w:name w:val="header"/>
    <w:basedOn w:val="Normln"/>
    <w:link w:val="ZhlavChar"/>
    <w:uiPriority w:val="99"/>
    <w:unhideWhenUsed/>
    <w:rsid w:val="002226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265E"/>
  </w:style>
  <w:style w:type="paragraph" w:styleId="Zpat">
    <w:name w:val="footer"/>
    <w:basedOn w:val="Normln"/>
    <w:link w:val="ZpatChar"/>
    <w:uiPriority w:val="99"/>
    <w:unhideWhenUsed/>
    <w:rsid w:val="0022265E"/>
    <w:pPr>
      <w:tabs>
        <w:tab w:val="center" w:pos="4536"/>
        <w:tab w:val="right" w:pos="9072"/>
      </w:tabs>
      <w:spacing w:after="0" w:line="240" w:lineRule="auto"/>
    </w:pPr>
  </w:style>
  <w:style w:type="character" w:customStyle="1" w:styleId="ZpatChar">
    <w:name w:val="Zápatí Char"/>
    <w:basedOn w:val="Standardnpsmoodstavce"/>
    <w:link w:val="Zpat"/>
    <w:uiPriority w:val="99"/>
    <w:rsid w:val="0022265E"/>
  </w:style>
  <w:style w:type="character" w:styleId="Siln">
    <w:name w:val="Strong"/>
    <w:basedOn w:val="Standardnpsmoodstavce"/>
    <w:uiPriority w:val="22"/>
    <w:qFormat/>
    <w:rsid w:val="0022265E"/>
    <w:rPr>
      <w:b/>
      <w:bCs/>
    </w:rPr>
  </w:style>
  <w:style w:type="character" w:styleId="Odkaznakoment">
    <w:name w:val="annotation reference"/>
    <w:basedOn w:val="Standardnpsmoodstavce"/>
    <w:uiPriority w:val="99"/>
    <w:semiHidden/>
    <w:unhideWhenUsed/>
    <w:rsid w:val="00BF1F0E"/>
    <w:rPr>
      <w:sz w:val="16"/>
      <w:szCs w:val="16"/>
    </w:rPr>
  </w:style>
  <w:style w:type="paragraph" w:styleId="Textkomente">
    <w:name w:val="annotation text"/>
    <w:basedOn w:val="Normln"/>
    <w:link w:val="TextkomenteChar"/>
    <w:uiPriority w:val="99"/>
    <w:unhideWhenUsed/>
    <w:rsid w:val="00BF1F0E"/>
    <w:pPr>
      <w:spacing w:line="240" w:lineRule="auto"/>
    </w:pPr>
    <w:rPr>
      <w:sz w:val="20"/>
      <w:szCs w:val="20"/>
    </w:rPr>
  </w:style>
  <w:style w:type="character" w:customStyle="1" w:styleId="TextkomenteChar">
    <w:name w:val="Text komentáře Char"/>
    <w:basedOn w:val="Standardnpsmoodstavce"/>
    <w:link w:val="Textkomente"/>
    <w:uiPriority w:val="99"/>
    <w:rsid w:val="00BF1F0E"/>
    <w:rPr>
      <w:sz w:val="20"/>
      <w:szCs w:val="20"/>
    </w:rPr>
  </w:style>
  <w:style w:type="paragraph" w:styleId="Pedmtkomente">
    <w:name w:val="annotation subject"/>
    <w:basedOn w:val="Textkomente"/>
    <w:next w:val="Textkomente"/>
    <w:link w:val="PedmtkomenteChar"/>
    <w:uiPriority w:val="99"/>
    <w:semiHidden/>
    <w:unhideWhenUsed/>
    <w:rsid w:val="00BF1F0E"/>
    <w:rPr>
      <w:b/>
      <w:bCs/>
    </w:rPr>
  </w:style>
  <w:style w:type="character" w:customStyle="1" w:styleId="PedmtkomenteChar">
    <w:name w:val="Předmět komentáře Char"/>
    <w:basedOn w:val="TextkomenteChar"/>
    <w:link w:val="Pedmtkomente"/>
    <w:uiPriority w:val="99"/>
    <w:semiHidden/>
    <w:rsid w:val="00BF1F0E"/>
    <w:rPr>
      <w:b/>
      <w:bCs/>
      <w:sz w:val="20"/>
      <w:szCs w:val="20"/>
    </w:rPr>
  </w:style>
  <w:style w:type="character" w:customStyle="1" w:styleId="cf01">
    <w:name w:val="cf01"/>
    <w:basedOn w:val="Standardnpsmoodstavce"/>
    <w:rsid w:val="00F976D6"/>
    <w:rPr>
      <w:rFonts w:ascii="Segoe UI" w:hAnsi="Segoe UI" w:cs="Segoe UI" w:hint="default"/>
      <w:sz w:val="18"/>
      <w:szCs w:val="18"/>
    </w:rPr>
  </w:style>
  <w:style w:type="paragraph" w:styleId="Revize">
    <w:name w:val="Revision"/>
    <w:hidden/>
    <w:uiPriority w:val="99"/>
    <w:semiHidden/>
    <w:rsid w:val="00D72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eec.eu/"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40C08-48D1-4767-BFA9-C6C58A2B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736</Words>
  <Characters>4345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2</cp:revision>
  <dcterms:created xsi:type="dcterms:W3CDTF">2022-10-17T07:11:00Z</dcterms:created>
  <dcterms:modified xsi:type="dcterms:W3CDTF">2022-10-17T07:11:00Z</dcterms:modified>
</cp:coreProperties>
</file>