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5224" w14:textId="55BA27A4" w:rsidR="000017FC" w:rsidRPr="00DB114E" w:rsidRDefault="000017FC" w:rsidP="000017FC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lang w:val="sk-SK"/>
        </w:rPr>
      </w:pPr>
      <w:bookmarkStart w:id="0" w:name="_Hlk104308179"/>
      <w:bookmarkEnd w:id="0"/>
    </w:p>
    <w:p w14:paraId="0B99A2EB" w14:textId="77777777" w:rsidR="004A6D12" w:rsidRDefault="004A6D12" w:rsidP="004A6D12">
      <w:pPr>
        <w:spacing w:after="0" w:line="276" w:lineRule="auto"/>
        <w:jc w:val="center"/>
        <w:rPr>
          <w:rFonts w:ascii="Space Grotesk" w:eastAsia="Calibri" w:hAnsi="Space Grotesk" w:cs="Calibri"/>
          <w:b/>
          <w:sz w:val="26"/>
          <w:szCs w:val="26"/>
        </w:rPr>
      </w:pPr>
      <w:bookmarkStart w:id="1" w:name="_Hlk104307942"/>
      <w:r w:rsidRPr="003F7688">
        <w:rPr>
          <w:rFonts w:ascii="Space Grotesk" w:eastAsia="Calibri" w:hAnsi="Space Grotesk" w:cs="Calibri"/>
          <w:b/>
          <w:sz w:val="26"/>
          <w:szCs w:val="26"/>
        </w:rPr>
        <w:t>TISKOVÁ ZPRÁVA</w:t>
      </w:r>
    </w:p>
    <w:bookmarkEnd w:id="1"/>
    <w:p w14:paraId="691B8B89" w14:textId="77777777" w:rsidR="000017FC" w:rsidRPr="00DB114E" w:rsidRDefault="000017FC" w:rsidP="000017FC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lang w:val="sk-SK"/>
        </w:rPr>
      </w:pPr>
    </w:p>
    <w:p w14:paraId="61D7E9EC" w14:textId="03D2B85D" w:rsidR="000E5F66" w:rsidRPr="004A6D12" w:rsidRDefault="0070558E" w:rsidP="000017FC">
      <w:pPr>
        <w:autoSpaceDE w:val="0"/>
        <w:autoSpaceDN w:val="0"/>
        <w:adjustRightInd w:val="0"/>
        <w:spacing w:after="0" w:line="240" w:lineRule="auto"/>
        <w:jc w:val="center"/>
        <w:rPr>
          <w:rFonts w:ascii="Space Grotesk" w:eastAsia="Calibri" w:hAnsi="Space Grotesk" w:cs="Calibri"/>
          <w:b/>
          <w:color w:val="D51130"/>
          <w:sz w:val="40"/>
          <w:szCs w:val="40"/>
        </w:rPr>
      </w:pPr>
      <w:proofErr w:type="spellStart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Ve</w:t>
      </w:r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r</w:t>
      </w:r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ejná</w:t>
      </w:r>
      <w:proofErr w:type="spellEnd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správa </w:t>
      </w:r>
      <w:proofErr w:type="spellStart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n</w:t>
      </w:r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ie</w:t>
      </w:r>
      <w:proofErr w:type="spellEnd"/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je</w:t>
      </w:r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</w:t>
      </w:r>
      <w:proofErr w:type="spellStart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p</w:t>
      </w:r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r</w:t>
      </w:r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ipraven</w:t>
      </w:r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á</w:t>
      </w:r>
      <w:proofErr w:type="spellEnd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</w:t>
      </w:r>
      <w:r w:rsidR="004A6D12">
        <w:rPr>
          <w:rFonts w:ascii="Space Grotesk" w:eastAsia="Calibri" w:hAnsi="Space Grotesk" w:cs="Calibri"/>
          <w:b/>
          <w:color w:val="D51130"/>
          <w:sz w:val="40"/>
          <w:szCs w:val="40"/>
        </w:rPr>
        <w:br/>
      </w:r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na </w:t>
      </w:r>
      <w:proofErr w:type="spellStart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p</w:t>
      </w:r>
      <w:r w:rsidR="00DB114E"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r</w:t>
      </w:r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>echod</w:t>
      </w:r>
      <w:proofErr w:type="spellEnd"/>
      <w:r w:rsidRPr="004A6D12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do BIM</w:t>
      </w:r>
    </w:p>
    <w:p w14:paraId="39102EE3" w14:textId="77777777" w:rsidR="000E5F66" w:rsidRPr="00DB114E" w:rsidRDefault="000E5F66" w:rsidP="000017FC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lang w:val="sk-SK"/>
        </w:rPr>
      </w:pPr>
    </w:p>
    <w:p w14:paraId="7B27B3A6" w14:textId="04DF5276" w:rsidR="00765037" w:rsidRPr="004A6D12" w:rsidRDefault="00765037" w:rsidP="007345E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Bratislava </w:t>
      </w:r>
      <w:r w:rsidR="00DF2118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13. 6.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2022</w:t>
      </w:r>
      <w:r w:rsidR="00D37592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-</w:t>
      </w:r>
      <w:r w:rsidR="00DD72E1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bookmarkStart w:id="2" w:name="_Hlk106004595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Úroveň digitalizácie </w:t>
      </w:r>
      <w:bookmarkStart w:id="3" w:name="_Hlk106004545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verejnej správy</w:t>
      </w:r>
      <w:bookmarkEnd w:id="3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bola ohodnotená </w:t>
      </w:r>
      <w:r w:rsid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br/>
      </w:r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4,3 bodmi. Podľa 71 % opýtaných nie je verejná správa pripravená na prechod do BIM. Najrýchlejší nástup BIM očakávajú projektanti u komerčných budov. </w:t>
      </w:r>
      <w:bookmarkEnd w:id="2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Snaha vlády </w:t>
      </w:r>
      <w:r w:rsid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br/>
      </w:r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o vyrovnané rozpočty ovplyvní prípravu stavieb. Rastúca inflácia povedie k rastu cien projektov. Green </w:t>
      </w:r>
      <w:proofErr w:type="spellStart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Deal</w:t>
      </w:r>
      <w:proofErr w:type="spellEnd"/>
      <w:r w:rsidR="007345EA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vnímajú projektové spoločnosti ako príležitosť.</w:t>
      </w:r>
      <w:r w:rsidR="00D37592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Vyplýv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a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to </w:t>
      </w:r>
      <w:r w:rsid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br/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z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P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o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lročn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štú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die slovenského stavebn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í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ctv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a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H1/2022 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s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pracovan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analytickou spol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o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čnos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ťou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CEEC Research s.r.o. za podpory generáln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ho partnera Považsk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cementárn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</w:t>
      </w:r>
      <w:r w:rsidR="0070558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Ladce a.s.</w:t>
      </w:r>
    </w:p>
    <w:p w14:paraId="5C7F36E2" w14:textId="77777777" w:rsidR="007345EA" w:rsidRPr="004A6D12" w:rsidRDefault="007345EA" w:rsidP="007345EA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6453B460" w14:textId="4C0EF53A" w:rsidR="00664F09" w:rsidRPr="004A6D12" w:rsidRDefault="007345EA" w:rsidP="00664F0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Projektové spoločnosti ohodnotili úroveň digitalizácie verejnej správy 4,3 bodmi </w:t>
      </w:r>
      <w:r w:rsid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z 10 možných, kedy 0 = veľmi nízka úroveň a 10 = vyspelá úroveň.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To by s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pod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ľa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664F09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Pavla Kováčika</w:t>
      </w:r>
      <w:r w:rsidR="00DB114E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,</w:t>
      </w:r>
      <w:r w:rsid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664F09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prezident</w:t>
      </w:r>
      <w:r w:rsidR="00DD72E1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a</w:t>
      </w:r>
      <w:r w:rsidR="00664F09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Zväzu stavebných podnikateľov Slovenska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,</w:t>
      </w:r>
      <w:r w:rsidR="00AF4D2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mohlo zlepši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ť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v n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sleduj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ú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c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i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ch 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roko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c</w:t>
      </w:r>
      <w:r w:rsidR="00AF4D2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h: </w:t>
      </w:r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„Prijatie nového Zákona o územnom plánovaní ako aj Zákona 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br/>
      </w:r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o výstavbe vytvorí systémový rámec pre urýchlenie digitalizácie a BIM predovšetkým z pozície štátu a jeho metodickej úlohy. Digitalizácia a BIM sa v priebehu niekoľkých rokov stanú „povinným“ nástrojom popri ďalšej výzve a tou je komplexná transformácia stavebníctva na trvalo udržateľné. Tu sa formuje veľký potenciál pre projektantov aj stavbárov pre budúce roky 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br/>
      </w:r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v zmysle priorít EÚ. ZSPS spolu s partnermi sa v rámci projektu Green</w:t>
      </w:r>
      <w:r w:rsidR="00DB114E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</w:t>
      </w:r>
      <w:proofErr w:type="spellStart"/>
      <w:r w:rsidR="00DB114E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D</w:t>
      </w:r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eal</w:t>
      </w:r>
      <w:proofErr w:type="spellEnd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4 </w:t>
      </w:r>
      <w:proofErr w:type="spellStart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Buldings</w:t>
      </w:r>
      <w:proofErr w:type="spellEnd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aktívne zapojil do prípravy podmienok pre celkovú obnovu a energetické úspory budov, adaptáciu </w:t>
      </w:r>
      <w:proofErr w:type="spellStart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smart</w:t>
      </w:r>
      <w:proofErr w:type="spellEnd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riešení a celkového prechodu na cirkulárne </w:t>
      </w:r>
      <w:proofErr w:type="spellStart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bezuhlíkové</w:t>
      </w:r>
      <w:proofErr w:type="spellEnd"/>
      <w:r w:rsidR="00664F09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stavebníctvo 21.storočia.“</w:t>
      </w:r>
    </w:p>
    <w:p w14:paraId="3887207E" w14:textId="77777777" w:rsidR="004A6D12" w:rsidRPr="004A6D12" w:rsidRDefault="004A6D12" w:rsidP="00664F0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51B40141" w14:textId="5FAC4DB2" w:rsidR="007345EA" w:rsidRPr="004A6D12" w:rsidRDefault="004A6D12" w:rsidP="004A6D1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noProof/>
          <w:color w:val="000000"/>
          <w:sz w:val="24"/>
          <w:szCs w:val="24"/>
          <w:lang w:val="sk-SK"/>
        </w:rPr>
        <w:drawing>
          <wp:inline distT="0" distB="0" distL="0" distR="0" wp14:anchorId="702D8B30" wp14:editId="1E41B55D">
            <wp:extent cx="5078730" cy="264858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C487" w14:textId="0632DB61" w:rsidR="007345EA" w:rsidRDefault="007345EA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lastRenderedPageBreak/>
        <w:t>Podľa troch štvrtín opýtaných projektantov nie je verejná správa pripravená na prechod do BIM (71 %). Ďalších 28 % opýtaných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túto situáciu nedokáže zhodnotiť. Iba 1 % z opýtaných sa domnieva, že je verejná správa na BIM pripravená.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Jedn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ý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m z p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edstavite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ľov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, kt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orý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si nemyslí, že je ve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ejná správa p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ipraven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na p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echod do BIM, je t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iež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A1272D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Ján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A1272D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Majerský</w:t>
      </w:r>
      <w:r w:rsidR="00DD72E1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,</w:t>
      </w:r>
      <w:r w:rsidR="00F337F4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A1272D" w:rsidRPr="004A6D12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generálny riaditeľ spoločnosti PROMA, s.r.o.,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kt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rý navrhuje lepš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iu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synchroniz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ci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u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a komunik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ci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u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s Česk</w:t>
      </w:r>
      <w:r w:rsidR="00DB114E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</w:t>
      </w:r>
      <w:r w:rsidR="00A1272D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m: „</w:t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Vo verejnom priestore veľmi pomalé a nesystémové. Veľmi rýchlo sme zaostali v digitalizácii v stavebníctve už len za okolitými krajinami. Nevidím žiadny systémový proces vo verejnom obstarávaní, iba náhodné požiadavky na BIM riešenie projektov, ktoré sú v niektorých prípadoch aj chaoticky zadané. Digitalizácia stavebných úradov ešte ani nezačala... Súkromní investori sú podstatne ďalej v digitalizácii pri príprave svojich stavieb. Zdôvodnenie tohto názoru má oporu v systémových riešeniach v okolitých krajinách. Postačuje len, keby sme sa „synchronizovali“ a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 </w:t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komunikovali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</w:t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s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</w:t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Českom 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br/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a pravdepodobne by sme už boli ďalej v digitalizácii stavebných procesov aj stavebných úradov. Paradoxom v tejto téme je, že kompetentní o tom </w:t>
      </w:r>
      <w:r w:rsid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</w:t>
      </w:r>
      <w:r w:rsidR="00F337F4" w:rsidRPr="004A6D12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často rozprávajú a naviac aj deklarujú finančný potenciál na zavedenie digitalizácie v stavebníctve.“</w:t>
      </w:r>
    </w:p>
    <w:p w14:paraId="59EF2DBD" w14:textId="4FDE57CE" w:rsidR="004A6D12" w:rsidRDefault="004A6D12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1FDB5553" w14:textId="77777777" w:rsidR="004A6D12" w:rsidRPr="004A6D12" w:rsidRDefault="004A6D12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2D60548C" w14:textId="0DD8EC35" w:rsidR="007345EA" w:rsidRPr="004A6D12" w:rsidRDefault="007345EA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Podľa 54 % opýtaných projektantov dôjde k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 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najrýchlejšiemu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nástupu BIM u komerčných budov. Podľa ďalších 21 % bude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najrýchlejší rozvoj BIM u cestných stavieb. Ďalších 12 %</w:t>
      </w:r>
    </w:p>
    <w:p w14:paraId="7E9E7654" w14:textId="62328E62" w:rsidR="007345EA" w:rsidRPr="004A6D12" w:rsidRDefault="007345EA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opýtaných sa domnieva, že najrýchlejší bude BIM aplikovaný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u verejných budov a 10 % sa domnieva, že sa bude jednať o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energetické stavby. Žiadny z opýtaných nezvolil možnosť</w:t>
      </w:r>
      <w:r w:rsidR="00BB5950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železničných stavieb či vodných stavieb. Zostávajúce 3 %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opýtaných zvolili tiež iné možnosti, než sú vyššie uvedené,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medzi ktoré patrili rodinné domy.</w:t>
      </w:r>
      <w:r w:rsidR="00664F0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</w:p>
    <w:p w14:paraId="792B49E1" w14:textId="3C6522AD" w:rsidR="004F7264" w:rsidRDefault="004F726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EF0124E" w14:textId="77777777" w:rsidR="004A6D12" w:rsidRPr="004A6D12" w:rsidRDefault="004A6D12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F42C8ED" w14:textId="7ABE24C0" w:rsidR="004F7264" w:rsidRPr="004A6D12" w:rsidRDefault="007345EA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Podľa 47 % opýtaných projektantov pravdepodobne ovplyvní snaha vlády o vyrovnané rozpočty prípravu infraštruktúrnych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stavieb, ďalších 36 % sa domnieva, že k tomuto ovplyvneniu dôjde úplne iste. Naopak, podľa 16 % opýtaných táto snaha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k ovplyvneniu investícií do infraštruktúry pravdepodobne neprispeje a zostávajúce 1 % opýtaných sa domnievajú, že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k ovplyvneniu nedôjde úplne iste.</w:t>
      </w:r>
    </w:p>
    <w:p w14:paraId="6B94D12F" w14:textId="4729E698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2D802C10" w14:textId="2927294C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5E680706" w14:textId="57E256C8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21281C30" w14:textId="1ACE15A3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6F20CA88" w14:textId="5806A5B6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12101CF3" w14:textId="0F3343FD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3CC3ECBE" w14:textId="435E18D4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BEB54C3" w14:textId="5E1F64DA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756CD8E2" w14:textId="6BC94033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22B0C629" w14:textId="72AEE071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39E54F2E" w14:textId="2D1B6291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EA119C3" w14:textId="55661372" w:rsidR="00F337F4" w:rsidRPr="004A6D12" w:rsidRDefault="00F337F4" w:rsidP="00F337F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48E34630" w14:textId="7700BC0D" w:rsidR="007345EA" w:rsidRPr="004A6D12" w:rsidRDefault="004A6D12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>
        <w:rPr>
          <w:rFonts w:ascii="Source Sans Pro" w:hAnsi="Source Sans Pro" w:cstheme="minorHAnsi"/>
          <w:color w:val="000000"/>
          <w:sz w:val="24"/>
          <w:szCs w:val="24"/>
          <w:lang w:val="sk-SK"/>
        </w:rPr>
        <w:lastRenderedPageBreak/>
        <w:t>P</w:t>
      </w:r>
      <w:r w:rsidR="007345EA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odľa 73 % opýtaných projektantov povedie stále rastúca inflácia a ceny energií k zvýšeniu cien ich projektov. U pätiny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7345EA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opýtaných sa ale táto situácia nijako neprejaví (21 %). Zostávajúcich 6 % opýtaných sa domnieva, že dôjde k iným vplyvom,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m</w:t>
      </w:r>
      <w:r w:rsidR="007345EA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edzi ktoré uvádza zníženie počtu stavieb, zvýšenie cien projektov, zníženie svojich marží, alebo dokonca </w:t>
      </w:r>
      <w:r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="007345EA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k zníženiu možností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7345EA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štátu projektové zákazky financovať.</w:t>
      </w:r>
      <w:r w:rsidR="00AF4D29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</w:p>
    <w:p w14:paraId="139F2B9B" w14:textId="5C589387" w:rsidR="00A10940" w:rsidRPr="004A6D12" w:rsidRDefault="00A10940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4D20810D" w14:textId="552A19D8" w:rsidR="00A10940" w:rsidRPr="004A6D12" w:rsidRDefault="00A10940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6EFB951E" wp14:editId="4B2E4883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762500" cy="311023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7E729" w14:textId="294E79E9" w:rsidR="004F7264" w:rsidRPr="004A6D12" w:rsidRDefault="004F7264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6E4237FE" w14:textId="7D6AF4EB" w:rsidR="00A10940" w:rsidRPr="004A6D12" w:rsidRDefault="00A10940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B42E013" w14:textId="77777777" w:rsidR="00A10940" w:rsidRPr="004A6D12" w:rsidRDefault="00A10940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1EAA16D2" w14:textId="6816CD10" w:rsidR="007345EA" w:rsidRPr="004A6D12" w:rsidRDefault="007345EA" w:rsidP="004F726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Takmer polovica opýtaných projektantov vníma Green </w:t>
      </w:r>
      <w:proofErr w:type="spellStart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Deal</w:t>
      </w:r>
      <w:proofErr w:type="spellEnd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vo svojom odbore ako príležitosť (47 %) a štvrtina dokonca 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ako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nutnosť (26 %). Viac ako pätina uviedla, že sa ich táto téma netýka (23 %). Iba 2 % opýtaných vnímajú Green </w:t>
      </w:r>
      <w:proofErr w:type="spellStart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Deal</w:t>
      </w:r>
      <w:proofErr w:type="spellEnd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ako hrozbu.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Zostávajúce </w:t>
      </w:r>
      <w:r w:rsid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2 %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opýtaných uviedlo tiež iné možnosti než vyššie uvedené, a to predovšetkým, že vníma Green </w:t>
      </w:r>
      <w:proofErr w:type="spellStart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Deal</w:t>
      </w:r>
      <w:proofErr w:type="spellEnd"/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ako „módny</w:t>
      </w:r>
      <w:r w:rsidR="004F7264"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4A6D12">
        <w:rPr>
          <w:rFonts w:ascii="Source Sans Pro" w:hAnsi="Source Sans Pro" w:cstheme="minorHAnsi"/>
          <w:color w:val="000000"/>
          <w:sz w:val="24"/>
          <w:szCs w:val="24"/>
          <w:lang w:val="sk-SK"/>
        </w:rPr>
        <w:t>trend“.</w:t>
      </w:r>
    </w:p>
    <w:p w14:paraId="5AFAAED6" w14:textId="77777777" w:rsidR="004F7264" w:rsidRPr="004A6D12" w:rsidRDefault="004F7264" w:rsidP="004F726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5D846124" w14:textId="1753022D" w:rsidR="000017FC" w:rsidRPr="004A6D12" w:rsidRDefault="000017FC" w:rsidP="002B046C">
      <w:pPr>
        <w:spacing w:line="276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668726A7" w14:textId="69E2C69D" w:rsidR="00F337F4" w:rsidRPr="004A6D12" w:rsidRDefault="00F337F4" w:rsidP="002B046C">
      <w:pPr>
        <w:spacing w:line="276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3BEA614F" w14:textId="29A3D93C" w:rsidR="00F337F4" w:rsidRPr="004A6D12" w:rsidRDefault="00F337F4" w:rsidP="002B046C">
      <w:pPr>
        <w:spacing w:line="276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3196C9BF" w14:textId="77777777" w:rsidR="000017FC" w:rsidRPr="004A6D12" w:rsidRDefault="000017FC" w:rsidP="000017FC">
      <w:pPr>
        <w:pStyle w:val="Normlnweb"/>
        <w:spacing w:before="0" w:beforeAutospacing="0" w:after="160" w:afterAutospacing="0"/>
        <w:jc w:val="both"/>
        <w:rPr>
          <w:rFonts w:ascii="Source Sans Pro" w:hAnsi="Source Sans Pro" w:cs="Calibri"/>
          <w:b/>
          <w:bCs/>
          <w:color w:val="000000"/>
          <w:sz w:val="32"/>
          <w:szCs w:val="32"/>
          <w:lang w:val="sk-SK"/>
        </w:rPr>
      </w:pPr>
    </w:p>
    <w:p w14:paraId="64E44789" w14:textId="77777777" w:rsidR="004A6D12" w:rsidRDefault="004A6D12" w:rsidP="004A6D12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27B7FBA6" w14:textId="77777777" w:rsidR="004A6D12" w:rsidRDefault="004A6D12" w:rsidP="004A6D12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5973CA21" w14:textId="77777777" w:rsidR="004A6D12" w:rsidRDefault="004A6D12" w:rsidP="004A6D12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0AD728D0" w14:textId="583DE47F" w:rsidR="00AF4D29" w:rsidRDefault="00AF4D29" w:rsidP="004A6D12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  <w:r w:rsidRPr="004A6D12"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  <w:t>Polročná analýza slovenského stavebníctva H1/2022 je zverejnená na:</w:t>
      </w:r>
      <w:r w:rsidR="004A6D12" w:rsidRPr="004A6D12">
        <w:rPr>
          <w:rFonts w:ascii="Space Grotesk" w:hAnsi="Space Grotesk"/>
          <w:color w:val="D12633"/>
          <w:lang w:val="sk-SK"/>
        </w:rPr>
        <w:t xml:space="preserve"> </w:t>
      </w:r>
      <w:hyperlink r:id="rId8" w:history="1">
        <w:r w:rsidR="004A6D12" w:rsidRPr="004A6D12">
          <w:rPr>
            <w:rStyle w:val="Hypertextovodkaz"/>
            <w:rFonts w:ascii="Space Grotesk" w:hAnsi="Space Grotesk" w:cs="Calibri"/>
            <w:b/>
            <w:bCs/>
            <w:color w:val="D12633"/>
            <w:sz w:val="32"/>
            <w:szCs w:val="32"/>
            <w:lang w:val="sk-SK"/>
          </w:rPr>
          <w:t>www.ceec.eu</w:t>
        </w:r>
      </w:hyperlink>
    </w:p>
    <w:p w14:paraId="7CD0AA00" w14:textId="77777777" w:rsidR="004A6D12" w:rsidRPr="004A6D12" w:rsidRDefault="004A6D12" w:rsidP="004A6D12">
      <w:pPr>
        <w:pStyle w:val="Normlnweb"/>
        <w:spacing w:before="0" w:beforeAutospacing="0" w:after="160" w:afterAutospacing="0"/>
        <w:jc w:val="center"/>
        <w:rPr>
          <w:rFonts w:ascii="Space Grotesk" w:hAnsi="Space Grotesk"/>
          <w:color w:val="D12633"/>
          <w:lang w:val="sk-SK"/>
        </w:rPr>
      </w:pPr>
    </w:p>
    <w:p w14:paraId="7B457592" w14:textId="77777777" w:rsidR="00AF4D29" w:rsidRPr="004A6D12" w:rsidRDefault="00AF4D29" w:rsidP="00AF4D29">
      <w:pPr>
        <w:spacing w:after="0" w:line="240" w:lineRule="auto"/>
        <w:rPr>
          <w:rFonts w:ascii="Source Sans Pro" w:eastAsia="Calibri" w:hAnsi="Source Sans Pro" w:cs="Calibri"/>
          <w:b/>
          <w:bCs/>
          <w:sz w:val="24"/>
          <w:szCs w:val="24"/>
        </w:rPr>
      </w:pPr>
      <w:r w:rsidRPr="004A6D12">
        <w:rPr>
          <w:rFonts w:ascii="Source Sans Pro" w:eastAsia="Calibri" w:hAnsi="Source Sans Pro" w:cs="Calibri"/>
          <w:b/>
          <w:bCs/>
          <w:sz w:val="24"/>
          <w:szCs w:val="24"/>
        </w:rPr>
        <w:t xml:space="preserve">Kontakt </w:t>
      </w:r>
      <w:proofErr w:type="spellStart"/>
      <w:r w:rsidRPr="004A6D12">
        <w:rPr>
          <w:rFonts w:ascii="Source Sans Pro" w:eastAsia="Calibri" w:hAnsi="Source Sans Pro" w:cs="Calibri"/>
          <w:b/>
          <w:bCs/>
          <w:sz w:val="24"/>
          <w:szCs w:val="24"/>
        </w:rPr>
        <w:t>pre</w:t>
      </w:r>
      <w:proofErr w:type="spellEnd"/>
      <w:r w:rsidRPr="004A6D12">
        <w:rPr>
          <w:rFonts w:ascii="Source Sans Pro" w:eastAsia="Calibri" w:hAnsi="Source Sans Pro" w:cs="Calibri"/>
          <w:b/>
          <w:bCs/>
          <w:sz w:val="24"/>
          <w:szCs w:val="24"/>
        </w:rPr>
        <w:t xml:space="preserve"> média: </w:t>
      </w:r>
    </w:p>
    <w:p w14:paraId="32BC6337" w14:textId="77777777" w:rsidR="00AF4D29" w:rsidRPr="004A6D12" w:rsidRDefault="00AF4D29" w:rsidP="00AF4D29">
      <w:pPr>
        <w:spacing w:after="0" w:line="240" w:lineRule="auto"/>
        <w:rPr>
          <w:rFonts w:ascii="Source Sans Pro" w:hAnsi="Source Sans Pro" w:cs="Calibri Light"/>
          <w:lang w:val="sk-SK"/>
        </w:rPr>
      </w:pPr>
    </w:p>
    <w:p w14:paraId="00371485" w14:textId="77777777" w:rsidR="00AF4D29" w:rsidRPr="004A6D12" w:rsidRDefault="00AF4D29" w:rsidP="00AF4D29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4A6D12">
        <w:rPr>
          <w:rFonts w:ascii="Source Sans Pro" w:eastAsia="Calibri" w:hAnsi="Source Sans Pro" w:cs="Calibri"/>
          <w:sz w:val="24"/>
          <w:szCs w:val="24"/>
        </w:rPr>
        <w:t>Ing. Michal Vacek</w:t>
      </w:r>
    </w:p>
    <w:p w14:paraId="5C1AD621" w14:textId="77777777" w:rsidR="00AF4D29" w:rsidRPr="004A6D12" w:rsidRDefault="00AF4D29" w:rsidP="00AF4D29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4A6D12">
        <w:rPr>
          <w:rFonts w:ascii="Source Sans Pro" w:eastAsia="Calibri" w:hAnsi="Source Sans Pro" w:cs="Calibri"/>
          <w:sz w:val="24"/>
          <w:szCs w:val="24"/>
        </w:rPr>
        <w:t xml:space="preserve">Výkonný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riaditeľ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spoločnosti</w:t>
      </w:r>
      <w:proofErr w:type="spellEnd"/>
    </w:p>
    <w:p w14:paraId="0C95A974" w14:textId="77777777" w:rsidR="00AF4D29" w:rsidRPr="004A6D12" w:rsidRDefault="00AF4D29" w:rsidP="00AF4D29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4A6D12">
        <w:rPr>
          <w:rFonts w:ascii="Source Sans Pro" w:eastAsia="Calibri" w:hAnsi="Source Sans Pro" w:cs="Calibri"/>
          <w:sz w:val="24"/>
          <w:szCs w:val="24"/>
        </w:rPr>
        <w:t>CEEC Research</w:t>
      </w:r>
    </w:p>
    <w:p w14:paraId="6492737F" w14:textId="77777777" w:rsidR="00AF4D29" w:rsidRPr="004A6D12" w:rsidRDefault="00AF4D29" w:rsidP="00AF4D29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4A6D12">
        <w:rPr>
          <w:rFonts w:ascii="Source Sans Pro" w:eastAsia="Calibri" w:hAnsi="Source Sans Pro" w:cs="Calibri"/>
          <w:sz w:val="24"/>
          <w:szCs w:val="24"/>
        </w:rPr>
        <w:t>+420 776 023 170</w:t>
      </w:r>
    </w:p>
    <w:p w14:paraId="6165BD5B" w14:textId="77777777" w:rsidR="00AF4D29" w:rsidRPr="004A6D12" w:rsidRDefault="00C3308F" w:rsidP="00AF4D29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hyperlink r:id="rId9" w:history="1">
        <w:r w:rsidR="00AF4D29" w:rsidRPr="004A6D12">
          <w:rPr>
            <w:rStyle w:val="Hypertextovodkaz"/>
            <w:rFonts w:ascii="Source Sans Pro" w:eastAsia="Calibri" w:hAnsi="Source Sans Pro" w:cs="Calibri"/>
            <w:color w:val="auto"/>
            <w:sz w:val="24"/>
            <w:szCs w:val="24"/>
            <w:u w:val="none"/>
          </w:rPr>
          <w:t>michal.vacek@ceec.eu</w:t>
        </w:r>
      </w:hyperlink>
    </w:p>
    <w:p w14:paraId="171E2D51" w14:textId="77777777" w:rsidR="00AF4D29" w:rsidRPr="004A6D12" w:rsidRDefault="00AF4D29" w:rsidP="00AF4D29">
      <w:pPr>
        <w:pStyle w:val="Default"/>
        <w:rPr>
          <w:rFonts w:ascii="Source Sans Pro" w:eastAsia="Calibri" w:hAnsi="Source Sans Pro" w:cs="Calibri"/>
          <w:color w:val="auto"/>
        </w:rPr>
      </w:pPr>
    </w:p>
    <w:p w14:paraId="7BBD4D6C" w14:textId="77777777" w:rsidR="00AF4D29" w:rsidRPr="004A6D12" w:rsidRDefault="00AF4D29" w:rsidP="00AF4D29">
      <w:pPr>
        <w:pStyle w:val="Default"/>
        <w:spacing w:line="276" w:lineRule="auto"/>
        <w:jc w:val="both"/>
        <w:rPr>
          <w:rFonts w:ascii="Source Sans Pro" w:eastAsia="Calibri" w:hAnsi="Source Sans Pro" w:cs="Calibri"/>
          <w:color w:val="auto"/>
        </w:rPr>
      </w:pPr>
      <w:proofErr w:type="spellStart"/>
      <w:r w:rsidRPr="004A6D12">
        <w:rPr>
          <w:rFonts w:ascii="Source Sans Pro" w:eastAsia="Calibri" w:hAnsi="Source Sans Pro" w:cs="Calibri"/>
          <w:color w:val="auto"/>
        </w:rPr>
        <w:t>Spoločnosť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CEEC Research je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prednou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analytickou a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výskumnou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spoločnosťou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zameriavajúcou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na vývoj vybraných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sektorov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ekonomiky v krajinách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strednej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 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východnej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Európy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. Jej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štúdie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sú využívané v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súčasnej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dobe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viac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ako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17 000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spoločnosťami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.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Spoločnosť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 CEEC Research vznikla v roku 2005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ako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analytická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organizácia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špecializujúca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na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spracovávanie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výskumov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 analýz stavebného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sektora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,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následne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analytické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zameranie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rozšírilo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aj na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ďalšie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vybrané sektory ekonomiky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vrátane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color w:val="auto"/>
        </w:rPr>
        <w:t>strojárenstva</w:t>
      </w:r>
      <w:proofErr w:type="spellEnd"/>
      <w:r w:rsidRPr="004A6D12">
        <w:rPr>
          <w:rFonts w:ascii="Source Sans Pro" w:eastAsia="Calibri" w:hAnsi="Source Sans Pro" w:cs="Calibri"/>
          <w:color w:val="auto"/>
        </w:rPr>
        <w:t xml:space="preserve">. </w:t>
      </w:r>
    </w:p>
    <w:p w14:paraId="28500FA3" w14:textId="77777777" w:rsidR="00AF4D29" w:rsidRPr="004A6D12" w:rsidRDefault="00AF4D29" w:rsidP="00AF4D29">
      <w:pPr>
        <w:pStyle w:val="Default"/>
        <w:spacing w:line="276" w:lineRule="auto"/>
        <w:jc w:val="both"/>
        <w:rPr>
          <w:rFonts w:ascii="Source Sans Pro" w:hAnsi="Source Sans Pro" w:cs="Calibri Light"/>
          <w:color w:val="auto"/>
          <w:sz w:val="22"/>
          <w:szCs w:val="22"/>
          <w:lang w:val="sk-SK"/>
        </w:rPr>
      </w:pPr>
    </w:p>
    <w:p w14:paraId="2274AD2B" w14:textId="77777777" w:rsidR="00AF4D29" w:rsidRPr="004A6D12" w:rsidRDefault="00AF4D29" w:rsidP="00AF4D29">
      <w:pPr>
        <w:spacing w:line="276" w:lineRule="auto"/>
        <w:jc w:val="both"/>
        <w:rPr>
          <w:rFonts w:ascii="Source Sans Pro" w:eastAsia="Calibri" w:hAnsi="Source Sans Pro" w:cs="Calibri"/>
          <w:sz w:val="24"/>
          <w:szCs w:val="24"/>
        </w:rPr>
      </w:pPr>
      <w:r w:rsidRPr="004A6D12">
        <w:rPr>
          <w:rFonts w:ascii="Source Sans Pro" w:eastAsia="Calibri" w:hAnsi="Source Sans Pro" w:cs="Calibri"/>
          <w:sz w:val="24"/>
          <w:szCs w:val="24"/>
        </w:rPr>
        <w:t xml:space="preserve">CEEC Research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navyše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k pravidelným a bezplatným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analýzam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tiež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organizuje vysoko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špecializované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odborné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konferencie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, na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ktorých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sa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zúčastňujú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generálni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riaditelia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najvýznamnejších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spoločností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, prezidenti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kľúčových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zväzov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,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cechov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komôr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tiež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ministri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najvyšší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predstavitelia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štátu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 xml:space="preserve"> z vybraných </w:t>
      </w:r>
      <w:proofErr w:type="spellStart"/>
      <w:r w:rsidRPr="004A6D12">
        <w:rPr>
          <w:rFonts w:ascii="Source Sans Pro" w:eastAsia="Calibri" w:hAnsi="Source Sans Pro" w:cs="Calibri"/>
          <w:sz w:val="24"/>
          <w:szCs w:val="24"/>
        </w:rPr>
        <w:t>krajín</w:t>
      </w:r>
      <w:proofErr w:type="spellEnd"/>
      <w:r w:rsidRPr="004A6D12">
        <w:rPr>
          <w:rFonts w:ascii="Source Sans Pro" w:eastAsia="Calibri" w:hAnsi="Source Sans Pro" w:cs="Calibri"/>
          <w:sz w:val="24"/>
          <w:szCs w:val="24"/>
        </w:rPr>
        <w:t>.</w:t>
      </w:r>
    </w:p>
    <w:p w14:paraId="04C6AF2E" w14:textId="720417F1" w:rsidR="00683558" w:rsidRPr="004A6D12" w:rsidRDefault="00683558" w:rsidP="000017FC">
      <w:pPr>
        <w:spacing w:line="276" w:lineRule="auto"/>
        <w:jc w:val="both"/>
        <w:rPr>
          <w:rFonts w:ascii="Source Sans Pro" w:hAnsi="Source Sans Pro" w:cstheme="minorHAnsi"/>
          <w:sz w:val="24"/>
          <w:szCs w:val="24"/>
          <w:lang w:val="sk-SK"/>
        </w:rPr>
      </w:pPr>
    </w:p>
    <w:sectPr w:rsidR="00683558" w:rsidRPr="004A6D12" w:rsidSect="00A10940">
      <w:headerReference w:type="default" r:id="rId10"/>
      <w:pgSz w:w="11906" w:h="16838"/>
      <w:pgMar w:top="1417" w:right="1417" w:bottom="1417" w:left="1417" w:header="221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927C" w14:textId="77777777" w:rsidR="00C3308F" w:rsidRDefault="00C3308F" w:rsidP="000017FC">
      <w:pPr>
        <w:spacing w:after="0" w:line="240" w:lineRule="auto"/>
      </w:pPr>
      <w:r>
        <w:separator/>
      </w:r>
    </w:p>
  </w:endnote>
  <w:endnote w:type="continuationSeparator" w:id="0">
    <w:p w14:paraId="5B040AB3" w14:textId="77777777" w:rsidR="00C3308F" w:rsidRDefault="00C3308F" w:rsidP="000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pace Grotesk">
    <w:altName w:val="Calibri"/>
    <w:charset w:val="EE"/>
    <w:family w:val="auto"/>
    <w:pitch w:val="variable"/>
    <w:sig w:usb0="A10000FF" w:usb1="5000207B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F0D7" w14:textId="77777777" w:rsidR="00C3308F" w:rsidRDefault="00C3308F" w:rsidP="000017FC">
      <w:pPr>
        <w:spacing w:after="0" w:line="240" w:lineRule="auto"/>
      </w:pPr>
      <w:r>
        <w:separator/>
      </w:r>
    </w:p>
  </w:footnote>
  <w:footnote w:type="continuationSeparator" w:id="0">
    <w:p w14:paraId="518C85DF" w14:textId="77777777" w:rsidR="00C3308F" w:rsidRDefault="00C3308F" w:rsidP="0000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6E5" w14:textId="7C7E3B71" w:rsidR="000017FC" w:rsidRDefault="004A6D1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3BE1C" wp14:editId="02F79788">
          <wp:simplePos x="0" y="0"/>
          <wp:positionH relativeFrom="margin">
            <wp:posOffset>4654550</wp:posOffset>
          </wp:positionH>
          <wp:positionV relativeFrom="paragraph">
            <wp:posOffset>-1062355</wp:posOffset>
          </wp:positionV>
          <wp:extent cx="1105535" cy="975360"/>
          <wp:effectExtent l="0" t="0" r="0" b="0"/>
          <wp:wrapTight wrapText="bothSides">
            <wp:wrapPolygon edited="0">
              <wp:start x="0" y="0"/>
              <wp:lineTo x="0" y="21094"/>
              <wp:lineTo x="21215" y="21094"/>
              <wp:lineTo x="21215" y="0"/>
              <wp:lineTo x="0" y="0"/>
            </wp:wrapPolygon>
          </wp:wrapTight>
          <wp:docPr id="6" name="Obrázek 6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4C737D" wp14:editId="6C4DE282">
          <wp:simplePos x="0" y="0"/>
          <wp:positionH relativeFrom="margin">
            <wp:posOffset>-2609850</wp:posOffset>
          </wp:positionH>
          <wp:positionV relativeFrom="topMargin">
            <wp:posOffset>-5866130</wp:posOffset>
          </wp:positionV>
          <wp:extent cx="10610850" cy="5972175"/>
          <wp:effectExtent l="0" t="0" r="0" b="0"/>
          <wp:wrapSquare wrapText="bothSides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0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74F427" wp14:editId="1C57B881">
          <wp:simplePos x="0" y="0"/>
          <wp:positionH relativeFrom="margin">
            <wp:posOffset>55880</wp:posOffset>
          </wp:positionH>
          <wp:positionV relativeFrom="margin">
            <wp:posOffset>-1184680</wp:posOffset>
          </wp:positionV>
          <wp:extent cx="1362710" cy="735965"/>
          <wp:effectExtent l="0" t="0" r="8890" b="698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0"/>
    <w:rsid w:val="000017FC"/>
    <w:rsid w:val="00010B21"/>
    <w:rsid w:val="000A4E9F"/>
    <w:rsid w:val="000E5F66"/>
    <w:rsid w:val="002B046C"/>
    <w:rsid w:val="00447133"/>
    <w:rsid w:val="004A6D12"/>
    <w:rsid w:val="004F7264"/>
    <w:rsid w:val="0057213C"/>
    <w:rsid w:val="005B79EC"/>
    <w:rsid w:val="00664F09"/>
    <w:rsid w:val="00683558"/>
    <w:rsid w:val="007023D2"/>
    <w:rsid w:val="0070427A"/>
    <w:rsid w:val="0070558E"/>
    <w:rsid w:val="007173D9"/>
    <w:rsid w:val="007345EA"/>
    <w:rsid w:val="00765037"/>
    <w:rsid w:val="00791C5A"/>
    <w:rsid w:val="00896CEE"/>
    <w:rsid w:val="009849F3"/>
    <w:rsid w:val="009B57B3"/>
    <w:rsid w:val="00A10940"/>
    <w:rsid w:val="00A1272D"/>
    <w:rsid w:val="00A22D19"/>
    <w:rsid w:val="00AF4D29"/>
    <w:rsid w:val="00AF5E29"/>
    <w:rsid w:val="00B54D0F"/>
    <w:rsid w:val="00BA6EF0"/>
    <w:rsid w:val="00BB5950"/>
    <w:rsid w:val="00C3308F"/>
    <w:rsid w:val="00D37592"/>
    <w:rsid w:val="00DB114E"/>
    <w:rsid w:val="00DD72E1"/>
    <w:rsid w:val="00DF2118"/>
    <w:rsid w:val="00EF4885"/>
    <w:rsid w:val="00F337F4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CD8"/>
  <w15:chartTrackingRefBased/>
  <w15:docId w15:val="{94FAE81D-4512-47AF-BF7C-8A40370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F5E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7FC"/>
  </w:style>
  <w:style w:type="paragraph" w:styleId="Zpat">
    <w:name w:val="footer"/>
    <w:basedOn w:val="Normln"/>
    <w:link w:val="Zpat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7FC"/>
  </w:style>
  <w:style w:type="paragraph" w:customStyle="1" w:styleId="Default">
    <w:name w:val="Default"/>
    <w:uiPriority w:val="99"/>
    <w:rsid w:val="009B5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3759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3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9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A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2022-06-13T07:25:00Z</dcterms:created>
  <dcterms:modified xsi:type="dcterms:W3CDTF">2022-06-13T07:25:00Z</dcterms:modified>
</cp:coreProperties>
</file>