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48DE" w14:textId="37890497" w:rsidR="00BC3D0E" w:rsidRDefault="00D875FF" w:rsidP="00D875FF">
      <w:pPr>
        <w:spacing w:after="0" w:line="276" w:lineRule="auto"/>
        <w:jc w:val="center"/>
        <w:rPr>
          <w:rFonts w:ascii="Space Grotesk" w:eastAsia="Calibri" w:hAnsi="Space Grotesk" w:cs="Calibri"/>
          <w:b/>
          <w:sz w:val="26"/>
          <w:szCs w:val="26"/>
        </w:rPr>
      </w:pPr>
      <w:r w:rsidRPr="003F7688">
        <w:rPr>
          <w:rFonts w:ascii="Space Grotesk" w:eastAsia="Calibri" w:hAnsi="Space Grotesk" w:cs="Calibri"/>
          <w:b/>
          <w:sz w:val="26"/>
          <w:szCs w:val="26"/>
        </w:rPr>
        <w:t>TISKOVÁ ZPRÁVA</w:t>
      </w:r>
    </w:p>
    <w:p w14:paraId="799FD92E" w14:textId="77777777" w:rsidR="00EB524E" w:rsidRPr="00D875FF" w:rsidRDefault="00EB524E" w:rsidP="00D875FF">
      <w:pPr>
        <w:spacing w:after="0" w:line="276" w:lineRule="auto"/>
        <w:jc w:val="center"/>
        <w:rPr>
          <w:rFonts w:ascii="Space Grotesk" w:eastAsia="Calibri" w:hAnsi="Space Grotesk" w:cs="Calibri"/>
          <w:b/>
          <w:sz w:val="26"/>
          <w:szCs w:val="26"/>
        </w:rPr>
      </w:pPr>
    </w:p>
    <w:p w14:paraId="372D4C42" w14:textId="602EB5E2" w:rsidR="00BC3D0E" w:rsidRPr="00EB524E" w:rsidRDefault="00BC3D0E" w:rsidP="00BC3D0E">
      <w:pPr>
        <w:spacing w:line="276" w:lineRule="auto"/>
        <w:jc w:val="center"/>
        <w:rPr>
          <w:rFonts w:ascii="Space Grotesk" w:eastAsia="Calibri" w:hAnsi="Space Grotesk" w:cs="Calibri"/>
          <w:b/>
          <w:color w:val="D12633"/>
          <w:sz w:val="48"/>
          <w:szCs w:val="32"/>
        </w:rPr>
      </w:pPr>
      <w:r w:rsidRPr="00EB524E">
        <w:rPr>
          <w:rFonts w:ascii="Space Grotesk" w:eastAsia="Calibri" w:hAnsi="Space Grotesk" w:cs="Calibri"/>
          <w:b/>
          <w:color w:val="D12633"/>
          <w:sz w:val="48"/>
          <w:szCs w:val="32"/>
        </w:rPr>
        <w:t xml:space="preserve">VEŘEJNÁ SPRÁVA STÁLE NENÍ </w:t>
      </w:r>
      <w:r w:rsidR="00EB524E">
        <w:rPr>
          <w:rFonts w:ascii="Space Grotesk" w:eastAsia="Calibri" w:hAnsi="Space Grotesk" w:cs="Calibri"/>
          <w:b/>
          <w:color w:val="D12633"/>
          <w:sz w:val="48"/>
          <w:szCs w:val="32"/>
        </w:rPr>
        <w:br/>
      </w:r>
      <w:r w:rsidRPr="00EB524E">
        <w:rPr>
          <w:rFonts w:ascii="Space Grotesk" w:eastAsia="Calibri" w:hAnsi="Space Grotesk" w:cs="Calibri"/>
          <w:b/>
          <w:color w:val="D12633"/>
          <w:sz w:val="48"/>
          <w:szCs w:val="32"/>
        </w:rPr>
        <w:t>NA BIM PŘIPRAVENA</w:t>
      </w:r>
    </w:p>
    <w:p w14:paraId="3A36B79C" w14:textId="77777777" w:rsidR="00EB524E" w:rsidRPr="001C698B" w:rsidRDefault="00EB524E" w:rsidP="00BC3D0E">
      <w:pPr>
        <w:spacing w:line="276" w:lineRule="auto"/>
        <w:jc w:val="center"/>
        <w:rPr>
          <w:rFonts w:ascii="Space Grotesk" w:eastAsia="Calibri" w:hAnsi="Space Grotesk" w:cs="Calibri"/>
          <w:b/>
          <w:color w:val="D12633"/>
          <w:sz w:val="36"/>
        </w:rPr>
      </w:pPr>
    </w:p>
    <w:p w14:paraId="2147045B" w14:textId="5D5A4DFB" w:rsidR="001C698B" w:rsidRPr="00EB524E" w:rsidRDefault="00BC3D0E" w:rsidP="00BC3D0E">
      <w:pPr>
        <w:spacing w:line="276" w:lineRule="auto"/>
        <w:jc w:val="both"/>
        <w:rPr>
          <w:rFonts w:ascii="Source Sans Pro" w:eastAsia="Calibri" w:hAnsi="Source Sans Pro" w:cs="Calibri"/>
          <w:b/>
          <w:color w:val="000000"/>
          <w:sz w:val="24"/>
        </w:rPr>
      </w:pPr>
      <w:r w:rsidRPr="001C698B">
        <w:rPr>
          <w:rFonts w:ascii="Source Sans Pro" w:eastAsia="Calibri" w:hAnsi="Source Sans Pro" w:cs="Calibri"/>
          <w:b/>
          <w:sz w:val="24"/>
        </w:rPr>
        <w:t xml:space="preserve">Praha 26. 5. 2022 - Úroveň digitalizace českého stavebnictví byla projektanty ohodnocena 3,9 body. Státní správa není podle projektantů připravena na přechod do BIM. Nejrychlejší nástup BIM bude u komerčních budov. Od digitalizace stavebního řízení očekávají firmy zrychlení a zefektivnění povolovacích procesů. Snaha </w:t>
      </w:r>
      <w:r w:rsidR="001C698B">
        <w:rPr>
          <w:rFonts w:ascii="Source Sans Pro" w:eastAsia="Calibri" w:hAnsi="Source Sans Pro" w:cs="Calibri"/>
          <w:b/>
          <w:sz w:val="24"/>
        </w:rPr>
        <w:br/>
      </w:r>
      <w:r w:rsidRPr="001C698B">
        <w:rPr>
          <w:rFonts w:ascii="Source Sans Pro" w:eastAsia="Calibri" w:hAnsi="Source Sans Pro" w:cs="Calibri"/>
          <w:b/>
          <w:sz w:val="24"/>
        </w:rPr>
        <w:t xml:space="preserve">o vyrovnané rozpočty ovlivní přípravu infrastrukturních staveb. Inflace povede ke zvýšení cen projektů. Green </w:t>
      </w:r>
      <w:proofErr w:type="spellStart"/>
      <w:r w:rsidRPr="001C698B">
        <w:rPr>
          <w:rFonts w:ascii="Source Sans Pro" w:eastAsia="Calibri" w:hAnsi="Source Sans Pro" w:cs="Calibri"/>
          <w:b/>
          <w:sz w:val="24"/>
        </w:rPr>
        <w:t>Deal</w:t>
      </w:r>
      <w:proofErr w:type="spellEnd"/>
      <w:r w:rsidRPr="001C698B">
        <w:rPr>
          <w:rFonts w:ascii="Source Sans Pro" w:eastAsia="Calibri" w:hAnsi="Source Sans Pro" w:cs="Calibri"/>
          <w:b/>
          <w:sz w:val="24"/>
        </w:rPr>
        <w:t xml:space="preserve"> vnímají projektanti jako příležitost. </w:t>
      </w:r>
      <w:r w:rsidRPr="001C698B">
        <w:rPr>
          <w:rFonts w:ascii="Source Sans Pro" w:eastAsia="Calibri" w:hAnsi="Source Sans Pro" w:cs="Calibri"/>
          <w:b/>
          <w:color w:val="000000"/>
          <w:sz w:val="24"/>
        </w:rPr>
        <w:t xml:space="preserve">Vyplývá to ze Studie projektových společností H1/2022 zpracované analytickou společností </w:t>
      </w:r>
      <w:r w:rsidR="00627FB9">
        <w:rPr>
          <w:rFonts w:ascii="Source Sans Pro" w:eastAsia="Calibri" w:hAnsi="Source Sans Pro" w:cs="Calibri"/>
          <w:b/>
          <w:color w:val="000000"/>
          <w:sz w:val="24"/>
        </w:rPr>
        <w:br/>
      </w:r>
      <w:r w:rsidRPr="001C698B">
        <w:rPr>
          <w:rFonts w:ascii="Source Sans Pro" w:eastAsia="Calibri" w:hAnsi="Source Sans Pro" w:cs="Calibri"/>
          <w:b/>
          <w:color w:val="000000"/>
          <w:sz w:val="24"/>
        </w:rPr>
        <w:t>CEEC Research s.r.o. </w:t>
      </w:r>
    </w:p>
    <w:p w14:paraId="69CD5D2D" w14:textId="1E7F3578" w:rsidR="001C698B" w:rsidRPr="001C698B" w:rsidRDefault="00BC3D0E" w:rsidP="00BC3D0E">
      <w:pPr>
        <w:spacing w:line="276" w:lineRule="auto"/>
        <w:jc w:val="both"/>
        <w:rPr>
          <w:rFonts w:ascii="Source Sans Pro" w:eastAsia="Calibri" w:hAnsi="Source Sans Pro" w:cs="Calibri"/>
          <w:b/>
          <w:sz w:val="24"/>
        </w:rPr>
      </w:pPr>
      <w:r w:rsidRPr="001C698B">
        <w:rPr>
          <w:rFonts w:ascii="Source Sans Pro" w:eastAsia="Calibri" w:hAnsi="Source Sans Pro" w:cs="Calibri"/>
          <w:sz w:val="24"/>
        </w:rPr>
        <w:t xml:space="preserve">Úroveň digitalizace stavebnictví hodnotí projektové společnosti 3,9 body z 10 možných, kde 10 = velmi vyspělá a 1 = nevyspělá. </w:t>
      </w:r>
      <w:r w:rsidRPr="001C698B">
        <w:rPr>
          <w:rFonts w:ascii="Source Sans Pro" w:eastAsia="Calibri" w:hAnsi="Source Sans Pro" w:cs="Calibri"/>
          <w:i/>
          <w:sz w:val="24"/>
        </w:rPr>
        <w:t xml:space="preserve">„Obávám se, že připravenost na BIM je na velmi nízké úrovni. Na druhou stranu, nejde o revoluční proces, jak se </w:t>
      </w:r>
      <w:proofErr w:type="gramStart"/>
      <w:r w:rsidRPr="001C698B">
        <w:rPr>
          <w:rFonts w:ascii="Source Sans Pro" w:eastAsia="Calibri" w:hAnsi="Source Sans Pro" w:cs="Calibri"/>
          <w:i/>
          <w:sz w:val="24"/>
        </w:rPr>
        <w:t>snaží</w:t>
      </w:r>
      <w:proofErr w:type="gramEnd"/>
      <w:r w:rsidRPr="001C698B">
        <w:rPr>
          <w:rFonts w:ascii="Source Sans Pro" w:eastAsia="Calibri" w:hAnsi="Source Sans Pro" w:cs="Calibri"/>
          <w:i/>
          <w:sz w:val="24"/>
        </w:rPr>
        <w:t xml:space="preserve"> chybně definovat koncepce BIM, kdy se podle ní všichni v konkrétní datum přepneme na BIM, ale o proces evoluční, který bude trvat ještě dlouhou dobu a u každého investora bude postupovat jinak. BIM už dnes většina odborné veřejnosti chápe hlavně jako digitalizaci stavebnictví ve všech oblastech přípravy a realizace staveb, a tady stát obecně v přípravě legislativy zaostává za připraveností komerčních firem.“ </w:t>
      </w:r>
      <w:r w:rsidRPr="001C698B">
        <w:rPr>
          <w:rFonts w:ascii="Source Sans Pro" w:eastAsia="Calibri" w:hAnsi="Source Sans Pro" w:cs="Calibri"/>
          <w:sz w:val="24"/>
        </w:rPr>
        <w:t xml:space="preserve">vysvětluje </w:t>
      </w:r>
      <w:r w:rsidRPr="001C698B">
        <w:rPr>
          <w:rFonts w:ascii="Source Sans Pro" w:eastAsia="Calibri" w:hAnsi="Source Sans Pro" w:cs="Calibri"/>
          <w:b/>
          <w:sz w:val="24"/>
        </w:rPr>
        <w:t>František Benč, ředitel společnosti IBR Consulting, s.r.o.</w:t>
      </w:r>
    </w:p>
    <w:p w14:paraId="43303AE0" w14:textId="4E08A0A7" w:rsidR="00627FB9" w:rsidRPr="00EB524E" w:rsidRDefault="00BC3D0E" w:rsidP="00BC3D0E">
      <w:pPr>
        <w:spacing w:line="276" w:lineRule="auto"/>
        <w:jc w:val="both"/>
        <w:rPr>
          <w:rFonts w:ascii="Source Sans Pro" w:eastAsia="Calibri" w:hAnsi="Source Sans Pro" w:cs="Calibri"/>
          <w:b/>
          <w:sz w:val="24"/>
        </w:rPr>
      </w:pPr>
      <w:r w:rsidRPr="001C698B">
        <w:rPr>
          <w:rFonts w:ascii="Source Sans Pro" w:eastAsia="Calibri" w:hAnsi="Source Sans Pro" w:cs="Calibri"/>
          <w:sz w:val="24"/>
        </w:rPr>
        <w:t xml:space="preserve">Podle dotázaných projektových společností není veřejná správa připravena na přechod </w:t>
      </w:r>
      <w:r w:rsidR="00627FB9">
        <w:rPr>
          <w:rFonts w:ascii="Source Sans Pro" w:eastAsia="Calibri" w:hAnsi="Source Sans Pro" w:cs="Calibri"/>
          <w:sz w:val="24"/>
        </w:rPr>
        <w:br/>
      </w:r>
      <w:r w:rsidRPr="001C698B">
        <w:rPr>
          <w:rFonts w:ascii="Source Sans Pro" w:eastAsia="Calibri" w:hAnsi="Source Sans Pro" w:cs="Calibri"/>
          <w:sz w:val="24"/>
        </w:rPr>
        <w:t>k BIM (81 %). Připravena je pouze podle 3 % dotázaných. Zbylých 16 % nedokáže toto hodnotit.</w:t>
      </w:r>
      <w:r w:rsidRPr="001C698B">
        <w:rPr>
          <w:rFonts w:ascii="Source Sans Pro" w:eastAsia="Calibri" w:hAnsi="Source Sans Pro" w:cs="Calibri"/>
          <w:i/>
          <w:sz w:val="24"/>
        </w:rPr>
        <w:t xml:space="preserve"> „Podle našich zkušeností bych připravenost rozdělil následovně. Co se týče vypisování zakázek v režimu BIM, jde vidět, že státní správa tento trend podporuje. Tato přidaná hodnota projektů se projevuje zatím pouze v přípravné fázi a v realizační fázi. Ve fázi užívání a provozu budov vidíme ještě velké rezervy. Co se týče státní správy z pohledu povolování staveb, tak tam zatím nevnímáme z našeho pohledu připravenost úřadu řešit projekty v BIM. Připravenost úřadu je samozřejmě závislá nejen na software, hardware, datových úložištích, proškolení všech zaměstnanců, ale i na stavu platné legislativy k BIM, ze které stavební úřady musí vycházet.“ </w:t>
      </w:r>
      <w:r w:rsidRPr="001C698B">
        <w:rPr>
          <w:rFonts w:ascii="Source Sans Pro" w:eastAsia="Calibri" w:hAnsi="Source Sans Pro" w:cs="Calibri"/>
          <w:sz w:val="24"/>
        </w:rPr>
        <w:t xml:space="preserve">popisuje připravenost veřejné správy </w:t>
      </w:r>
      <w:r w:rsidRPr="001C698B">
        <w:rPr>
          <w:rFonts w:ascii="Source Sans Pro" w:eastAsia="Calibri" w:hAnsi="Source Sans Pro" w:cs="Calibri"/>
          <w:b/>
          <w:sz w:val="24"/>
        </w:rPr>
        <w:t>Martin Mlčoch, ředitel společnosti INVIN s.r.o</w:t>
      </w:r>
    </w:p>
    <w:p w14:paraId="07702EB3" w14:textId="780E6F04" w:rsidR="00627FB9" w:rsidRDefault="00627FB9" w:rsidP="00627FB9">
      <w:pPr>
        <w:spacing w:line="276" w:lineRule="auto"/>
        <w:jc w:val="center"/>
        <w:rPr>
          <w:rFonts w:ascii="Space Grotesk" w:eastAsia="Calibri" w:hAnsi="Space Grotesk" w:cs="Calibri"/>
          <w:b/>
          <w:color w:val="D12633"/>
          <w:sz w:val="28"/>
          <w:szCs w:val="18"/>
        </w:rPr>
      </w:pPr>
      <w:r w:rsidRPr="00627FB9">
        <w:rPr>
          <w:rFonts w:ascii="Space Grotesk" w:eastAsia="Calibri" w:hAnsi="Space Grotesk" w:cs="Calibri"/>
          <w:b/>
          <w:color w:val="D12633"/>
          <w:sz w:val="28"/>
          <w:szCs w:val="18"/>
        </w:rPr>
        <w:lastRenderedPageBreak/>
        <w:t xml:space="preserve">Je podle Vás státní </w:t>
      </w:r>
      <w:proofErr w:type="gramStart"/>
      <w:r w:rsidRPr="00627FB9">
        <w:rPr>
          <w:rFonts w:ascii="Space Grotesk" w:eastAsia="Calibri" w:hAnsi="Space Grotesk" w:cs="Calibri"/>
          <w:b/>
          <w:color w:val="D12633"/>
          <w:sz w:val="28"/>
          <w:szCs w:val="18"/>
        </w:rPr>
        <w:t>zpráva</w:t>
      </w:r>
      <w:proofErr w:type="gramEnd"/>
      <w:r w:rsidRPr="00627FB9">
        <w:rPr>
          <w:rFonts w:ascii="Space Grotesk" w:eastAsia="Calibri" w:hAnsi="Space Grotesk" w:cs="Calibri"/>
          <w:b/>
          <w:color w:val="D12633"/>
          <w:sz w:val="28"/>
          <w:szCs w:val="18"/>
        </w:rPr>
        <w:t xml:space="preserve"> připravena na přechod na BIM?</w:t>
      </w:r>
    </w:p>
    <w:p w14:paraId="29EADB4B" w14:textId="77777777" w:rsidR="00627FB9" w:rsidRPr="00627FB9" w:rsidRDefault="00627FB9" w:rsidP="00627FB9">
      <w:pPr>
        <w:spacing w:line="276" w:lineRule="auto"/>
        <w:jc w:val="center"/>
        <w:rPr>
          <w:rFonts w:ascii="Source Sans Pro" w:eastAsia="Calibri" w:hAnsi="Source Sans Pro" w:cs="Calibri"/>
          <w:b/>
          <w:sz w:val="20"/>
          <w:szCs w:val="18"/>
        </w:rPr>
      </w:pPr>
    </w:p>
    <w:p w14:paraId="1B2FE3E2" w14:textId="42C19F25" w:rsidR="00BC3D0E" w:rsidRPr="001C698B" w:rsidRDefault="00627FB9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  <w:r>
        <w:object w:dxaOrig="7064" w:dyaOrig="4545" w14:anchorId="24C555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87.5pt" o:ole="" filled="t">
            <v:imagedata r:id="rId6" o:title="" croptop="24154f"/>
            <o:lock v:ext="edit" aspectratio="f"/>
          </v:shape>
          <o:OLEObject Type="Embed" ProgID="StaticMetafile" ShapeID="_x0000_i1025" DrawAspect="Content" ObjectID="_1715002664" r:id="rId7"/>
        </w:object>
      </w:r>
    </w:p>
    <w:p w14:paraId="2A8AC47D" w14:textId="77777777" w:rsidR="00EB524E" w:rsidRDefault="00EB524E" w:rsidP="00EB524E">
      <w:pPr>
        <w:pStyle w:val="Zkladnodstavec"/>
        <w:suppressAutoHyphens/>
        <w:jc w:val="both"/>
        <w:rPr>
          <w:rFonts w:ascii="SourceSansRoman-Regular" w:hAnsi="SourceSansRoman-Regular" w:cs="SourceSansRoman-Regular"/>
          <w:sz w:val="18"/>
          <w:szCs w:val="18"/>
        </w:rPr>
      </w:pPr>
      <w:r>
        <w:rPr>
          <w:rFonts w:ascii="SourceSansRoman-Regular" w:hAnsi="SourceSansRoman-Regular" w:cs="SourceSansRoman-Regular"/>
          <w:sz w:val="18"/>
          <w:szCs w:val="18"/>
        </w:rPr>
        <w:t>zdroj: ceec.eu</w:t>
      </w:r>
    </w:p>
    <w:p w14:paraId="38F1796D" w14:textId="77777777" w:rsidR="00BC3D0E" w:rsidRPr="001C698B" w:rsidRDefault="00BC3D0E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</w:p>
    <w:p w14:paraId="1EC22287" w14:textId="240914AE" w:rsidR="00BC3D0E" w:rsidRDefault="00BC3D0E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  <w:r w:rsidRPr="001C698B">
        <w:rPr>
          <w:rFonts w:ascii="Source Sans Pro" w:eastAsia="Calibri" w:hAnsi="Source Sans Pro" w:cs="Calibri"/>
          <w:sz w:val="24"/>
        </w:rPr>
        <w:t>Podle dotázaných projektových společností by měl být nejrychlejší nástup BIM v oblasti komerčních budov (50 %). Projektanti ale také očekávají rychlý nástup u veřejných budov (25 %) nebo u silničních staveb (16 %). Naopak již pomalejší nástup očekávají u železničních staveb (5 %), energetických staveb (4 %) nebo vodních děl (0 %).</w:t>
      </w:r>
    </w:p>
    <w:p w14:paraId="66AB483C" w14:textId="77777777" w:rsidR="00627FB9" w:rsidRPr="001C698B" w:rsidRDefault="00627FB9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</w:p>
    <w:p w14:paraId="18B34659" w14:textId="65961769" w:rsidR="00BC3D0E" w:rsidRDefault="00BC3D0E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  <w:r w:rsidRPr="001C698B">
        <w:rPr>
          <w:rFonts w:ascii="Source Sans Pro" w:eastAsia="Calibri" w:hAnsi="Source Sans Pro" w:cs="Calibri"/>
          <w:sz w:val="24"/>
        </w:rPr>
        <w:t xml:space="preserve">Projektové firmy očekávají od digitalizace stavebního řízení především zrychlení </w:t>
      </w:r>
      <w:r w:rsidR="00627FB9">
        <w:rPr>
          <w:rFonts w:ascii="Source Sans Pro" w:eastAsia="Calibri" w:hAnsi="Source Sans Pro" w:cs="Calibri"/>
          <w:sz w:val="24"/>
        </w:rPr>
        <w:br/>
      </w:r>
      <w:r w:rsidRPr="001C698B">
        <w:rPr>
          <w:rFonts w:ascii="Source Sans Pro" w:eastAsia="Calibri" w:hAnsi="Source Sans Pro" w:cs="Calibri"/>
          <w:sz w:val="24"/>
        </w:rPr>
        <w:t xml:space="preserve">a zefektivnění povolovacích procesů (67 %) a také úsporu nákladů (40 %). Část firem je názoru, že bez změny stavebního zákona nebude digitalizace nijak prospěšná (36 %), </w:t>
      </w:r>
      <w:r w:rsidR="00627FB9">
        <w:rPr>
          <w:rFonts w:ascii="Source Sans Pro" w:eastAsia="Calibri" w:hAnsi="Source Sans Pro" w:cs="Calibri"/>
          <w:sz w:val="24"/>
        </w:rPr>
        <w:br/>
      </w:r>
      <w:r w:rsidRPr="001C698B">
        <w:rPr>
          <w:rFonts w:ascii="Source Sans Pro" w:eastAsia="Calibri" w:hAnsi="Source Sans Pro" w:cs="Calibri"/>
          <w:sz w:val="24"/>
        </w:rPr>
        <w:t xml:space="preserve">a 12 % dotázaných neočekává od digitalizace vůbec nic. Dalších 7 % dotázaných očekává </w:t>
      </w:r>
      <w:r w:rsidR="00627FB9">
        <w:rPr>
          <w:rFonts w:ascii="Source Sans Pro" w:eastAsia="Calibri" w:hAnsi="Source Sans Pro" w:cs="Calibri"/>
          <w:sz w:val="24"/>
        </w:rPr>
        <w:br/>
      </w:r>
      <w:r w:rsidRPr="001C698B">
        <w:rPr>
          <w:rFonts w:ascii="Source Sans Pro" w:eastAsia="Calibri" w:hAnsi="Source Sans Pro" w:cs="Calibri"/>
          <w:sz w:val="24"/>
        </w:rPr>
        <w:t>i jiné než výše uvedené – jako např. dodržování termínů veřejnou správou a podobně.</w:t>
      </w:r>
    </w:p>
    <w:p w14:paraId="1C281AC7" w14:textId="77777777" w:rsidR="00627FB9" w:rsidRPr="001C698B" w:rsidRDefault="00627FB9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</w:p>
    <w:p w14:paraId="309E8BBD" w14:textId="77777777" w:rsidR="00BC3D0E" w:rsidRDefault="00BC3D0E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  <w:r w:rsidRPr="001C698B">
        <w:rPr>
          <w:rFonts w:ascii="Source Sans Pro" w:eastAsia="Calibri" w:hAnsi="Source Sans Pro" w:cs="Calibri"/>
          <w:sz w:val="24"/>
        </w:rPr>
        <w:t>Podle 31 % dotázaných projektových společností ovlivní snaha vlády o vyrovnané rozpočty přípravu infrastrukturních staveb, dalších 38 % dotázaných by se k tomuto názoru také spíše přiklonilo. Podle 28 % dotázaných by tato situace vliv spíše mít neměla a 3 % dotázaných se domnívají, že tato snaha vlády vliv na přípravu staveb mít nebude.</w:t>
      </w:r>
    </w:p>
    <w:p w14:paraId="22F1379C" w14:textId="77777777" w:rsidR="00627FB9" w:rsidRDefault="00627FB9" w:rsidP="00BC3D0E">
      <w:pPr>
        <w:spacing w:line="276" w:lineRule="auto"/>
        <w:jc w:val="both"/>
        <w:rPr>
          <w:rFonts w:ascii="Space Grotesk" w:eastAsia="Calibri" w:hAnsi="Space Grotesk" w:cs="Calibri"/>
          <w:b/>
          <w:color w:val="D12633"/>
          <w:sz w:val="28"/>
          <w:szCs w:val="18"/>
        </w:rPr>
      </w:pPr>
    </w:p>
    <w:p w14:paraId="6480444C" w14:textId="77777777" w:rsidR="00627FB9" w:rsidRDefault="00627FB9" w:rsidP="00BC3D0E">
      <w:pPr>
        <w:spacing w:line="276" w:lineRule="auto"/>
        <w:jc w:val="both"/>
        <w:rPr>
          <w:rFonts w:ascii="Space Grotesk" w:eastAsia="Calibri" w:hAnsi="Space Grotesk" w:cs="Calibri"/>
          <w:b/>
          <w:color w:val="D12633"/>
          <w:sz w:val="28"/>
          <w:szCs w:val="18"/>
        </w:rPr>
      </w:pPr>
    </w:p>
    <w:p w14:paraId="0A865573" w14:textId="77777777" w:rsidR="00627FB9" w:rsidRDefault="00627FB9" w:rsidP="00627FB9">
      <w:pPr>
        <w:spacing w:line="276" w:lineRule="auto"/>
        <w:jc w:val="center"/>
      </w:pPr>
      <w:r>
        <w:rPr>
          <w:rFonts w:ascii="Space Grotesk" w:eastAsia="Calibri" w:hAnsi="Space Grotesk" w:cs="Calibri"/>
          <w:b/>
          <w:color w:val="D12633"/>
          <w:sz w:val="28"/>
          <w:szCs w:val="18"/>
        </w:rPr>
        <w:lastRenderedPageBreak/>
        <w:t>Jakým způsobem se podle Vás promítne inflace a rostoucí ceny energií do projektování staveb?</w:t>
      </w:r>
      <w:r w:rsidRPr="00627FB9">
        <w:t xml:space="preserve"> </w:t>
      </w:r>
    </w:p>
    <w:p w14:paraId="433F6D0D" w14:textId="77777777" w:rsidR="00627FB9" w:rsidRDefault="00627FB9" w:rsidP="00627FB9">
      <w:pPr>
        <w:spacing w:line="276" w:lineRule="auto"/>
        <w:jc w:val="center"/>
      </w:pPr>
    </w:p>
    <w:p w14:paraId="35EC8E34" w14:textId="5E88DAD1" w:rsidR="00627FB9" w:rsidRDefault="00627FB9" w:rsidP="00627FB9">
      <w:pPr>
        <w:spacing w:line="276" w:lineRule="auto"/>
        <w:jc w:val="center"/>
      </w:pPr>
      <w:r>
        <w:object w:dxaOrig="7545" w:dyaOrig="4498" w14:anchorId="50D53FD5">
          <v:shape id="_x0000_i1026" type="#_x0000_t75" style="width:448.5pt;height:173.25pt" o:ole="" filled="t">
            <v:imagedata r:id="rId8" o:title="" croptop="23031f"/>
            <o:lock v:ext="edit" aspectratio="f"/>
          </v:shape>
          <o:OLEObject Type="Embed" ProgID="StaticMetafile" ShapeID="_x0000_i1026" DrawAspect="Content" ObjectID="_1715002665" r:id="rId9"/>
        </w:object>
      </w:r>
    </w:p>
    <w:p w14:paraId="3C0F7C8C" w14:textId="77777777" w:rsidR="00EB524E" w:rsidRDefault="00EB524E" w:rsidP="00EB524E">
      <w:pPr>
        <w:pStyle w:val="Zkladnodstavec"/>
        <w:suppressAutoHyphens/>
        <w:jc w:val="both"/>
        <w:rPr>
          <w:rFonts w:ascii="SourceSansRoman-Regular" w:hAnsi="SourceSansRoman-Regular" w:cs="SourceSansRoman-Regular"/>
          <w:sz w:val="18"/>
          <w:szCs w:val="18"/>
        </w:rPr>
      </w:pPr>
      <w:r>
        <w:rPr>
          <w:rFonts w:ascii="SourceSansRoman-Regular" w:hAnsi="SourceSansRoman-Regular" w:cs="SourceSansRoman-Regular"/>
          <w:sz w:val="18"/>
          <w:szCs w:val="18"/>
        </w:rPr>
        <w:t>zdroj: ceec.eu</w:t>
      </w:r>
    </w:p>
    <w:p w14:paraId="14274176" w14:textId="77777777" w:rsidR="00627FB9" w:rsidRPr="001C698B" w:rsidRDefault="00627FB9" w:rsidP="00627FB9">
      <w:pPr>
        <w:spacing w:line="276" w:lineRule="auto"/>
        <w:jc w:val="center"/>
        <w:rPr>
          <w:rFonts w:ascii="Source Sans Pro" w:eastAsia="Calibri" w:hAnsi="Source Sans Pro" w:cs="Calibri"/>
          <w:sz w:val="24"/>
        </w:rPr>
      </w:pPr>
    </w:p>
    <w:p w14:paraId="044F7852" w14:textId="1709BA4A" w:rsidR="00BC3D0E" w:rsidRDefault="00BC3D0E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  <w:r w:rsidRPr="001C698B">
        <w:rPr>
          <w:rFonts w:ascii="Source Sans Pro" w:eastAsia="Calibri" w:hAnsi="Source Sans Pro" w:cs="Calibri"/>
          <w:sz w:val="24"/>
        </w:rPr>
        <w:t>Podle dotázaných 86 % projektantů povede inflace ke zvýšení cen projektů. Pro 10 % dotázaných se rostoucí inflace do jejich projektů nijak nepromítne. Zbylá 4</w:t>
      </w:r>
      <w:r w:rsidR="00A2534D" w:rsidRPr="001C698B">
        <w:rPr>
          <w:rFonts w:ascii="Source Sans Pro" w:eastAsia="Calibri" w:hAnsi="Source Sans Pro" w:cs="Calibri"/>
          <w:sz w:val="24"/>
        </w:rPr>
        <w:t xml:space="preserve"> </w:t>
      </w:r>
      <w:r w:rsidRPr="001C698B">
        <w:rPr>
          <w:rFonts w:ascii="Source Sans Pro" w:eastAsia="Calibri" w:hAnsi="Source Sans Pro" w:cs="Calibri"/>
          <w:sz w:val="24"/>
        </w:rPr>
        <w:t xml:space="preserve">% uváděla i jiné dopady, jako je zvýšení nákladů projekčních kanceláří na provoz a další. </w:t>
      </w:r>
    </w:p>
    <w:p w14:paraId="487836DC" w14:textId="77777777" w:rsidR="00627FB9" w:rsidRPr="001C698B" w:rsidRDefault="00627FB9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</w:p>
    <w:p w14:paraId="77C7A093" w14:textId="46DD6E43" w:rsidR="00BC3D0E" w:rsidRPr="001C698B" w:rsidRDefault="00BC3D0E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  <w:r w:rsidRPr="001C698B">
        <w:rPr>
          <w:rFonts w:ascii="Source Sans Pro" w:eastAsia="Calibri" w:hAnsi="Source Sans Pro" w:cs="Calibri"/>
          <w:sz w:val="24"/>
        </w:rPr>
        <w:t xml:space="preserve">Třetina dotázaných projektantů vnímá Green </w:t>
      </w:r>
      <w:proofErr w:type="spellStart"/>
      <w:r w:rsidRPr="001C698B">
        <w:rPr>
          <w:rFonts w:ascii="Source Sans Pro" w:eastAsia="Calibri" w:hAnsi="Source Sans Pro" w:cs="Calibri"/>
          <w:sz w:val="24"/>
        </w:rPr>
        <w:t>Deal</w:t>
      </w:r>
      <w:proofErr w:type="spellEnd"/>
      <w:r w:rsidRPr="001C698B">
        <w:rPr>
          <w:rFonts w:ascii="Source Sans Pro" w:eastAsia="Calibri" w:hAnsi="Source Sans Pro" w:cs="Calibri"/>
          <w:sz w:val="24"/>
        </w:rPr>
        <w:t xml:space="preserve"> jako příležitost (31 %), ale také 28 % dotázaných tuto aktivitu vnímá jako hrozbu. Pro dalších 21 % se jedná o nutnost a 10 % </w:t>
      </w:r>
      <w:r w:rsidR="00627FB9">
        <w:rPr>
          <w:rFonts w:ascii="Source Sans Pro" w:eastAsia="Calibri" w:hAnsi="Source Sans Pro" w:cs="Calibri"/>
          <w:sz w:val="24"/>
        </w:rPr>
        <w:br/>
      </w:r>
      <w:r w:rsidRPr="001C698B">
        <w:rPr>
          <w:rFonts w:ascii="Source Sans Pro" w:eastAsia="Calibri" w:hAnsi="Source Sans Pro" w:cs="Calibri"/>
          <w:sz w:val="24"/>
        </w:rPr>
        <w:t xml:space="preserve">z dotázaných se Green </w:t>
      </w:r>
      <w:proofErr w:type="spellStart"/>
      <w:r w:rsidRPr="001C698B">
        <w:rPr>
          <w:rFonts w:ascii="Source Sans Pro" w:eastAsia="Calibri" w:hAnsi="Source Sans Pro" w:cs="Calibri"/>
          <w:sz w:val="24"/>
        </w:rPr>
        <w:t>Deal</w:t>
      </w:r>
      <w:proofErr w:type="spellEnd"/>
      <w:r w:rsidRPr="001C698B">
        <w:rPr>
          <w:rFonts w:ascii="Source Sans Pro" w:eastAsia="Calibri" w:hAnsi="Source Sans Pro" w:cs="Calibri"/>
          <w:sz w:val="24"/>
        </w:rPr>
        <w:t xml:space="preserve"> netýká. Dalších 10 % uvedlo také jiné možnosti než výše uvedené, a to především prodražení staveb.</w:t>
      </w:r>
    </w:p>
    <w:p w14:paraId="590B4BF2" w14:textId="216D7748" w:rsidR="00BC3D0E" w:rsidRPr="001C698B" w:rsidRDefault="00BC3D0E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</w:p>
    <w:p w14:paraId="7F85BC00" w14:textId="488A4AB4" w:rsidR="00BC3D0E" w:rsidRPr="001C698B" w:rsidRDefault="00BC3D0E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</w:p>
    <w:p w14:paraId="7C60BB38" w14:textId="4AB425E9" w:rsidR="00BC3D0E" w:rsidRPr="001C698B" w:rsidRDefault="00BC3D0E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</w:p>
    <w:p w14:paraId="5B7743EA" w14:textId="097553FC" w:rsidR="00A2534D" w:rsidRPr="001C698B" w:rsidRDefault="00A2534D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</w:p>
    <w:p w14:paraId="75239434" w14:textId="70F98ECA" w:rsidR="00A2534D" w:rsidRPr="001C698B" w:rsidRDefault="00A2534D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</w:p>
    <w:p w14:paraId="30E7DDFC" w14:textId="4A3BD71A" w:rsidR="00A2534D" w:rsidRPr="001C698B" w:rsidRDefault="00A2534D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</w:p>
    <w:p w14:paraId="74B7D004" w14:textId="77777777" w:rsidR="00A2534D" w:rsidRPr="001C698B" w:rsidRDefault="00A2534D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</w:p>
    <w:p w14:paraId="4FE3222B" w14:textId="77777777" w:rsidR="00BC3D0E" w:rsidRPr="001C698B" w:rsidRDefault="00BC3D0E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</w:p>
    <w:p w14:paraId="40682FD9" w14:textId="77777777" w:rsidR="00BC3D0E" w:rsidRPr="001C698B" w:rsidRDefault="00BC3D0E" w:rsidP="00BC3D0E">
      <w:pPr>
        <w:spacing w:line="276" w:lineRule="auto"/>
        <w:jc w:val="both"/>
        <w:rPr>
          <w:rFonts w:ascii="Source Sans Pro" w:eastAsia="Calibri" w:hAnsi="Source Sans Pro" w:cs="Calibri"/>
          <w:sz w:val="24"/>
        </w:rPr>
      </w:pPr>
    </w:p>
    <w:p w14:paraId="42C2746B" w14:textId="275A07AA" w:rsidR="00BC3D0E" w:rsidRDefault="00BC3D0E" w:rsidP="00627FB9">
      <w:pPr>
        <w:spacing w:line="276" w:lineRule="auto"/>
        <w:jc w:val="center"/>
        <w:rPr>
          <w:rFonts w:ascii="Space Grotesk" w:eastAsia="Calibri" w:hAnsi="Space Grotesk" w:cs="Calibri"/>
          <w:b/>
          <w:color w:val="D12633"/>
          <w:sz w:val="36"/>
        </w:rPr>
      </w:pPr>
      <w:r w:rsidRPr="001C698B">
        <w:rPr>
          <w:rFonts w:ascii="Space Grotesk" w:eastAsia="Calibri" w:hAnsi="Space Grotesk" w:cs="Calibri"/>
          <w:b/>
          <w:color w:val="D12633"/>
          <w:sz w:val="36"/>
        </w:rPr>
        <w:t>STUDIE PROJEKTOVÝCH SPOLEČNOSTÍ H1/2022</w:t>
      </w:r>
      <w:r w:rsidR="001C698B">
        <w:rPr>
          <w:rFonts w:ascii="Space Grotesk" w:eastAsia="Calibri" w:hAnsi="Space Grotesk" w:cs="Calibri"/>
          <w:b/>
          <w:color w:val="D12633"/>
          <w:sz w:val="36"/>
        </w:rPr>
        <w:br/>
      </w:r>
      <w:r w:rsidRPr="001C698B">
        <w:rPr>
          <w:rFonts w:ascii="Space Grotesk" w:eastAsia="Calibri" w:hAnsi="Space Grotesk" w:cs="Calibri"/>
          <w:b/>
          <w:color w:val="D12633"/>
          <w:sz w:val="36"/>
        </w:rPr>
        <w:t>JE ZVEŘEJNĚNA NA:</w:t>
      </w:r>
      <w:r w:rsidR="00627FB9">
        <w:rPr>
          <w:rFonts w:ascii="Space Grotesk" w:eastAsia="Calibri" w:hAnsi="Space Grotesk" w:cs="Calibri"/>
          <w:b/>
          <w:color w:val="D12633"/>
          <w:sz w:val="36"/>
        </w:rPr>
        <w:t xml:space="preserve"> </w:t>
      </w:r>
      <w:hyperlink r:id="rId10" w:history="1">
        <w:r w:rsidR="00627FB9" w:rsidRPr="002F04BA">
          <w:rPr>
            <w:rStyle w:val="Hypertextovodkaz"/>
            <w:rFonts w:ascii="Space Grotesk" w:eastAsia="Calibri" w:hAnsi="Space Grotesk" w:cs="Calibri"/>
            <w:b/>
            <w:sz w:val="36"/>
          </w:rPr>
          <w:t>www.ceec.eu</w:t>
        </w:r>
      </w:hyperlink>
      <w:r w:rsidRPr="001C698B">
        <w:rPr>
          <w:rFonts w:ascii="Space Grotesk" w:eastAsia="Calibri" w:hAnsi="Space Grotesk" w:cs="Calibri"/>
          <w:b/>
          <w:color w:val="D12633"/>
          <w:sz w:val="36"/>
        </w:rPr>
        <w:t> </w:t>
      </w:r>
    </w:p>
    <w:p w14:paraId="31AA9EA7" w14:textId="77777777" w:rsidR="00627FB9" w:rsidRDefault="00627FB9" w:rsidP="00627FB9">
      <w:pPr>
        <w:spacing w:line="276" w:lineRule="auto"/>
        <w:jc w:val="center"/>
        <w:rPr>
          <w:rFonts w:ascii="Space Grotesk" w:eastAsia="Calibri" w:hAnsi="Space Grotesk" w:cs="Calibri"/>
          <w:b/>
          <w:color w:val="D12633"/>
          <w:sz w:val="36"/>
        </w:rPr>
      </w:pPr>
    </w:p>
    <w:p w14:paraId="11A1F140" w14:textId="77777777" w:rsidR="00627FB9" w:rsidRPr="001C698B" w:rsidRDefault="00627FB9" w:rsidP="00EB524E">
      <w:pPr>
        <w:spacing w:line="276" w:lineRule="auto"/>
        <w:rPr>
          <w:rFonts w:ascii="Space Grotesk" w:eastAsia="Calibri" w:hAnsi="Space Grotesk" w:cs="Calibri"/>
          <w:b/>
          <w:color w:val="D12633"/>
          <w:sz w:val="36"/>
        </w:rPr>
      </w:pPr>
    </w:p>
    <w:p w14:paraId="38F8F9D3" w14:textId="6AA53916" w:rsidR="00BC3D0E" w:rsidRDefault="00BC3D0E" w:rsidP="00BC3D0E">
      <w:pPr>
        <w:spacing w:before="240" w:after="240" w:line="276" w:lineRule="auto"/>
        <w:rPr>
          <w:rFonts w:ascii="Source Sans Pro" w:eastAsia="Calibri" w:hAnsi="Source Sans Pro" w:cs="Calibri"/>
          <w:color w:val="1155CC"/>
          <w:sz w:val="24"/>
          <w:szCs w:val="24"/>
          <w:u w:val="single"/>
        </w:rPr>
      </w:pPr>
      <w:r w:rsidRPr="001C698B">
        <w:rPr>
          <w:rFonts w:ascii="Source Sans Pro" w:eastAsia="Calibri" w:hAnsi="Source Sans Pro" w:cs="Calibri"/>
          <w:b/>
          <w:color w:val="000000"/>
          <w:sz w:val="24"/>
          <w:szCs w:val="24"/>
        </w:rPr>
        <w:t>Kontakt pro média:</w:t>
      </w:r>
      <w:r w:rsidRPr="001C698B">
        <w:rPr>
          <w:rFonts w:ascii="Source Sans Pro" w:eastAsia="Calibri" w:hAnsi="Source Sans Pro" w:cs="Calibri"/>
          <w:b/>
          <w:color w:val="000000"/>
          <w:sz w:val="24"/>
          <w:szCs w:val="24"/>
        </w:rPr>
        <w:br/>
      </w:r>
      <w:r w:rsidRPr="001C698B">
        <w:rPr>
          <w:rFonts w:ascii="Source Sans Pro" w:eastAsia="Calibri" w:hAnsi="Source Sans Pro" w:cs="Calibri"/>
          <w:color w:val="000000"/>
          <w:sz w:val="24"/>
          <w:szCs w:val="24"/>
        </w:rPr>
        <w:t>Ing. Michal Vacek,</w:t>
      </w:r>
      <w:r w:rsidRPr="001C698B">
        <w:rPr>
          <w:rFonts w:ascii="Source Sans Pro" w:eastAsia="Calibri" w:hAnsi="Source Sans Pro" w:cs="Calibri"/>
          <w:color w:val="000000"/>
          <w:sz w:val="24"/>
          <w:szCs w:val="24"/>
        </w:rPr>
        <w:br/>
        <w:t>výkonný ředitel společnosti</w:t>
      </w:r>
      <w:r w:rsidRPr="001C698B">
        <w:rPr>
          <w:rFonts w:ascii="Source Sans Pro" w:eastAsia="Calibri" w:hAnsi="Source Sans Pro" w:cs="Calibri"/>
          <w:color w:val="000000"/>
          <w:sz w:val="24"/>
          <w:szCs w:val="24"/>
        </w:rPr>
        <w:br/>
        <w:t>CEEC Research</w:t>
      </w:r>
      <w:r w:rsidRPr="001C698B">
        <w:rPr>
          <w:rFonts w:ascii="Source Sans Pro" w:eastAsia="Calibri" w:hAnsi="Source Sans Pro" w:cs="Calibri"/>
          <w:color w:val="000000"/>
          <w:sz w:val="24"/>
          <w:szCs w:val="24"/>
        </w:rPr>
        <w:br/>
        <w:t>+420 776 023 170</w:t>
      </w:r>
      <w:r w:rsidRPr="001C698B">
        <w:rPr>
          <w:rFonts w:ascii="Source Sans Pro" w:eastAsia="Calibri" w:hAnsi="Source Sans Pro" w:cs="Calibri"/>
          <w:color w:val="000000"/>
          <w:sz w:val="24"/>
          <w:szCs w:val="24"/>
        </w:rPr>
        <w:br/>
      </w:r>
      <w:hyperlink r:id="rId11" w:history="1">
        <w:r w:rsidR="00627FB9" w:rsidRPr="002F04BA">
          <w:rPr>
            <w:rStyle w:val="Hypertextovodkaz"/>
            <w:rFonts w:ascii="Source Sans Pro" w:eastAsia="Calibri" w:hAnsi="Source Sans Pro" w:cs="Calibri"/>
            <w:sz w:val="24"/>
            <w:szCs w:val="24"/>
          </w:rPr>
          <w:t>michal.vacek@ceec.eu</w:t>
        </w:r>
      </w:hyperlink>
    </w:p>
    <w:p w14:paraId="0930FE2B" w14:textId="77777777" w:rsidR="00627FB9" w:rsidRPr="001C698B" w:rsidRDefault="00627FB9" w:rsidP="00BC3D0E">
      <w:pPr>
        <w:spacing w:before="240" w:after="240" w:line="276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4294DC09" w14:textId="6E8433EE" w:rsidR="00BC3D0E" w:rsidRDefault="00BC3D0E" w:rsidP="00BC3D0E">
      <w:pPr>
        <w:spacing w:after="0" w:line="276" w:lineRule="auto"/>
        <w:jc w:val="both"/>
        <w:rPr>
          <w:rFonts w:ascii="Source Sans Pro" w:eastAsia="Calibri" w:hAnsi="Source Sans Pro" w:cs="Calibri"/>
          <w:color w:val="000000"/>
          <w:sz w:val="24"/>
          <w:szCs w:val="24"/>
        </w:rPr>
      </w:pPr>
      <w:r w:rsidRPr="001C698B">
        <w:rPr>
          <w:rFonts w:ascii="Source Sans Pro" w:eastAsia="Calibri" w:hAnsi="Source Sans Pro" w:cs="Calibri"/>
          <w:color w:val="000000"/>
          <w:sz w:val="24"/>
          <w:szCs w:val="24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4CCC67F0" w14:textId="77777777" w:rsidR="00627FB9" w:rsidRPr="001C698B" w:rsidRDefault="00627FB9" w:rsidP="00BC3D0E">
      <w:pPr>
        <w:spacing w:after="0" w:line="276" w:lineRule="auto"/>
        <w:jc w:val="both"/>
        <w:rPr>
          <w:rFonts w:ascii="Source Sans Pro" w:eastAsia="Calibri" w:hAnsi="Source Sans Pro" w:cs="Calibri"/>
          <w:color w:val="000000"/>
          <w:sz w:val="24"/>
          <w:szCs w:val="24"/>
        </w:rPr>
      </w:pPr>
    </w:p>
    <w:p w14:paraId="60C92B98" w14:textId="77777777" w:rsidR="00BC3D0E" w:rsidRPr="001C698B" w:rsidRDefault="00BC3D0E" w:rsidP="00BC3D0E">
      <w:pPr>
        <w:spacing w:after="0" w:line="276" w:lineRule="auto"/>
        <w:jc w:val="both"/>
        <w:rPr>
          <w:rFonts w:ascii="Source Sans Pro" w:eastAsia="Times New Roman" w:hAnsi="Source Sans Pro" w:cs="Times New Roman"/>
          <w:sz w:val="24"/>
          <w:szCs w:val="24"/>
        </w:rPr>
      </w:pPr>
    </w:p>
    <w:p w14:paraId="63CA0A94" w14:textId="77777777" w:rsidR="00BC3D0E" w:rsidRPr="001C698B" w:rsidRDefault="00BC3D0E" w:rsidP="00BC3D0E">
      <w:pPr>
        <w:spacing w:after="0" w:line="276" w:lineRule="auto"/>
        <w:jc w:val="both"/>
        <w:rPr>
          <w:rFonts w:ascii="Source Sans Pro" w:eastAsia="Times New Roman" w:hAnsi="Source Sans Pro" w:cs="Times New Roman"/>
          <w:sz w:val="24"/>
          <w:szCs w:val="24"/>
        </w:rPr>
      </w:pPr>
      <w:r w:rsidRPr="001C698B">
        <w:rPr>
          <w:rFonts w:ascii="Source Sans Pro" w:eastAsia="Calibri" w:hAnsi="Source Sans Pro" w:cs="Calibri"/>
          <w:color w:val="000000"/>
          <w:sz w:val="24"/>
          <w:szCs w:val="24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5904AA47" w14:textId="77777777" w:rsidR="00BC3D0E" w:rsidRDefault="00BC3D0E" w:rsidP="00BC3D0E">
      <w:pPr>
        <w:spacing w:line="276" w:lineRule="auto"/>
        <w:jc w:val="both"/>
        <w:rPr>
          <w:rFonts w:ascii="Calibri" w:eastAsia="Calibri" w:hAnsi="Calibri" w:cs="Calibri"/>
          <w:sz w:val="24"/>
        </w:rPr>
      </w:pPr>
    </w:p>
    <w:p w14:paraId="23054FD2" w14:textId="77777777" w:rsidR="00BC3D0E" w:rsidRDefault="00BC3D0E" w:rsidP="00BC3D0E">
      <w:pPr>
        <w:spacing w:line="276" w:lineRule="auto"/>
        <w:jc w:val="both"/>
        <w:rPr>
          <w:rFonts w:ascii="Calibri" w:eastAsia="Calibri" w:hAnsi="Calibri" w:cs="Calibri"/>
          <w:sz w:val="24"/>
        </w:rPr>
      </w:pPr>
    </w:p>
    <w:p w14:paraId="04C6AF2E" w14:textId="720417F1" w:rsidR="00683558" w:rsidRPr="00BC3D0E" w:rsidRDefault="00683558" w:rsidP="00BC3D0E">
      <w:pPr>
        <w:spacing w:line="276" w:lineRule="auto"/>
      </w:pPr>
    </w:p>
    <w:sectPr w:rsidR="00683558" w:rsidRPr="00BC3D0E" w:rsidSect="005F1EEB">
      <w:headerReference w:type="default" r:id="rId12"/>
      <w:footerReference w:type="default" r:id="rId13"/>
      <w:pgSz w:w="11906" w:h="16838"/>
      <w:pgMar w:top="1417" w:right="1417" w:bottom="1417" w:left="1417" w:header="2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F3B3" w14:textId="77777777" w:rsidR="005221A8" w:rsidRDefault="005221A8" w:rsidP="000017FC">
      <w:pPr>
        <w:spacing w:after="0" w:line="240" w:lineRule="auto"/>
      </w:pPr>
      <w:r>
        <w:separator/>
      </w:r>
    </w:p>
  </w:endnote>
  <w:endnote w:type="continuationSeparator" w:id="0">
    <w:p w14:paraId="27E40630" w14:textId="77777777" w:rsidR="005221A8" w:rsidRDefault="005221A8" w:rsidP="0000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pace Grotesk">
    <w:panose1 w:val="00000000000000000000"/>
    <w:charset w:val="EE"/>
    <w:family w:val="auto"/>
    <w:pitch w:val="variable"/>
    <w:sig w:usb0="A10000FF" w:usb1="5000207B" w:usb2="00000000" w:usb3="00000000" w:csb0="00000193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SourceSansRoma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5595" w14:textId="5A89F0E5" w:rsidR="00B04423" w:rsidRDefault="000D44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EB78EC" wp14:editId="7B3009F8">
              <wp:simplePos x="0" y="0"/>
              <wp:positionH relativeFrom="column">
                <wp:posOffset>-13105</wp:posOffset>
              </wp:positionH>
              <wp:positionV relativeFrom="paragraph">
                <wp:posOffset>114127</wp:posOffset>
              </wp:positionV>
              <wp:extent cx="5807825" cy="0"/>
              <wp:effectExtent l="0" t="0" r="0" b="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78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12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8C495F" id="Přímá spojnice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pt" to="456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" strokecolor="#d12633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A2569C" wp14:editId="361B0030">
              <wp:simplePos x="0" y="0"/>
              <wp:positionH relativeFrom="column">
                <wp:posOffset>892175</wp:posOffset>
              </wp:positionH>
              <wp:positionV relativeFrom="paragraph">
                <wp:posOffset>10097135</wp:posOffset>
              </wp:positionV>
              <wp:extent cx="5760085" cy="0"/>
              <wp:effectExtent l="11430" t="6350" r="10160" b="12700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5113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C1F1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70.25pt;margin-top:795.05pt;width:453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" strokecolor="#d51130" strokeweight="1pt">
              <v:shadow color="#375623 [1609]" opacity=".5" offset="1pt"/>
            </v:shape>
          </w:pict>
        </mc:Fallback>
      </mc:AlternateContent>
    </w:r>
    <w:r w:rsidR="00B0442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A2569C" wp14:editId="4DF40BAF">
              <wp:simplePos x="0" y="0"/>
              <wp:positionH relativeFrom="column">
                <wp:posOffset>892175</wp:posOffset>
              </wp:positionH>
              <wp:positionV relativeFrom="paragraph">
                <wp:posOffset>10097135</wp:posOffset>
              </wp:positionV>
              <wp:extent cx="5760085" cy="0"/>
              <wp:effectExtent l="11430" t="6350" r="10160" b="1270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5113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FC988" id="Přímá spojnice se šipkou 4" o:spid="_x0000_s1026" type="#_x0000_t32" style="position:absolute;margin-left:70.25pt;margin-top:795.05pt;width:453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" strokecolor="#d51130" strokeweight="1pt">
              <v:shadow color="#375623 [1609]" opacity=".5" offset="1pt"/>
            </v:shape>
          </w:pict>
        </mc:Fallback>
      </mc:AlternateContent>
    </w:r>
    <w:r w:rsidR="00B0442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A2569C" wp14:editId="62863CB8">
              <wp:simplePos x="0" y="0"/>
              <wp:positionH relativeFrom="column">
                <wp:posOffset>892175</wp:posOffset>
              </wp:positionH>
              <wp:positionV relativeFrom="paragraph">
                <wp:posOffset>10097135</wp:posOffset>
              </wp:positionV>
              <wp:extent cx="5760085" cy="0"/>
              <wp:effectExtent l="11430" t="6350" r="10160" b="1270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5113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9F10F" id="Přímá spojnice se šipkou 3" o:spid="_x0000_s1026" type="#_x0000_t32" style="position:absolute;margin-left:70.25pt;margin-top:795.05pt;width:4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" strokecolor="#d51130" strokeweight="1pt">
              <v:shadow color="#375623 [1609]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3BB9" w14:textId="77777777" w:rsidR="005221A8" w:rsidRDefault="005221A8" w:rsidP="000017FC">
      <w:pPr>
        <w:spacing w:after="0" w:line="240" w:lineRule="auto"/>
      </w:pPr>
      <w:r>
        <w:separator/>
      </w:r>
    </w:p>
  </w:footnote>
  <w:footnote w:type="continuationSeparator" w:id="0">
    <w:p w14:paraId="0ED42660" w14:textId="77777777" w:rsidR="005221A8" w:rsidRDefault="005221A8" w:rsidP="0000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16E5" w14:textId="4A3C9D00" w:rsidR="000017FC" w:rsidRDefault="00E344AB">
    <w:pPr>
      <w:pStyle w:val="Zhlav"/>
    </w:pPr>
    <w:r>
      <w:rPr>
        <w:noProof/>
      </w:rPr>
      <w:drawing>
        <wp:anchor distT="0" distB="0" distL="114300" distR="114300" simplePos="0" relativeHeight="251663872" behindDoc="0" locked="0" layoutInCell="1" allowOverlap="1" wp14:anchorId="129A4F36" wp14:editId="302E49E1">
          <wp:simplePos x="0" y="0"/>
          <wp:positionH relativeFrom="margin">
            <wp:posOffset>3927590</wp:posOffset>
          </wp:positionH>
          <wp:positionV relativeFrom="margin">
            <wp:posOffset>-1235249</wp:posOffset>
          </wp:positionV>
          <wp:extent cx="2012950" cy="778510"/>
          <wp:effectExtent l="0" t="0" r="0" b="0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 wp14:anchorId="362CCD5E" wp14:editId="03CE13FE">
          <wp:simplePos x="0" y="0"/>
          <wp:positionH relativeFrom="margin">
            <wp:align>left</wp:align>
          </wp:positionH>
          <wp:positionV relativeFrom="margin">
            <wp:posOffset>-1191145</wp:posOffset>
          </wp:positionV>
          <wp:extent cx="1362710" cy="735965"/>
          <wp:effectExtent l="0" t="0" r="8890" b="698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DFB">
      <w:rPr>
        <w:noProof/>
      </w:rPr>
      <w:drawing>
        <wp:anchor distT="0" distB="0" distL="114300" distR="114300" simplePos="0" relativeHeight="251648512" behindDoc="0" locked="0" layoutInCell="1" allowOverlap="1" wp14:anchorId="3CEF0F2A" wp14:editId="18C0FE9B">
          <wp:simplePos x="0" y="0"/>
          <wp:positionH relativeFrom="margin">
            <wp:posOffset>-2667635</wp:posOffset>
          </wp:positionH>
          <wp:positionV relativeFrom="topMargin">
            <wp:posOffset>-5874500</wp:posOffset>
          </wp:positionV>
          <wp:extent cx="10611372" cy="5972175"/>
          <wp:effectExtent l="0" t="0" r="0" b="0"/>
          <wp:wrapSquare wrapText="bothSides"/>
          <wp:docPr id="8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1372" cy="597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F0"/>
    <w:rsid w:val="000017FC"/>
    <w:rsid w:val="0005418A"/>
    <w:rsid w:val="00056413"/>
    <w:rsid w:val="000A4E9F"/>
    <w:rsid w:val="000D44B9"/>
    <w:rsid w:val="000D657A"/>
    <w:rsid w:val="000E5F66"/>
    <w:rsid w:val="001539D7"/>
    <w:rsid w:val="00170487"/>
    <w:rsid w:val="001C698B"/>
    <w:rsid w:val="001C6F1E"/>
    <w:rsid w:val="00240727"/>
    <w:rsid w:val="00346095"/>
    <w:rsid w:val="00430914"/>
    <w:rsid w:val="00521D00"/>
    <w:rsid w:val="005221A8"/>
    <w:rsid w:val="0057213C"/>
    <w:rsid w:val="005B79EC"/>
    <w:rsid w:val="005F1EEB"/>
    <w:rsid w:val="00627FB9"/>
    <w:rsid w:val="00683558"/>
    <w:rsid w:val="00711079"/>
    <w:rsid w:val="00765037"/>
    <w:rsid w:val="007A790A"/>
    <w:rsid w:val="00814410"/>
    <w:rsid w:val="00832C3F"/>
    <w:rsid w:val="00896CEE"/>
    <w:rsid w:val="008F5B6C"/>
    <w:rsid w:val="00951BE4"/>
    <w:rsid w:val="009B57B3"/>
    <w:rsid w:val="00A2534D"/>
    <w:rsid w:val="00AF5E29"/>
    <w:rsid w:val="00B04423"/>
    <w:rsid w:val="00B5532E"/>
    <w:rsid w:val="00BA6EF0"/>
    <w:rsid w:val="00BC3D0E"/>
    <w:rsid w:val="00CA6DFB"/>
    <w:rsid w:val="00CF0793"/>
    <w:rsid w:val="00CF734C"/>
    <w:rsid w:val="00D875FF"/>
    <w:rsid w:val="00DB1D0E"/>
    <w:rsid w:val="00DC56B4"/>
    <w:rsid w:val="00E344AB"/>
    <w:rsid w:val="00EB524E"/>
    <w:rsid w:val="00EE2E20"/>
    <w:rsid w:val="00EF4885"/>
    <w:rsid w:val="00FA2DC9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60CD8"/>
  <w15:chartTrackingRefBased/>
  <w15:docId w15:val="{94FAE81D-4512-47AF-BF7C-8A40370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D0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F5E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F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017F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017FC"/>
  </w:style>
  <w:style w:type="paragraph" w:styleId="Zpat">
    <w:name w:val="footer"/>
    <w:basedOn w:val="Normln"/>
    <w:link w:val="ZpatChar"/>
    <w:uiPriority w:val="99"/>
    <w:unhideWhenUsed/>
    <w:rsid w:val="0000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7FC"/>
  </w:style>
  <w:style w:type="paragraph" w:customStyle="1" w:styleId="Default">
    <w:name w:val="Default"/>
    <w:rsid w:val="009B5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D65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D65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657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65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5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657A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7FB9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EB52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ichal.vacek@ceec.e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eec.eu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2022-05-25T14:51:00Z</dcterms:created>
  <dcterms:modified xsi:type="dcterms:W3CDTF">2022-05-25T14:51:00Z</dcterms:modified>
</cp:coreProperties>
</file>