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09D5" w14:textId="0E9C83B0" w:rsidR="00872344" w:rsidRPr="00F5583A" w:rsidRDefault="005A40C2" w:rsidP="005A40C2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5583A">
        <w:rPr>
          <w:rFonts w:asciiTheme="majorHAnsi" w:hAnsiTheme="majorHAnsi" w:cstheme="majorHAnsi"/>
          <w:b/>
          <w:bCs/>
          <w:sz w:val="36"/>
          <w:szCs w:val="36"/>
        </w:rPr>
        <w:t>V roce byly oznámeny veřejné stavební zakázky celkově za 152,5 mld. Kč, tedy meziročně o 15,2 % méně</w:t>
      </w:r>
    </w:p>
    <w:p w14:paraId="254E76D8" w14:textId="77777777" w:rsidR="00F5583A" w:rsidRDefault="00F5583A" w:rsidP="00F5583A">
      <w:pPr>
        <w:jc w:val="both"/>
        <w:rPr>
          <w:rFonts w:asciiTheme="majorHAnsi" w:hAnsiTheme="majorHAnsi" w:cstheme="majorHAnsi"/>
          <w:b/>
          <w:bCs/>
        </w:rPr>
      </w:pPr>
    </w:p>
    <w:p w14:paraId="45B1A112" w14:textId="57CF6C83" w:rsidR="00872344" w:rsidRPr="00F5583A" w:rsidRDefault="005A40C2" w:rsidP="00F5583A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F5583A">
        <w:rPr>
          <w:rFonts w:asciiTheme="majorHAnsi" w:hAnsiTheme="majorHAnsi" w:cstheme="majorHAnsi"/>
          <w:b/>
          <w:bCs/>
        </w:rPr>
        <w:t>Praha 30.3.2022</w:t>
      </w:r>
      <w:r w:rsidR="00F5583A" w:rsidRPr="00F5583A">
        <w:rPr>
          <w:rFonts w:asciiTheme="majorHAnsi" w:hAnsiTheme="majorHAnsi" w:cstheme="majorHAnsi"/>
          <w:b/>
          <w:bCs/>
        </w:rPr>
        <w:t xml:space="preserve"> - </w:t>
      </w:r>
      <w:r w:rsidR="00872344" w:rsidRPr="00F5583A">
        <w:rPr>
          <w:rFonts w:asciiTheme="majorHAnsi" w:hAnsiTheme="majorHAnsi" w:cstheme="majorHAnsi"/>
          <w:b/>
          <w:bCs/>
        </w:rPr>
        <w:t>V roce 2021 byly oznámeny zakázky celkem v</w:t>
      </w:r>
      <w:r w:rsidR="00F00FBC">
        <w:rPr>
          <w:rFonts w:asciiTheme="majorHAnsi" w:hAnsiTheme="majorHAnsi" w:cstheme="majorHAnsi"/>
          <w:b/>
          <w:bCs/>
        </w:rPr>
        <w:t> </w:t>
      </w:r>
      <w:r w:rsidR="00872344" w:rsidRPr="00F5583A">
        <w:rPr>
          <w:rFonts w:asciiTheme="majorHAnsi" w:hAnsiTheme="majorHAnsi" w:cstheme="majorHAnsi"/>
          <w:b/>
          <w:bCs/>
        </w:rPr>
        <w:t>hodnotě</w:t>
      </w:r>
      <w:r w:rsidR="00F00FBC">
        <w:rPr>
          <w:rFonts w:asciiTheme="majorHAnsi" w:hAnsiTheme="majorHAnsi" w:cstheme="majorHAnsi"/>
          <w:b/>
          <w:bCs/>
        </w:rPr>
        <w:t xml:space="preserve"> </w:t>
      </w:r>
      <w:r w:rsidR="00872344" w:rsidRPr="00F5583A">
        <w:rPr>
          <w:rFonts w:asciiTheme="majorHAnsi" w:hAnsiTheme="majorHAnsi" w:cstheme="majorHAnsi"/>
          <w:b/>
          <w:bCs/>
        </w:rPr>
        <w:t>152,5 mld. Kč, z toho bylo později zadáno 55,7 mld. Kč (tedy</w:t>
      </w:r>
      <w:r w:rsidR="00F00FBC">
        <w:rPr>
          <w:rFonts w:asciiTheme="majorHAnsi" w:hAnsiTheme="majorHAnsi" w:cstheme="majorHAnsi"/>
          <w:b/>
          <w:bCs/>
        </w:rPr>
        <w:t xml:space="preserve"> </w:t>
      </w:r>
      <w:r w:rsidR="00872344" w:rsidRPr="00F5583A">
        <w:rPr>
          <w:rFonts w:asciiTheme="majorHAnsi" w:hAnsiTheme="majorHAnsi" w:cstheme="majorHAnsi"/>
          <w:b/>
          <w:bCs/>
        </w:rPr>
        <w:t>37 % z oznámených). Skutečná jejich zadaná hodnota byla</w:t>
      </w:r>
      <w:r w:rsidR="00F00FBC">
        <w:rPr>
          <w:rFonts w:asciiTheme="majorHAnsi" w:hAnsiTheme="majorHAnsi" w:cstheme="majorHAnsi"/>
          <w:b/>
          <w:bCs/>
        </w:rPr>
        <w:t xml:space="preserve"> </w:t>
      </w:r>
      <w:r w:rsidR="00872344" w:rsidRPr="00F5583A">
        <w:rPr>
          <w:rFonts w:asciiTheme="majorHAnsi" w:hAnsiTheme="majorHAnsi" w:cstheme="majorHAnsi"/>
          <w:b/>
          <w:bCs/>
        </w:rPr>
        <w:t>55,3 mld. Kč, protože zadaná hodnota byla o cca 4 % nižší než při</w:t>
      </w:r>
      <w:r w:rsidR="00F00FBC">
        <w:rPr>
          <w:rFonts w:asciiTheme="majorHAnsi" w:hAnsiTheme="majorHAnsi" w:cstheme="majorHAnsi"/>
          <w:b/>
          <w:bCs/>
        </w:rPr>
        <w:t xml:space="preserve"> </w:t>
      </w:r>
      <w:r w:rsidR="00872344" w:rsidRPr="00F5583A">
        <w:rPr>
          <w:rFonts w:asciiTheme="majorHAnsi" w:hAnsiTheme="majorHAnsi" w:cstheme="majorHAnsi"/>
          <w:b/>
          <w:bCs/>
        </w:rPr>
        <w:t>oznámení. Z celkového objemu oznámených zakázek byly později</w:t>
      </w:r>
      <w:r w:rsidR="00F00FBC">
        <w:rPr>
          <w:rFonts w:asciiTheme="majorHAnsi" w:hAnsiTheme="majorHAnsi" w:cstheme="majorHAnsi"/>
          <w:b/>
          <w:bCs/>
        </w:rPr>
        <w:t xml:space="preserve"> </w:t>
      </w:r>
      <w:r w:rsidR="00872344" w:rsidRPr="00F5583A">
        <w:rPr>
          <w:rFonts w:asciiTheme="majorHAnsi" w:hAnsiTheme="majorHAnsi" w:cstheme="majorHAnsi"/>
          <w:b/>
          <w:bCs/>
        </w:rPr>
        <w:t>zrušeny zakázky za 4,6 mld. Kč (tedy cca 3 % z oznámených). Po</w:t>
      </w:r>
      <w:r w:rsidR="00F00FBC">
        <w:rPr>
          <w:rFonts w:asciiTheme="majorHAnsi" w:hAnsiTheme="majorHAnsi" w:cstheme="majorHAnsi"/>
          <w:b/>
          <w:bCs/>
        </w:rPr>
        <w:t xml:space="preserve"> </w:t>
      </w:r>
      <w:r w:rsidR="00872344" w:rsidRPr="00F5583A">
        <w:rPr>
          <w:rFonts w:asciiTheme="majorHAnsi" w:hAnsiTheme="majorHAnsi" w:cstheme="majorHAnsi"/>
          <w:b/>
          <w:bCs/>
        </w:rPr>
        <w:t>odečtení zadaných a zrušených zakázek zbývá v systému ještě</w:t>
      </w:r>
      <w:r w:rsidR="00D41BCE">
        <w:rPr>
          <w:rFonts w:asciiTheme="majorHAnsi" w:hAnsiTheme="majorHAnsi" w:cstheme="majorHAnsi"/>
          <w:b/>
          <w:bCs/>
        </w:rPr>
        <w:t xml:space="preserve"> </w:t>
      </w:r>
      <w:r w:rsidR="00872344" w:rsidRPr="00F5583A">
        <w:rPr>
          <w:rFonts w:asciiTheme="majorHAnsi" w:hAnsiTheme="majorHAnsi" w:cstheme="majorHAnsi"/>
          <w:b/>
          <w:bCs/>
        </w:rPr>
        <w:t>92,1 mld. Kč (tedy 60 %), které nebyly zatím zadány ani zrušeny</w:t>
      </w:r>
      <w:r w:rsidR="00D41BCE">
        <w:rPr>
          <w:rFonts w:asciiTheme="majorHAnsi" w:hAnsiTheme="majorHAnsi" w:cstheme="majorHAnsi"/>
          <w:b/>
          <w:bCs/>
        </w:rPr>
        <w:t xml:space="preserve"> </w:t>
      </w:r>
      <w:r w:rsidR="00872344" w:rsidRPr="00F5583A">
        <w:rPr>
          <w:rFonts w:asciiTheme="majorHAnsi" w:hAnsiTheme="majorHAnsi" w:cstheme="majorHAnsi"/>
          <w:b/>
          <w:bCs/>
        </w:rPr>
        <w:t>(případně informace, že se tak stalo, nebyla dodána).</w:t>
      </w:r>
      <w:r w:rsidRPr="00F5583A">
        <w:rPr>
          <w:rFonts w:asciiTheme="majorHAnsi" w:hAnsiTheme="majorHAnsi" w:cstheme="majorHAnsi"/>
          <w:b/>
          <w:bCs/>
        </w:rPr>
        <w:t xml:space="preserve"> Vyplývá to z Kvartální analýzy českého stavebnictví Q3/2022 zpracované analytickou společností CEEC Research s.r.o.</w:t>
      </w:r>
    </w:p>
    <w:p w14:paraId="6F6B6266" w14:textId="4AF69F49" w:rsidR="00F5583A" w:rsidRPr="00D41BCE" w:rsidRDefault="00872344" w:rsidP="00F5583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 w:rsidRPr="00F5583A">
        <w:rPr>
          <w:rFonts w:asciiTheme="majorHAnsi" w:hAnsiTheme="majorHAnsi" w:cstheme="majorHAnsi"/>
        </w:rPr>
        <w:t xml:space="preserve">V roce 2021 bylo </w:t>
      </w:r>
      <w:r w:rsidR="00D41BCE" w:rsidRPr="00F5583A">
        <w:rPr>
          <w:rFonts w:asciiTheme="majorHAnsi" w:hAnsiTheme="majorHAnsi" w:cstheme="majorHAnsi"/>
        </w:rPr>
        <w:t>vydáno</w:t>
      </w:r>
      <w:r w:rsidRPr="00F5583A">
        <w:rPr>
          <w:rFonts w:asciiTheme="majorHAnsi" w:hAnsiTheme="majorHAnsi" w:cstheme="majorHAnsi"/>
        </w:rPr>
        <w:t xml:space="preserve"> 1 573 </w:t>
      </w:r>
      <w:r w:rsidR="00F00FBC" w:rsidRPr="00F5583A">
        <w:rPr>
          <w:rFonts w:asciiTheme="majorHAnsi" w:hAnsiTheme="majorHAnsi" w:cstheme="majorHAnsi"/>
        </w:rPr>
        <w:t>řádných</w:t>
      </w:r>
      <w:r w:rsidRPr="00F5583A">
        <w:rPr>
          <w:rFonts w:asciiTheme="majorHAnsi" w:hAnsiTheme="majorHAnsi" w:cstheme="majorHAnsi"/>
        </w:rPr>
        <w:t xml:space="preserve"> </w:t>
      </w:r>
      <w:r w:rsidR="00D41BCE" w:rsidRPr="00F5583A">
        <w:rPr>
          <w:rFonts w:asciiTheme="majorHAnsi" w:hAnsiTheme="majorHAnsi" w:cstheme="majorHAnsi"/>
        </w:rPr>
        <w:t>oznámení</w:t>
      </w:r>
      <w:r w:rsidRPr="00F5583A">
        <w:rPr>
          <w:rFonts w:asciiTheme="majorHAnsi" w:hAnsiTheme="majorHAnsi" w:cstheme="majorHAnsi"/>
        </w:rPr>
        <w:t xml:space="preserve"> o </w:t>
      </w:r>
      <w:r w:rsidR="00F00FBC" w:rsidRPr="00F5583A">
        <w:rPr>
          <w:rFonts w:asciiTheme="majorHAnsi" w:hAnsiTheme="majorHAnsi" w:cstheme="majorHAnsi"/>
        </w:rPr>
        <w:t>zakázce</w:t>
      </w:r>
      <w:r w:rsidRPr="00F5583A">
        <w:rPr>
          <w:rFonts w:asciiTheme="majorHAnsi" w:hAnsiTheme="majorHAnsi" w:cstheme="majorHAnsi"/>
        </w:rPr>
        <w:t>, což</w:t>
      </w:r>
      <w:r w:rsid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je o 4,5 % vice než v </w:t>
      </w:r>
      <w:r w:rsidR="00D41BCE" w:rsidRPr="00F5583A">
        <w:rPr>
          <w:rFonts w:asciiTheme="majorHAnsi" w:hAnsiTheme="majorHAnsi" w:cstheme="majorHAnsi"/>
        </w:rPr>
        <w:t>předchozím</w:t>
      </w:r>
      <w:r w:rsidRPr="00F5583A">
        <w:rPr>
          <w:rFonts w:asciiTheme="majorHAnsi" w:hAnsiTheme="majorHAnsi" w:cstheme="majorHAnsi"/>
        </w:rPr>
        <w:t xml:space="preserve"> roce. </w:t>
      </w:r>
      <w:r w:rsidR="00D41BCE" w:rsidRPr="00F5583A">
        <w:rPr>
          <w:rFonts w:asciiTheme="majorHAnsi" w:hAnsiTheme="majorHAnsi" w:cstheme="majorHAnsi"/>
        </w:rPr>
        <w:t>Celková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předpokládaná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hodnota </w:t>
      </w:r>
      <w:r w:rsidR="00F00FBC" w:rsidRPr="00F5583A">
        <w:rPr>
          <w:rFonts w:asciiTheme="majorHAnsi" w:hAnsiTheme="majorHAnsi" w:cstheme="majorHAnsi"/>
        </w:rPr>
        <w:t>oznámení</w:t>
      </w:r>
      <w:r w:rsidRPr="00F5583A">
        <w:rPr>
          <w:rFonts w:asciiTheme="majorHAnsi" w:hAnsiTheme="majorHAnsi" w:cstheme="majorHAnsi"/>
        </w:rPr>
        <w:t xml:space="preserve"> o </w:t>
      </w:r>
      <w:r w:rsidR="00D41BCE" w:rsidRPr="00F5583A">
        <w:rPr>
          <w:rFonts w:asciiTheme="majorHAnsi" w:hAnsiTheme="majorHAnsi" w:cstheme="majorHAnsi"/>
        </w:rPr>
        <w:t>zakázce</w:t>
      </w:r>
      <w:r w:rsidRPr="00F5583A">
        <w:rPr>
          <w:rFonts w:asciiTheme="majorHAnsi" w:hAnsiTheme="majorHAnsi" w:cstheme="majorHAnsi"/>
        </w:rPr>
        <w:t xml:space="preserve"> v roce 2021 činila 152,5 mld. Kč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a byl </w:t>
      </w:r>
      <w:r w:rsidR="00D41BCE" w:rsidRPr="00F5583A">
        <w:rPr>
          <w:rFonts w:asciiTheme="majorHAnsi" w:hAnsiTheme="majorHAnsi" w:cstheme="majorHAnsi"/>
        </w:rPr>
        <w:t>zaznamenán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její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meziroční</w:t>
      </w:r>
      <w:r w:rsidRPr="00F5583A">
        <w:rPr>
          <w:rFonts w:asciiTheme="majorHAnsi" w:hAnsiTheme="majorHAnsi" w:cstheme="majorHAnsi"/>
        </w:rPr>
        <w:t xml:space="preserve"> pokles o 15,4 %. </w:t>
      </w:r>
      <w:r w:rsidR="00D41BCE" w:rsidRPr="00F5583A">
        <w:rPr>
          <w:rFonts w:asciiTheme="majorHAnsi" w:hAnsiTheme="majorHAnsi" w:cstheme="majorHAnsi"/>
        </w:rPr>
        <w:t>Meziroční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pokles hodnoty ovlivnila </w:t>
      </w:r>
      <w:r w:rsidR="00D41BCE" w:rsidRPr="00F5583A">
        <w:rPr>
          <w:rFonts w:asciiTheme="majorHAnsi" w:hAnsiTheme="majorHAnsi" w:cstheme="majorHAnsi"/>
        </w:rPr>
        <w:t>velká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zakázka</w:t>
      </w:r>
      <w:r w:rsidRPr="00F5583A">
        <w:rPr>
          <w:rFonts w:asciiTheme="majorHAnsi" w:hAnsiTheme="majorHAnsi" w:cstheme="majorHAnsi"/>
        </w:rPr>
        <w:t xml:space="preserve"> s hodnotou 10,8 mld. Kč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na </w:t>
      </w:r>
      <w:r w:rsidR="00D41BCE" w:rsidRPr="00F5583A">
        <w:rPr>
          <w:rFonts w:asciiTheme="majorHAnsi" w:hAnsiTheme="majorHAnsi" w:cstheme="majorHAnsi"/>
        </w:rPr>
        <w:t>pražské</w:t>
      </w:r>
      <w:r w:rsidRPr="00F5583A">
        <w:rPr>
          <w:rFonts w:asciiTheme="majorHAnsi" w:hAnsiTheme="majorHAnsi" w:cstheme="majorHAnsi"/>
        </w:rPr>
        <w:t xml:space="preserve"> metro od </w:t>
      </w:r>
      <w:r w:rsidR="00F00FBC" w:rsidRPr="00F5583A">
        <w:rPr>
          <w:rFonts w:asciiTheme="majorHAnsi" w:hAnsiTheme="majorHAnsi" w:cstheme="majorHAnsi"/>
        </w:rPr>
        <w:t>Dopravního</w:t>
      </w:r>
      <w:r w:rsidRPr="00F5583A">
        <w:rPr>
          <w:rFonts w:asciiTheme="majorHAnsi" w:hAnsiTheme="majorHAnsi" w:cstheme="majorHAnsi"/>
        </w:rPr>
        <w:t xml:space="preserve"> podniku hl. m. Prahy</w:t>
      </w:r>
      <w:r w:rsidR="00D41BCE">
        <w:rPr>
          <w:rFonts w:asciiTheme="majorHAnsi" w:hAnsiTheme="majorHAnsi" w:cstheme="majorHAnsi"/>
        </w:rPr>
        <w:t xml:space="preserve"> </w:t>
      </w:r>
      <w:r w:rsidR="00D41BCE" w:rsidRPr="00F5583A">
        <w:rPr>
          <w:rFonts w:asciiTheme="majorHAnsi" w:hAnsiTheme="majorHAnsi" w:cstheme="majorHAnsi"/>
        </w:rPr>
        <w:t>oznámena</w:t>
      </w:r>
      <w:r w:rsidRPr="00F5583A">
        <w:rPr>
          <w:rFonts w:asciiTheme="majorHAnsi" w:hAnsiTheme="majorHAnsi" w:cstheme="majorHAnsi"/>
        </w:rPr>
        <w:t xml:space="preserve"> v lednu 2020 a </w:t>
      </w:r>
      <w:r w:rsidR="00D41BCE" w:rsidRPr="00F5583A">
        <w:rPr>
          <w:rFonts w:asciiTheme="majorHAnsi" w:hAnsiTheme="majorHAnsi" w:cstheme="majorHAnsi"/>
        </w:rPr>
        <w:t>také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větší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množství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zakázek</w:t>
      </w:r>
      <w:r w:rsidRPr="00F5583A">
        <w:rPr>
          <w:rFonts w:asciiTheme="majorHAnsi" w:hAnsiTheme="majorHAnsi" w:cstheme="majorHAnsi"/>
        </w:rPr>
        <w:t xml:space="preserve"> </w:t>
      </w:r>
      <w:r w:rsidR="00D41BCE" w:rsidRPr="00F5583A">
        <w:rPr>
          <w:rFonts w:asciiTheme="majorHAnsi" w:hAnsiTheme="majorHAnsi" w:cstheme="majorHAnsi"/>
        </w:rPr>
        <w:t>dopravní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infrastruktury z prosince 2020. Pokud bychom modelově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posuzovali pouze </w:t>
      </w:r>
      <w:r w:rsidR="00D41BCE" w:rsidRPr="00F5583A">
        <w:rPr>
          <w:rFonts w:asciiTheme="majorHAnsi" w:hAnsiTheme="majorHAnsi" w:cstheme="majorHAnsi"/>
        </w:rPr>
        <w:t>zakázky</w:t>
      </w:r>
      <w:r w:rsidRPr="00F5583A">
        <w:rPr>
          <w:rFonts w:asciiTheme="majorHAnsi" w:hAnsiTheme="majorHAnsi" w:cstheme="majorHAnsi"/>
        </w:rPr>
        <w:t xml:space="preserve"> s hodnotou pod 1 mld. Kč, dostaneme</w:t>
      </w:r>
      <w:r w:rsidR="00D41BCE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meziroční</w:t>
      </w:r>
      <w:r w:rsidRPr="00F5583A">
        <w:rPr>
          <w:rFonts w:asciiTheme="majorHAnsi" w:hAnsiTheme="majorHAnsi" w:cstheme="majorHAnsi"/>
        </w:rPr>
        <w:t xml:space="preserve"> pokles hodnoty </w:t>
      </w:r>
      <w:r w:rsidR="00F00FBC" w:rsidRPr="00F5583A">
        <w:rPr>
          <w:rFonts w:asciiTheme="majorHAnsi" w:hAnsiTheme="majorHAnsi" w:cstheme="majorHAnsi"/>
        </w:rPr>
        <w:t>oznámených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zakázek</w:t>
      </w:r>
      <w:r w:rsidRPr="00F5583A">
        <w:rPr>
          <w:rFonts w:asciiTheme="majorHAnsi" w:hAnsiTheme="majorHAnsi" w:cstheme="majorHAnsi"/>
        </w:rPr>
        <w:t xml:space="preserve"> o 1,4 %.</w:t>
      </w:r>
      <w:r w:rsidR="00F5583A" w:rsidRPr="00F5583A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F5583A">
        <w:rPr>
          <w:rFonts w:asciiTheme="majorHAnsi" w:hAnsiTheme="majorHAnsi" w:cstheme="majorHAnsi"/>
          <w:i/>
          <w:iCs/>
          <w:color w:val="000000"/>
        </w:rPr>
        <w:t>„</w:t>
      </w:r>
      <w:r w:rsidR="00F5583A" w:rsidRPr="00F5583A">
        <w:rPr>
          <w:rFonts w:asciiTheme="majorHAnsi" w:hAnsiTheme="majorHAnsi" w:cstheme="majorHAnsi"/>
          <w:i/>
          <w:iCs/>
          <w:color w:val="000000"/>
        </w:rPr>
        <w:t>Stát i velká města mají naplánováno spoustu významných investic a uvědomují si nutnost v tomto trendu pokračovat, a to nejen v oblasti dopravních staveb. Realizují se nové dálniční úseky, pokračuje výstavba obchvatů měst, v dohledné době by se měla rozběhnout stavba čtvrté linky pražského metra, jsou připraveny investice do zdravotnictví a zcela jistě budou realizovány investice do posílení armádní infrastruktury. Pozitivně vnímám přísliby vlády o navyšování investic do veřejné infrastruktury, uvidíme, nakolik současná makroekonomická situace umožní je naplnit.</w:t>
      </w:r>
      <w:r w:rsidR="00F5583A">
        <w:rPr>
          <w:rFonts w:asciiTheme="majorHAnsi" w:hAnsiTheme="majorHAnsi" w:cstheme="majorHAnsi"/>
          <w:i/>
          <w:iCs/>
          <w:color w:val="000000"/>
        </w:rPr>
        <w:t xml:space="preserve">“ </w:t>
      </w:r>
      <w:r w:rsidR="00F5583A" w:rsidRPr="00F5583A">
        <w:rPr>
          <w:rFonts w:asciiTheme="majorHAnsi" w:hAnsiTheme="majorHAnsi" w:cstheme="majorHAnsi"/>
          <w:color w:val="000000"/>
        </w:rPr>
        <w:t>dodáv</w:t>
      </w:r>
      <w:r w:rsidR="00F5583A">
        <w:rPr>
          <w:rFonts w:asciiTheme="majorHAnsi" w:hAnsiTheme="majorHAnsi" w:cstheme="majorHAnsi"/>
          <w:color w:val="000000"/>
        </w:rPr>
        <w:t>á k předpokládanému vývoji zakázek</w:t>
      </w:r>
      <w:r w:rsidR="00F5583A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F5583A" w:rsidRPr="00F5583A">
        <w:rPr>
          <w:rFonts w:asciiTheme="majorHAnsi" w:hAnsiTheme="majorHAnsi" w:cstheme="majorHAnsi"/>
          <w:b/>
          <w:bCs/>
          <w:color w:val="000000"/>
        </w:rPr>
        <w:t>Tomáš Koranda</w:t>
      </w:r>
      <w:r w:rsidR="00F5583A" w:rsidRPr="00F5583A">
        <w:rPr>
          <w:rFonts w:asciiTheme="majorHAnsi" w:hAnsiTheme="majorHAnsi" w:cstheme="majorHAnsi"/>
          <w:b/>
          <w:bCs/>
          <w:i/>
          <w:iCs/>
          <w:color w:val="000000"/>
        </w:rPr>
        <w:t xml:space="preserve">, </w:t>
      </w:r>
      <w:r w:rsidR="00F5583A" w:rsidRPr="00F5583A">
        <w:rPr>
          <w:rFonts w:asciiTheme="majorHAnsi" w:hAnsiTheme="majorHAnsi" w:cstheme="majorHAnsi"/>
          <w:b/>
          <w:bCs/>
          <w:color w:val="000000"/>
        </w:rPr>
        <w:t>CEO a předseda představenstva společnosti HOCHTIEF CZ a.s.</w:t>
      </w:r>
    </w:p>
    <w:p w14:paraId="64116A51" w14:textId="05AAD327" w:rsidR="00872344" w:rsidRDefault="00872344" w:rsidP="00872344">
      <w:pPr>
        <w:rPr>
          <w:rFonts w:asciiTheme="majorHAnsi" w:hAnsiTheme="majorHAnsi" w:cstheme="majorHAnsi"/>
        </w:rPr>
      </w:pPr>
    </w:p>
    <w:p w14:paraId="3864A47E" w14:textId="77777777" w:rsidR="00F5583A" w:rsidRPr="00F5583A" w:rsidRDefault="00F5583A" w:rsidP="00F5583A">
      <w:pPr>
        <w:rPr>
          <w:rFonts w:asciiTheme="majorHAnsi" w:hAnsiTheme="majorHAnsi" w:cstheme="majorHAnsi"/>
          <w:bCs/>
        </w:rPr>
      </w:pPr>
      <w:r w:rsidRPr="00F5583A">
        <w:rPr>
          <w:rFonts w:asciiTheme="majorHAnsi" w:hAnsiTheme="majorHAnsi" w:cstheme="majorHAnsi"/>
          <w:b/>
          <w:bCs/>
        </w:rPr>
        <w:t xml:space="preserve">Meziroční změny oznámení o zakázce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1739"/>
        <w:gridCol w:w="1065"/>
        <w:gridCol w:w="1045"/>
        <w:gridCol w:w="1064"/>
        <w:gridCol w:w="1072"/>
        <w:gridCol w:w="1040"/>
        <w:gridCol w:w="1066"/>
      </w:tblGrid>
      <w:tr w:rsidR="00F5583A" w:rsidRPr="00F5583A" w14:paraId="73B906AD" w14:textId="77777777" w:rsidTr="00125AE0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8073FBB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Stavební zakázky</w:t>
            </w:r>
          </w:p>
        </w:tc>
        <w:tc>
          <w:tcPr>
            <w:tcW w:w="3223" w:type="dxa"/>
            <w:gridSpan w:val="3"/>
            <w:vAlign w:val="center"/>
          </w:tcPr>
          <w:p w14:paraId="1924A720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14:paraId="2E2C4753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Hodnota</w:t>
            </w:r>
          </w:p>
        </w:tc>
      </w:tr>
      <w:tr w:rsidR="00F5583A" w:rsidRPr="00F5583A" w14:paraId="5C12CEDD" w14:textId="77777777" w:rsidTr="00125AE0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C421EA6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E8D43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1DB3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E65E79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C3514D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Meziroční změna v %</w:t>
            </w:r>
          </w:p>
        </w:tc>
      </w:tr>
      <w:tr w:rsidR="00F5583A" w:rsidRPr="00F5583A" w14:paraId="0FE705E2" w14:textId="77777777" w:rsidTr="00125AE0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14:paraId="5896D098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14:paraId="2CCD4F08" w14:textId="77777777" w:rsidR="00F5583A" w:rsidRPr="00F5583A" w:rsidRDefault="00F5583A" w:rsidP="00125AE0">
            <w:pPr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B5DAA64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420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5E98EB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4F1D3A00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+7,4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2F46E88B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49 609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53EE78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04F0407F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+31,0</w:t>
            </w:r>
          </w:p>
        </w:tc>
      </w:tr>
      <w:tr w:rsidR="00F5583A" w:rsidRPr="00F5583A" w14:paraId="426BD578" w14:textId="77777777" w:rsidTr="00125AE0">
        <w:trPr>
          <w:cantSplit/>
          <w:trHeight w:val="284"/>
        </w:trPr>
        <w:tc>
          <w:tcPr>
            <w:tcW w:w="918" w:type="dxa"/>
            <w:vMerge/>
            <w:vAlign w:val="center"/>
          </w:tcPr>
          <w:p w14:paraId="2CD955FE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14:paraId="28C4AF2A" w14:textId="77777777" w:rsidR="00F5583A" w:rsidRPr="00F5583A" w:rsidRDefault="00F5583A" w:rsidP="00125AE0">
            <w:pPr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C80B973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383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7266E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5769FF89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-5,7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87CFFBE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35 030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6BCEC1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58E77477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+16,2</w:t>
            </w:r>
          </w:p>
        </w:tc>
      </w:tr>
      <w:tr w:rsidR="00F5583A" w:rsidRPr="00F5583A" w14:paraId="7ED6A3AD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bottom w:val="nil"/>
            </w:tcBorders>
            <w:vAlign w:val="center"/>
          </w:tcPr>
          <w:p w14:paraId="3DE92713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14:paraId="348CCC82" w14:textId="77777777" w:rsidR="00F5583A" w:rsidRPr="00F5583A" w:rsidRDefault="00F5583A" w:rsidP="00125AE0">
            <w:pPr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88E7171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349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2CA34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1F33F1AD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-5,4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26CB49F3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39 793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E0A96C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48D06C46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+7,4</w:t>
            </w:r>
          </w:p>
        </w:tc>
      </w:tr>
      <w:tr w:rsidR="00F5583A" w:rsidRPr="00F5583A" w14:paraId="0F6A384D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14:paraId="0B52136B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14:paraId="66BFB52D" w14:textId="77777777" w:rsidR="00F5583A" w:rsidRPr="00F5583A" w:rsidRDefault="00F5583A" w:rsidP="00125AE0">
            <w:pPr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3968039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353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1F4BC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6ED68498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+9,0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36A9B32E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55 783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4BBE35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1FCCD092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+50,7</w:t>
            </w:r>
          </w:p>
        </w:tc>
      </w:tr>
      <w:tr w:rsidR="00F5583A" w:rsidRPr="00F5583A" w14:paraId="0FCA9352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14:paraId="78FE8B7B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DFA6" w14:textId="77777777" w:rsidR="00F5583A" w:rsidRPr="00F5583A" w:rsidRDefault="00F5583A" w:rsidP="00125AE0">
            <w:pPr>
              <w:rPr>
                <w:rFonts w:asciiTheme="majorHAnsi" w:hAnsiTheme="majorHAnsi" w:cstheme="majorHAnsi"/>
                <w:b/>
                <w:bCs/>
              </w:rPr>
            </w:pPr>
            <w:r w:rsidRPr="00F5583A">
              <w:rPr>
                <w:rFonts w:asciiTheme="majorHAnsi" w:hAnsiTheme="majorHAnsi" w:cstheme="majorHAnsi"/>
                <w:b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F45C7C9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5583A">
              <w:rPr>
                <w:rFonts w:asciiTheme="majorHAnsi" w:hAnsiTheme="majorHAnsi" w:cstheme="majorHAnsi"/>
                <w:b/>
              </w:rPr>
              <w:t>1 505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E33BF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02E41C67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5583A">
              <w:rPr>
                <w:rFonts w:asciiTheme="majorHAnsi" w:hAnsiTheme="majorHAnsi" w:cstheme="majorHAnsi"/>
                <w:b/>
                <w:bCs/>
              </w:rPr>
              <w:t>+1,0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04225232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5583A">
              <w:rPr>
                <w:rFonts w:asciiTheme="majorHAnsi" w:hAnsiTheme="majorHAnsi" w:cstheme="majorHAnsi"/>
                <w:b/>
              </w:rPr>
              <w:t>180 216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B7F32D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32F8D9DC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5583A">
              <w:rPr>
                <w:rFonts w:asciiTheme="majorHAnsi" w:hAnsiTheme="majorHAnsi" w:cstheme="majorHAnsi"/>
                <w:b/>
                <w:bCs/>
              </w:rPr>
              <w:t>+26,8</w:t>
            </w:r>
          </w:p>
        </w:tc>
      </w:tr>
      <w:tr w:rsidR="00F5583A" w:rsidRPr="00F5583A" w14:paraId="0E7F3BD1" w14:textId="77777777" w:rsidTr="00125AE0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14:paraId="69826A12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14:paraId="4B2C1C5A" w14:textId="77777777" w:rsidR="00F5583A" w:rsidRPr="00F5583A" w:rsidRDefault="00F5583A" w:rsidP="00125AE0">
            <w:pPr>
              <w:rPr>
                <w:rFonts w:asciiTheme="majorHAnsi" w:hAnsiTheme="majorHAnsi" w:cstheme="majorHAnsi"/>
                <w:b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764888C0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407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B328B5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0F2D8472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-3,1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603EB0F9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34 190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183D10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1CEB6B47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-31,1</w:t>
            </w:r>
          </w:p>
        </w:tc>
      </w:tr>
      <w:tr w:rsidR="00F5583A" w:rsidRPr="00F5583A" w14:paraId="17A20F1F" w14:textId="77777777" w:rsidTr="00125AE0">
        <w:trPr>
          <w:cantSplit/>
          <w:trHeight w:val="284"/>
        </w:trPr>
        <w:tc>
          <w:tcPr>
            <w:tcW w:w="918" w:type="dxa"/>
            <w:vMerge/>
            <w:vAlign w:val="center"/>
          </w:tcPr>
          <w:p w14:paraId="42267D2B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14:paraId="599CB5F5" w14:textId="77777777" w:rsidR="00F5583A" w:rsidRPr="00F5583A" w:rsidRDefault="00F5583A" w:rsidP="00125AE0">
            <w:pPr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BFD61F3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441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3A155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0A71360A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+15,1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3432D05C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39 355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703224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174044F4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+12,3</w:t>
            </w:r>
          </w:p>
        </w:tc>
      </w:tr>
      <w:tr w:rsidR="00F5583A" w:rsidRPr="00F5583A" w14:paraId="20EB2455" w14:textId="77777777" w:rsidTr="00125AE0">
        <w:trPr>
          <w:cantSplit/>
          <w:trHeight w:val="284"/>
        </w:trPr>
        <w:tc>
          <w:tcPr>
            <w:tcW w:w="918" w:type="dxa"/>
            <w:vMerge/>
            <w:vAlign w:val="center"/>
          </w:tcPr>
          <w:p w14:paraId="3F2AE0DE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14:paraId="6B017EDC" w14:textId="77777777" w:rsidR="00F5583A" w:rsidRPr="00F5583A" w:rsidRDefault="00F5583A" w:rsidP="00125AE0">
            <w:pPr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36CB270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319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6378B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458DCCED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-8,6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6BFB7CA2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26 636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E93935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73445E86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-33,1</w:t>
            </w:r>
          </w:p>
        </w:tc>
      </w:tr>
      <w:tr w:rsidR="00F5583A" w:rsidRPr="00F5583A" w14:paraId="6C9A25D5" w14:textId="77777777" w:rsidTr="00125AE0">
        <w:trPr>
          <w:cantSplit/>
          <w:trHeight w:val="284"/>
        </w:trPr>
        <w:tc>
          <w:tcPr>
            <w:tcW w:w="918" w:type="dxa"/>
            <w:vMerge/>
            <w:vAlign w:val="center"/>
          </w:tcPr>
          <w:p w14:paraId="77DD88D9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14:paraId="08D7E0F9" w14:textId="77777777" w:rsidR="00F5583A" w:rsidRPr="00F5583A" w:rsidRDefault="00F5583A" w:rsidP="00125AE0">
            <w:pPr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CDE78E9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406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17549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478D47E9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+15,0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20CA00C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</w:rPr>
            </w:pPr>
            <w:r w:rsidRPr="00F5583A">
              <w:rPr>
                <w:rFonts w:asciiTheme="majorHAnsi" w:hAnsiTheme="majorHAnsi" w:cstheme="majorHAnsi"/>
              </w:rPr>
              <w:t>52 302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649D24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73ED2B11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F5583A">
              <w:rPr>
                <w:rFonts w:asciiTheme="majorHAnsi" w:hAnsiTheme="majorHAnsi" w:cstheme="majorHAnsi"/>
                <w:bCs/>
              </w:rPr>
              <w:t>-6,2</w:t>
            </w:r>
          </w:p>
        </w:tc>
      </w:tr>
      <w:tr w:rsidR="00F5583A" w:rsidRPr="00F5583A" w14:paraId="3F0A52BC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14:paraId="70AA438D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E7D12" w14:textId="77777777" w:rsidR="00F5583A" w:rsidRPr="00F5583A" w:rsidRDefault="00F5583A" w:rsidP="00125AE0">
            <w:pPr>
              <w:rPr>
                <w:rFonts w:asciiTheme="majorHAnsi" w:hAnsiTheme="majorHAnsi" w:cstheme="majorHAnsi"/>
                <w:b/>
              </w:rPr>
            </w:pPr>
            <w:r w:rsidRPr="00F5583A">
              <w:rPr>
                <w:rFonts w:asciiTheme="majorHAnsi" w:hAnsiTheme="majorHAnsi" w:cstheme="majorHAnsi"/>
                <w:b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E40F754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5583A">
              <w:rPr>
                <w:rFonts w:asciiTheme="majorHAnsi" w:hAnsiTheme="majorHAnsi" w:cstheme="majorHAnsi"/>
                <w:b/>
              </w:rPr>
              <w:t>1 573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5D188D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47839431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5583A">
              <w:rPr>
                <w:rFonts w:asciiTheme="majorHAnsi" w:hAnsiTheme="majorHAnsi" w:cstheme="majorHAnsi"/>
                <w:b/>
              </w:rPr>
              <w:t>+4,5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DD8F3C5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5583A">
              <w:rPr>
                <w:rFonts w:asciiTheme="majorHAnsi" w:hAnsiTheme="majorHAnsi" w:cstheme="majorHAnsi"/>
                <w:b/>
              </w:rPr>
              <w:t>152 482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0C897C" w14:textId="77777777" w:rsidR="00F5583A" w:rsidRPr="00F5583A" w:rsidRDefault="00F5583A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F5583A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27032760" w14:textId="77777777" w:rsidR="00F5583A" w:rsidRPr="00F5583A" w:rsidRDefault="00F5583A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5583A">
              <w:rPr>
                <w:rFonts w:asciiTheme="majorHAnsi" w:hAnsiTheme="majorHAnsi" w:cstheme="majorHAnsi"/>
                <w:b/>
              </w:rPr>
              <w:t>-15,4</w:t>
            </w:r>
          </w:p>
        </w:tc>
      </w:tr>
    </w:tbl>
    <w:p w14:paraId="0A14CD5E" w14:textId="77777777" w:rsidR="00F5583A" w:rsidRPr="00F5583A" w:rsidRDefault="00F5583A" w:rsidP="00F5583A">
      <w:pPr>
        <w:rPr>
          <w:rFonts w:asciiTheme="majorHAnsi" w:hAnsiTheme="majorHAnsi" w:cstheme="majorHAnsi"/>
          <w:bCs/>
        </w:rPr>
      </w:pPr>
      <w:r w:rsidRPr="00F5583A">
        <w:rPr>
          <w:rFonts w:asciiTheme="majorHAnsi" w:hAnsiTheme="majorHAnsi" w:cstheme="majorHAnsi"/>
          <w:bCs/>
        </w:rPr>
        <w:t>Zdroj: Věstník veřejných zakázek, výpočty CEEC Research</w:t>
      </w:r>
    </w:p>
    <w:p w14:paraId="50D55C14" w14:textId="77777777" w:rsidR="00D41BCE" w:rsidRDefault="00D41BCE" w:rsidP="00F5583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1ECB17B8" w14:textId="027DDAAE" w:rsidR="00872344" w:rsidRPr="00F5583A" w:rsidRDefault="00F00FBC" w:rsidP="00F5583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F5583A">
        <w:rPr>
          <w:rFonts w:asciiTheme="majorHAnsi" w:hAnsiTheme="majorHAnsi" w:cstheme="majorHAnsi"/>
        </w:rPr>
        <w:t>Určitá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část</w:t>
      </w:r>
      <w:r w:rsidR="00872344" w:rsidRPr="00F5583A">
        <w:rPr>
          <w:rFonts w:asciiTheme="majorHAnsi" w:hAnsiTheme="majorHAnsi" w:cstheme="majorHAnsi"/>
        </w:rPr>
        <w:t xml:space="preserve"> z </w:t>
      </w:r>
      <w:r w:rsidRPr="00F5583A">
        <w:rPr>
          <w:rFonts w:asciiTheme="majorHAnsi" w:hAnsiTheme="majorHAnsi" w:cstheme="majorHAnsi"/>
        </w:rPr>
        <w:t>oznámených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zakázek</w:t>
      </w:r>
      <w:r w:rsidR="00872344" w:rsidRPr="00F5583A">
        <w:rPr>
          <w:rFonts w:asciiTheme="majorHAnsi" w:hAnsiTheme="majorHAnsi" w:cstheme="majorHAnsi"/>
        </w:rPr>
        <w:t xml:space="preserve"> je v </w:t>
      </w:r>
      <w:r w:rsidRPr="00F5583A">
        <w:rPr>
          <w:rFonts w:asciiTheme="majorHAnsi" w:hAnsiTheme="majorHAnsi" w:cstheme="majorHAnsi"/>
        </w:rPr>
        <w:t>následujících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měsících</w:t>
      </w:r>
      <w:r w:rsidR="00F5583A">
        <w:rPr>
          <w:rFonts w:asciiTheme="majorHAnsi" w:hAnsiTheme="majorHAnsi" w:cstheme="majorHAnsi"/>
        </w:rPr>
        <w:t xml:space="preserve"> </w:t>
      </w:r>
      <w:r w:rsidR="00872344" w:rsidRPr="00F5583A">
        <w:rPr>
          <w:rFonts w:asciiTheme="majorHAnsi" w:hAnsiTheme="majorHAnsi" w:cstheme="majorHAnsi"/>
        </w:rPr>
        <w:t xml:space="preserve">zrušena a </w:t>
      </w:r>
      <w:r w:rsidRPr="00F5583A">
        <w:rPr>
          <w:rFonts w:asciiTheme="majorHAnsi" w:hAnsiTheme="majorHAnsi" w:cstheme="majorHAnsi"/>
        </w:rPr>
        <w:t>některé</w:t>
      </w:r>
      <w:r w:rsidR="00872344" w:rsidRPr="00F5583A">
        <w:rPr>
          <w:rFonts w:asciiTheme="majorHAnsi" w:hAnsiTheme="majorHAnsi" w:cstheme="majorHAnsi"/>
        </w:rPr>
        <w:t xml:space="preserve"> z nich mohou </w:t>
      </w:r>
      <w:r w:rsidR="006F65E1" w:rsidRPr="00F5583A">
        <w:rPr>
          <w:rFonts w:asciiTheme="majorHAnsi" w:hAnsiTheme="majorHAnsi" w:cstheme="majorHAnsi"/>
        </w:rPr>
        <w:t>být</w:t>
      </w:r>
      <w:r w:rsidR="00872344" w:rsidRPr="00F5583A">
        <w:rPr>
          <w:rFonts w:asciiTheme="majorHAnsi" w:hAnsiTheme="majorHAnsi" w:cstheme="majorHAnsi"/>
        </w:rPr>
        <w:t xml:space="preserve"> znovu </w:t>
      </w:r>
      <w:r w:rsidRPr="00F5583A">
        <w:rPr>
          <w:rFonts w:asciiTheme="majorHAnsi" w:hAnsiTheme="majorHAnsi" w:cstheme="majorHAnsi"/>
        </w:rPr>
        <w:t>oznámeny</w:t>
      </w:r>
      <w:r w:rsidR="00872344" w:rsidRPr="00F5583A">
        <w:rPr>
          <w:rFonts w:asciiTheme="majorHAnsi" w:hAnsiTheme="majorHAnsi" w:cstheme="majorHAnsi"/>
        </w:rPr>
        <w:t xml:space="preserve"> jako</w:t>
      </w:r>
      <w:r w:rsid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další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zakázka</w:t>
      </w:r>
      <w:r w:rsidR="00872344" w:rsidRPr="00F5583A">
        <w:rPr>
          <w:rFonts w:asciiTheme="majorHAnsi" w:hAnsiTheme="majorHAnsi" w:cstheme="majorHAnsi"/>
        </w:rPr>
        <w:t xml:space="preserve">. Ze </w:t>
      </w:r>
      <w:r w:rsidRPr="00F5583A">
        <w:rPr>
          <w:rFonts w:asciiTheme="majorHAnsi" w:hAnsiTheme="majorHAnsi" w:cstheme="majorHAnsi"/>
        </w:rPr>
        <w:t>zakázek</w:t>
      </w:r>
      <w:r w:rsidR="00872344" w:rsidRPr="00F5583A">
        <w:rPr>
          <w:rFonts w:asciiTheme="majorHAnsi" w:hAnsiTheme="majorHAnsi" w:cstheme="majorHAnsi"/>
        </w:rPr>
        <w:t xml:space="preserve">, </w:t>
      </w:r>
      <w:r w:rsidRPr="00F5583A">
        <w:rPr>
          <w:rFonts w:asciiTheme="majorHAnsi" w:hAnsiTheme="majorHAnsi" w:cstheme="majorHAnsi"/>
        </w:rPr>
        <w:t>které</w:t>
      </w:r>
      <w:r w:rsidR="00872344" w:rsidRPr="00F5583A">
        <w:rPr>
          <w:rFonts w:asciiTheme="majorHAnsi" w:hAnsiTheme="majorHAnsi" w:cstheme="majorHAnsi"/>
        </w:rPr>
        <w:t xml:space="preserve"> byly </w:t>
      </w:r>
      <w:r w:rsidRPr="00F5583A">
        <w:rPr>
          <w:rFonts w:asciiTheme="majorHAnsi" w:hAnsiTheme="majorHAnsi" w:cstheme="majorHAnsi"/>
        </w:rPr>
        <w:t>oznámeny</w:t>
      </w:r>
      <w:r w:rsidR="00872344" w:rsidRPr="00F5583A">
        <w:rPr>
          <w:rFonts w:asciiTheme="majorHAnsi" w:hAnsiTheme="majorHAnsi" w:cstheme="majorHAnsi"/>
        </w:rPr>
        <w:t xml:space="preserve"> v roce 2021,</w:t>
      </w:r>
      <w:r w:rsidR="00F5583A">
        <w:rPr>
          <w:rFonts w:asciiTheme="majorHAnsi" w:hAnsiTheme="majorHAnsi" w:cstheme="majorHAnsi"/>
        </w:rPr>
        <w:t xml:space="preserve"> </w:t>
      </w:r>
      <w:r w:rsidR="00872344" w:rsidRPr="00F5583A">
        <w:rPr>
          <w:rFonts w:asciiTheme="majorHAnsi" w:hAnsiTheme="majorHAnsi" w:cstheme="majorHAnsi"/>
        </w:rPr>
        <w:t xml:space="preserve">bylo zrušeno 7 %. Rušeni </w:t>
      </w:r>
      <w:r w:rsidRPr="00F5583A">
        <w:rPr>
          <w:rFonts w:asciiTheme="majorHAnsi" w:hAnsiTheme="majorHAnsi" w:cstheme="majorHAnsi"/>
        </w:rPr>
        <w:t>oznámených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zakázek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má</w:t>
      </w:r>
      <w:r w:rsidR="00872344" w:rsidRPr="00F5583A">
        <w:rPr>
          <w:rFonts w:asciiTheme="majorHAnsi" w:hAnsiTheme="majorHAnsi" w:cstheme="majorHAnsi"/>
        </w:rPr>
        <w:t xml:space="preserve"> vliv </w:t>
      </w:r>
      <w:r w:rsidRPr="00F5583A">
        <w:rPr>
          <w:rFonts w:asciiTheme="majorHAnsi" w:hAnsiTheme="majorHAnsi" w:cstheme="majorHAnsi"/>
        </w:rPr>
        <w:t>také</w:t>
      </w:r>
      <w:r w:rsidR="00872344" w:rsidRPr="00F5583A">
        <w:rPr>
          <w:rFonts w:asciiTheme="majorHAnsi" w:hAnsiTheme="majorHAnsi" w:cstheme="majorHAnsi"/>
        </w:rPr>
        <w:t xml:space="preserve"> na</w:t>
      </w:r>
      <w:r w:rsidR="00F5583A">
        <w:rPr>
          <w:rFonts w:asciiTheme="majorHAnsi" w:hAnsiTheme="majorHAnsi" w:cstheme="majorHAnsi"/>
        </w:rPr>
        <w:t xml:space="preserve"> </w:t>
      </w:r>
      <w:r w:rsidR="00872344" w:rsidRPr="00F5583A">
        <w:rPr>
          <w:rFonts w:asciiTheme="majorHAnsi" w:hAnsiTheme="majorHAnsi" w:cstheme="majorHAnsi"/>
        </w:rPr>
        <w:t xml:space="preserve">jejich </w:t>
      </w:r>
      <w:r w:rsidRPr="00F5583A">
        <w:rPr>
          <w:rFonts w:asciiTheme="majorHAnsi" w:hAnsiTheme="majorHAnsi" w:cstheme="majorHAnsi"/>
        </w:rPr>
        <w:t>celkový</w:t>
      </w:r>
      <w:r w:rsidR="00872344" w:rsidRPr="00F5583A">
        <w:rPr>
          <w:rFonts w:asciiTheme="majorHAnsi" w:hAnsiTheme="majorHAnsi" w:cstheme="majorHAnsi"/>
        </w:rPr>
        <w:t xml:space="preserve"> objem, </w:t>
      </w:r>
      <w:r w:rsidRPr="00F5583A">
        <w:rPr>
          <w:rFonts w:asciiTheme="majorHAnsi" w:hAnsiTheme="majorHAnsi" w:cstheme="majorHAnsi"/>
        </w:rPr>
        <w:t>který</w:t>
      </w:r>
      <w:r w:rsidR="00872344" w:rsidRPr="00F5583A">
        <w:rPr>
          <w:rFonts w:asciiTheme="majorHAnsi" w:hAnsiTheme="majorHAnsi" w:cstheme="majorHAnsi"/>
        </w:rPr>
        <w:t xml:space="preserve"> do </w:t>
      </w:r>
      <w:r w:rsidRPr="00F5583A">
        <w:rPr>
          <w:rFonts w:asciiTheme="majorHAnsi" w:hAnsiTheme="majorHAnsi" w:cstheme="majorHAnsi"/>
        </w:rPr>
        <w:t>značn</w:t>
      </w:r>
      <w:r>
        <w:rPr>
          <w:rFonts w:asciiTheme="majorHAnsi" w:hAnsiTheme="majorHAnsi" w:cstheme="majorHAnsi"/>
        </w:rPr>
        <w:t>é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míry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závisí</w:t>
      </w:r>
      <w:r w:rsidR="00872344" w:rsidRPr="00F5583A">
        <w:rPr>
          <w:rFonts w:asciiTheme="majorHAnsi" w:hAnsiTheme="majorHAnsi" w:cstheme="majorHAnsi"/>
        </w:rPr>
        <w:t xml:space="preserve"> na velikosti</w:t>
      </w:r>
      <w:r w:rsid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zrušené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zakázky</w:t>
      </w:r>
      <w:r w:rsidR="00872344" w:rsidRPr="00F5583A">
        <w:rPr>
          <w:rFonts w:asciiTheme="majorHAnsi" w:hAnsiTheme="majorHAnsi" w:cstheme="majorHAnsi"/>
        </w:rPr>
        <w:t xml:space="preserve">. Pokud se </w:t>
      </w:r>
      <w:r w:rsidRPr="00F5583A">
        <w:rPr>
          <w:rFonts w:asciiTheme="majorHAnsi" w:hAnsiTheme="majorHAnsi" w:cstheme="majorHAnsi"/>
        </w:rPr>
        <w:t>zruší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velká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zakázka</w:t>
      </w:r>
      <w:r w:rsidR="00872344" w:rsidRPr="00F5583A">
        <w:rPr>
          <w:rFonts w:asciiTheme="majorHAnsi" w:hAnsiTheme="majorHAnsi" w:cstheme="majorHAnsi"/>
        </w:rPr>
        <w:t xml:space="preserve">, </w:t>
      </w:r>
      <w:r w:rsidR="006F65E1" w:rsidRPr="00F5583A">
        <w:rPr>
          <w:rFonts w:asciiTheme="majorHAnsi" w:hAnsiTheme="majorHAnsi" w:cstheme="majorHAnsi"/>
        </w:rPr>
        <w:t>má</w:t>
      </w:r>
      <w:r w:rsidR="00872344" w:rsidRPr="00F5583A">
        <w:rPr>
          <w:rFonts w:asciiTheme="majorHAnsi" w:hAnsiTheme="majorHAnsi" w:cstheme="majorHAnsi"/>
        </w:rPr>
        <w:t xml:space="preserve"> to </w:t>
      </w:r>
      <w:r w:rsidRPr="00F5583A">
        <w:rPr>
          <w:rFonts w:asciiTheme="majorHAnsi" w:hAnsiTheme="majorHAnsi" w:cstheme="majorHAnsi"/>
        </w:rPr>
        <w:t>větší</w:t>
      </w:r>
      <w:r w:rsidR="00F5583A">
        <w:rPr>
          <w:rFonts w:asciiTheme="majorHAnsi" w:hAnsiTheme="majorHAnsi" w:cstheme="majorHAnsi"/>
        </w:rPr>
        <w:t xml:space="preserve"> </w:t>
      </w:r>
      <w:proofErr w:type="gramStart"/>
      <w:r w:rsidR="006F65E1" w:rsidRPr="00F5583A">
        <w:rPr>
          <w:rFonts w:asciiTheme="majorHAnsi" w:hAnsiTheme="majorHAnsi" w:cstheme="majorHAnsi"/>
        </w:rPr>
        <w:t>vliv</w:t>
      </w:r>
      <w:proofErr w:type="gramEnd"/>
      <w:r w:rsidR="00872344" w:rsidRPr="00F5583A">
        <w:rPr>
          <w:rFonts w:asciiTheme="majorHAnsi" w:hAnsiTheme="majorHAnsi" w:cstheme="majorHAnsi"/>
        </w:rPr>
        <w:t xml:space="preserve"> než zrušeni </w:t>
      </w:r>
      <w:r w:rsidRPr="00F5583A">
        <w:rPr>
          <w:rFonts w:asciiTheme="majorHAnsi" w:hAnsiTheme="majorHAnsi" w:cstheme="majorHAnsi"/>
        </w:rPr>
        <w:t>většího</w:t>
      </w:r>
      <w:r w:rsidR="00872344" w:rsidRPr="00F5583A">
        <w:rPr>
          <w:rFonts w:asciiTheme="majorHAnsi" w:hAnsiTheme="majorHAnsi" w:cstheme="majorHAnsi"/>
        </w:rPr>
        <w:t xml:space="preserve"> počtu </w:t>
      </w:r>
      <w:r w:rsidRPr="00F5583A">
        <w:rPr>
          <w:rFonts w:asciiTheme="majorHAnsi" w:hAnsiTheme="majorHAnsi" w:cstheme="majorHAnsi"/>
        </w:rPr>
        <w:t>zakázek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menších</w:t>
      </w:r>
      <w:r w:rsidR="00872344" w:rsidRPr="00F5583A">
        <w:rPr>
          <w:rFonts w:asciiTheme="majorHAnsi" w:hAnsiTheme="majorHAnsi" w:cstheme="majorHAnsi"/>
        </w:rPr>
        <w:t xml:space="preserve">. Co se </w:t>
      </w:r>
      <w:r w:rsidRPr="00F5583A">
        <w:rPr>
          <w:rFonts w:asciiTheme="majorHAnsi" w:hAnsiTheme="majorHAnsi" w:cstheme="majorHAnsi"/>
        </w:rPr>
        <w:t>tyká</w:t>
      </w:r>
      <w:r w:rsid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předběžného</w:t>
      </w:r>
      <w:r w:rsidR="00872344" w:rsidRPr="00F5583A">
        <w:rPr>
          <w:rFonts w:asciiTheme="majorHAnsi" w:hAnsiTheme="majorHAnsi" w:cstheme="majorHAnsi"/>
        </w:rPr>
        <w:t xml:space="preserve"> objemu, byly </w:t>
      </w:r>
      <w:r w:rsidRPr="00F5583A">
        <w:rPr>
          <w:rFonts w:asciiTheme="majorHAnsi" w:hAnsiTheme="majorHAnsi" w:cstheme="majorHAnsi"/>
        </w:rPr>
        <w:t>zatím</w:t>
      </w:r>
      <w:r w:rsidR="00872344" w:rsidRPr="00F5583A">
        <w:rPr>
          <w:rFonts w:asciiTheme="majorHAnsi" w:hAnsiTheme="majorHAnsi" w:cstheme="majorHAnsi"/>
        </w:rPr>
        <w:t xml:space="preserve"> zrušeny 3 % z </w:t>
      </w:r>
      <w:r w:rsidRPr="00F5583A">
        <w:rPr>
          <w:rFonts w:asciiTheme="majorHAnsi" w:hAnsiTheme="majorHAnsi" w:cstheme="majorHAnsi"/>
        </w:rPr>
        <w:t>celkové</w:t>
      </w:r>
      <w:r w:rsidR="00872344" w:rsidRPr="00F5583A">
        <w:rPr>
          <w:rFonts w:asciiTheme="majorHAnsi" w:hAnsiTheme="majorHAnsi" w:cstheme="majorHAnsi"/>
        </w:rPr>
        <w:t xml:space="preserve"> hodnoty</w:t>
      </w:r>
      <w:r w:rsid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zakázek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oznámených</w:t>
      </w:r>
      <w:r w:rsidR="00872344" w:rsidRPr="00F5583A">
        <w:rPr>
          <w:rFonts w:asciiTheme="majorHAnsi" w:hAnsiTheme="majorHAnsi" w:cstheme="majorHAnsi"/>
        </w:rPr>
        <w:t xml:space="preserve"> v roce 2021. K </w:t>
      </w:r>
      <w:r w:rsidRPr="00F5583A">
        <w:rPr>
          <w:rFonts w:asciiTheme="majorHAnsi" w:hAnsiTheme="majorHAnsi" w:cstheme="majorHAnsi"/>
        </w:rPr>
        <w:t>dalšímu</w:t>
      </w:r>
      <w:r w:rsidR="00872344" w:rsidRPr="00F5583A">
        <w:rPr>
          <w:rFonts w:asciiTheme="majorHAnsi" w:hAnsiTheme="majorHAnsi" w:cstheme="majorHAnsi"/>
        </w:rPr>
        <w:t xml:space="preserve"> rušeni </w:t>
      </w:r>
      <w:r w:rsidRPr="00F5583A">
        <w:rPr>
          <w:rFonts w:asciiTheme="majorHAnsi" w:hAnsiTheme="majorHAnsi" w:cstheme="majorHAnsi"/>
        </w:rPr>
        <w:t>zakázek</w:t>
      </w:r>
      <w:r w:rsidR="00F5583A">
        <w:rPr>
          <w:rFonts w:asciiTheme="majorHAnsi" w:hAnsiTheme="majorHAnsi" w:cstheme="majorHAnsi"/>
        </w:rPr>
        <w:t xml:space="preserve"> </w:t>
      </w:r>
      <w:r w:rsidR="00872344" w:rsidRPr="00F5583A">
        <w:rPr>
          <w:rFonts w:asciiTheme="majorHAnsi" w:hAnsiTheme="majorHAnsi" w:cstheme="majorHAnsi"/>
        </w:rPr>
        <w:t xml:space="preserve">bude ještě velmi pravděpodobně </w:t>
      </w:r>
      <w:r w:rsidRPr="00F5583A">
        <w:rPr>
          <w:rFonts w:asciiTheme="majorHAnsi" w:hAnsiTheme="majorHAnsi" w:cstheme="majorHAnsi"/>
        </w:rPr>
        <w:t>docházet</w:t>
      </w:r>
      <w:r w:rsidR="00872344" w:rsidRPr="00F5583A">
        <w:rPr>
          <w:rFonts w:asciiTheme="majorHAnsi" w:hAnsiTheme="majorHAnsi" w:cstheme="majorHAnsi"/>
        </w:rPr>
        <w:t>, takže poměry se</w:t>
      </w:r>
      <w:r w:rsid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dále</w:t>
      </w:r>
      <w:r w:rsidR="00872344" w:rsidRPr="00F5583A">
        <w:rPr>
          <w:rFonts w:asciiTheme="majorHAnsi" w:hAnsiTheme="majorHAnsi" w:cstheme="majorHAnsi"/>
        </w:rPr>
        <w:t xml:space="preserve"> budou měnit.</w:t>
      </w:r>
    </w:p>
    <w:p w14:paraId="5CACC029" w14:textId="77777777" w:rsidR="00D41BCE" w:rsidRDefault="00D41BCE" w:rsidP="00D41BC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</w:p>
    <w:p w14:paraId="102E5266" w14:textId="313F4DB1" w:rsidR="00872344" w:rsidRDefault="00F00FBC" w:rsidP="00D41B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F5583A">
        <w:rPr>
          <w:rFonts w:asciiTheme="majorHAnsi" w:hAnsiTheme="majorHAnsi" w:cstheme="majorHAnsi"/>
        </w:rPr>
        <w:t>Značná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část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oznámených</w:t>
      </w:r>
      <w:r w:rsidR="00872344" w:rsidRPr="00F5583A">
        <w:rPr>
          <w:rFonts w:asciiTheme="majorHAnsi" w:hAnsiTheme="majorHAnsi" w:cstheme="majorHAnsi"/>
        </w:rPr>
        <w:t xml:space="preserve"> </w:t>
      </w:r>
      <w:r w:rsidR="006F65E1" w:rsidRPr="00F5583A">
        <w:rPr>
          <w:rFonts w:asciiTheme="majorHAnsi" w:hAnsiTheme="majorHAnsi" w:cstheme="majorHAnsi"/>
        </w:rPr>
        <w:t>zakázek</w:t>
      </w:r>
      <w:r w:rsidR="00872344" w:rsidRPr="00F5583A">
        <w:rPr>
          <w:rFonts w:asciiTheme="majorHAnsi" w:hAnsiTheme="majorHAnsi" w:cstheme="majorHAnsi"/>
        </w:rPr>
        <w:t xml:space="preserve"> je časem </w:t>
      </w:r>
      <w:r w:rsidRPr="00F5583A">
        <w:rPr>
          <w:rFonts w:asciiTheme="majorHAnsi" w:hAnsiTheme="majorHAnsi" w:cstheme="majorHAnsi"/>
        </w:rPr>
        <w:t>zadaná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konkrétnímu</w:t>
      </w:r>
      <w:r w:rsidR="00872344" w:rsidRPr="00F5583A">
        <w:rPr>
          <w:rFonts w:asciiTheme="majorHAnsi" w:hAnsiTheme="majorHAnsi" w:cstheme="majorHAnsi"/>
        </w:rPr>
        <w:t xml:space="preserve"> dodavateli. Co se </w:t>
      </w:r>
      <w:r w:rsidRPr="00F5583A">
        <w:rPr>
          <w:rFonts w:asciiTheme="majorHAnsi" w:hAnsiTheme="majorHAnsi" w:cstheme="majorHAnsi"/>
        </w:rPr>
        <w:t>tyká</w:t>
      </w:r>
      <w:r w:rsidR="00872344" w:rsidRPr="00F5583A">
        <w:rPr>
          <w:rFonts w:asciiTheme="majorHAnsi" w:hAnsiTheme="majorHAnsi" w:cstheme="majorHAnsi"/>
        </w:rPr>
        <w:t xml:space="preserve"> hodnoty, bylo </w:t>
      </w:r>
      <w:r w:rsidRPr="00F5583A">
        <w:rPr>
          <w:rFonts w:asciiTheme="majorHAnsi" w:hAnsiTheme="majorHAnsi" w:cstheme="majorHAnsi"/>
        </w:rPr>
        <w:t>zadáno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zatím</w:t>
      </w:r>
      <w:r w:rsidR="00872344" w:rsidRPr="00F5583A">
        <w:rPr>
          <w:rFonts w:asciiTheme="majorHAnsi" w:hAnsiTheme="majorHAnsi" w:cstheme="majorHAnsi"/>
        </w:rPr>
        <w:t xml:space="preserve"> 37 %</w:t>
      </w:r>
      <w:r w:rsidR="00D41BCE">
        <w:rPr>
          <w:rFonts w:asciiTheme="majorHAnsi" w:hAnsiTheme="majorHAnsi" w:cstheme="majorHAnsi"/>
        </w:rPr>
        <w:t xml:space="preserve"> </w:t>
      </w:r>
      <w:r w:rsidR="00872344" w:rsidRPr="00F5583A">
        <w:rPr>
          <w:rFonts w:asciiTheme="majorHAnsi" w:hAnsiTheme="majorHAnsi" w:cstheme="majorHAnsi"/>
        </w:rPr>
        <w:t xml:space="preserve">z </w:t>
      </w:r>
      <w:r w:rsidRPr="00F5583A">
        <w:rPr>
          <w:rFonts w:asciiTheme="majorHAnsi" w:hAnsiTheme="majorHAnsi" w:cstheme="majorHAnsi"/>
        </w:rPr>
        <w:t>celkového</w:t>
      </w:r>
      <w:r w:rsidR="00872344" w:rsidRPr="00F5583A">
        <w:rPr>
          <w:rFonts w:asciiTheme="majorHAnsi" w:hAnsiTheme="majorHAnsi" w:cstheme="majorHAnsi"/>
        </w:rPr>
        <w:t xml:space="preserve"> objemu </w:t>
      </w:r>
      <w:r w:rsidRPr="00F5583A">
        <w:rPr>
          <w:rFonts w:asciiTheme="majorHAnsi" w:hAnsiTheme="majorHAnsi" w:cstheme="majorHAnsi"/>
        </w:rPr>
        <w:t>zakázek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oznámených</w:t>
      </w:r>
      <w:r w:rsidR="00872344" w:rsidRPr="00F5583A">
        <w:rPr>
          <w:rFonts w:asciiTheme="majorHAnsi" w:hAnsiTheme="majorHAnsi" w:cstheme="majorHAnsi"/>
        </w:rPr>
        <w:t xml:space="preserve"> v roce 2021. Většina </w:t>
      </w:r>
      <w:r w:rsidRPr="00F5583A">
        <w:rPr>
          <w:rFonts w:asciiTheme="majorHAnsi" w:hAnsiTheme="majorHAnsi" w:cstheme="majorHAnsi"/>
        </w:rPr>
        <w:t>zadávacích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řízeni</w:t>
      </w:r>
      <w:r w:rsidR="00D41BCE">
        <w:rPr>
          <w:rFonts w:asciiTheme="majorHAnsi" w:hAnsiTheme="majorHAnsi" w:cstheme="majorHAnsi"/>
        </w:rPr>
        <w:t xml:space="preserve"> </w:t>
      </w:r>
      <w:r w:rsidR="00872344" w:rsidRPr="00F5583A">
        <w:rPr>
          <w:rFonts w:asciiTheme="majorHAnsi" w:hAnsiTheme="majorHAnsi" w:cstheme="majorHAnsi"/>
        </w:rPr>
        <w:t xml:space="preserve">však ještě </w:t>
      </w:r>
      <w:r w:rsidRPr="00F5583A">
        <w:rPr>
          <w:rFonts w:asciiTheme="majorHAnsi" w:hAnsiTheme="majorHAnsi" w:cstheme="majorHAnsi"/>
        </w:rPr>
        <w:t>běží</w:t>
      </w:r>
      <w:r w:rsidR="00872344" w:rsidRPr="00F5583A">
        <w:rPr>
          <w:rFonts w:asciiTheme="majorHAnsi" w:hAnsiTheme="majorHAnsi" w:cstheme="majorHAnsi"/>
        </w:rPr>
        <w:t xml:space="preserve"> a data o </w:t>
      </w:r>
      <w:r w:rsidRPr="00F5583A">
        <w:rPr>
          <w:rFonts w:asciiTheme="majorHAnsi" w:hAnsiTheme="majorHAnsi" w:cstheme="majorHAnsi"/>
        </w:rPr>
        <w:t>zadaných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zakázkách</w:t>
      </w:r>
      <w:r w:rsidR="00872344" w:rsidRPr="00F5583A">
        <w:rPr>
          <w:rFonts w:asciiTheme="majorHAnsi" w:hAnsiTheme="majorHAnsi" w:cstheme="majorHAnsi"/>
        </w:rPr>
        <w:t xml:space="preserve"> budou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dále</w:t>
      </w:r>
      <w:r w:rsidR="00872344" w:rsidRPr="00F5583A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aktualizovaná</w:t>
      </w:r>
      <w:r w:rsidR="00872344" w:rsidRPr="00F5583A">
        <w:rPr>
          <w:rFonts w:asciiTheme="majorHAnsi" w:hAnsiTheme="majorHAnsi" w:cstheme="majorHAnsi"/>
        </w:rPr>
        <w:t>.</w:t>
      </w:r>
    </w:p>
    <w:p w14:paraId="643DD1AB" w14:textId="77777777" w:rsidR="00D41BCE" w:rsidRDefault="00D41BCE" w:rsidP="00D41B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41F24CB2" w14:textId="77777777" w:rsidR="00D41BCE" w:rsidRPr="00D41BCE" w:rsidRDefault="00D41BCE" w:rsidP="00D41BCE">
      <w:pPr>
        <w:rPr>
          <w:rFonts w:asciiTheme="majorHAnsi" w:hAnsiTheme="majorHAnsi" w:cstheme="majorHAnsi"/>
          <w:b/>
          <w:bCs/>
        </w:rPr>
      </w:pPr>
      <w:r w:rsidRPr="00D41BCE">
        <w:rPr>
          <w:rFonts w:asciiTheme="majorHAnsi" w:hAnsiTheme="majorHAnsi" w:cstheme="majorHAnsi"/>
          <w:b/>
          <w:bCs/>
        </w:rPr>
        <w:t>Meziroční změny oznámení o zadání zakázky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1739"/>
        <w:gridCol w:w="1065"/>
        <w:gridCol w:w="1045"/>
        <w:gridCol w:w="1064"/>
        <w:gridCol w:w="1072"/>
        <w:gridCol w:w="1040"/>
        <w:gridCol w:w="1066"/>
      </w:tblGrid>
      <w:tr w:rsidR="00D41BCE" w:rsidRPr="00D41BCE" w14:paraId="38C86C11" w14:textId="77777777" w:rsidTr="00125AE0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7752102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Stavební zakázky</w:t>
            </w:r>
          </w:p>
        </w:tc>
        <w:tc>
          <w:tcPr>
            <w:tcW w:w="3223" w:type="dxa"/>
            <w:gridSpan w:val="3"/>
            <w:vAlign w:val="center"/>
          </w:tcPr>
          <w:p w14:paraId="3380031F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14:paraId="51049B58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Hodnota</w:t>
            </w:r>
          </w:p>
        </w:tc>
      </w:tr>
      <w:tr w:rsidR="00D41BCE" w:rsidRPr="00D41BCE" w14:paraId="2D846C90" w14:textId="77777777" w:rsidTr="00125AE0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7BE68DA2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4684D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3E8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7E0E45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62F62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Meziroční změna v %</w:t>
            </w:r>
          </w:p>
        </w:tc>
      </w:tr>
      <w:tr w:rsidR="00D41BCE" w:rsidRPr="00D41BCE" w14:paraId="5D0B7C15" w14:textId="77777777" w:rsidTr="00125AE0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14:paraId="4C459F5D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14:paraId="25FF7E77" w14:textId="77777777" w:rsidR="00D41BCE" w:rsidRPr="00D41BCE" w:rsidRDefault="00D41BCE" w:rsidP="00125AE0">
            <w:pPr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5A3603D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1 131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AFE929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3290C467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+12,1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76CB7CA8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39 115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7A1FAE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231E50B9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-14,2</w:t>
            </w:r>
          </w:p>
        </w:tc>
      </w:tr>
      <w:tr w:rsidR="00D41BCE" w:rsidRPr="00D41BCE" w14:paraId="2C4C71A3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bottom w:val="nil"/>
            </w:tcBorders>
            <w:vAlign w:val="center"/>
          </w:tcPr>
          <w:p w14:paraId="1CA41848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14:paraId="5E445626" w14:textId="77777777" w:rsidR="00D41BCE" w:rsidRPr="00D41BCE" w:rsidRDefault="00D41BCE" w:rsidP="00125AE0">
            <w:pPr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7EA9E164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1 860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8C79E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5B4ECFD7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+27,1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798843F8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52 201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A46B44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6DB3F860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+37,6</w:t>
            </w:r>
          </w:p>
        </w:tc>
      </w:tr>
      <w:tr w:rsidR="00D41BCE" w:rsidRPr="00D41BCE" w14:paraId="37948F57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top w:val="nil"/>
              <w:bottom w:val="nil"/>
            </w:tcBorders>
            <w:vAlign w:val="center"/>
          </w:tcPr>
          <w:p w14:paraId="0BB05050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14:paraId="0605B53A" w14:textId="77777777" w:rsidR="00D41BCE" w:rsidRPr="00D41BCE" w:rsidRDefault="00D41BCE" w:rsidP="00125AE0">
            <w:pPr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4063356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1 915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C25BD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2A707FAE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+34,6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38DEFCA5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45 706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8F15E3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D41BCE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55479E66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-23,8</w:t>
            </w:r>
          </w:p>
        </w:tc>
      </w:tr>
      <w:tr w:rsidR="00D41BCE" w:rsidRPr="00D41BCE" w14:paraId="195AD561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top w:val="nil"/>
            </w:tcBorders>
            <w:vAlign w:val="center"/>
          </w:tcPr>
          <w:p w14:paraId="594BBFBD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14:paraId="4A07AC45" w14:textId="77777777" w:rsidR="00D41BCE" w:rsidRPr="00D41BCE" w:rsidRDefault="00D41BCE" w:rsidP="00125AE0">
            <w:pPr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368C183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1 337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48E64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696756F6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+27,8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3C8003E5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34 862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222A95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37C8470F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-4,8</w:t>
            </w:r>
          </w:p>
        </w:tc>
      </w:tr>
      <w:tr w:rsidR="00D41BCE" w:rsidRPr="00D41BCE" w14:paraId="27DDCA34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14:paraId="4CB8B64A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1CBB" w14:textId="77777777" w:rsidR="00D41BCE" w:rsidRPr="00D41BCE" w:rsidRDefault="00D41BCE" w:rsidP="00125AE0">
            <w:pPr>
              <w:rPr>
                <w:rFonts w:asciiTheme="majorHAnsi" w:hAnsiTheme="majorHAnsi" w:cstheme="majorHAnsi"/>
                <w:b/>
                <w:bCs/>
              </w:rPr>
            </w:pPr>
            <w:r w:rsidRPr="00D41BCE">
              <w:rPr>
                <w:rFonts w:asciiTheme="majorHAnsi" w:hAnsiTheme="majorHAnsi" w:cstheme="majorHAnsi"/>
                <w:b/>
              </w:rPr>
              <w:t xml:space="preserve">Rok 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7F928B1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41BCE">
              <w:rPr>
                <w:rFonts w:asciiTheme="majorHAnsi" w:hAnsiTheme="majorHAnsi" w:cstheme="majorHAnsi"/>
                <w:b/>
              </w:rPr>
              <w:t>6 243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B0AAE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42F5A322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D41BCE">
              <w:rPr>
                <w:rFonts w:asciiTheme="majorHAnsi" w:hAnsiTheme="majorHAnsi" w:cstheme="majorHAnsi"/>
                <w:b/>
                <w:bCs/>
              </w:rPr>
              <w:t>+26,4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648014BC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41BCE">
              <w:rPr>
                <w:rFonts w:asciiTheme="majorHAnsi" w:hAnsiTheme="majorHAnsi" w:cstheme="majorHAnsi"/>
                <w:b/>
              </w:rPr>
              <w:t>171 884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A851C8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FF0000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74562531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D41BCE">
              <w:rPr>
                <w:rFonts w:asciiTheme="majorHAnsi" w:hAnsiTheme="majorHAnsi" w:cstheme="majorHAnsi"/>
                <w:b/>
                <w:bCs/>
              </w:rPr>
              <w:t>-4,6</w:t>
            </w:r>
          </w:p>
        </w:tc>
      </w:tr>
      <w:tr w:rsidR="00D41BCE" w:rsidRPr="00D41BCE" w14:paraId="1A48FBD9" w14:textId="77777777" w:rsidTr="00125AE0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14:paraId="02A2FB0B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14:paraId="418599C8" w14:textId="77777777" w:rsidR="00D41BCE" w:rsidRPr="00D41BCE" w:rsidRDefault="00D41BCE" w:rsidP="00125AE0">
            <w:pPr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D695DC2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1 268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3EACA1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FF000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1571451A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+12,1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3574BB28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66 970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3CB6A9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66385605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+71,2</w:t>
            </w:r>
          </w:p>
        </w:tc>
      </w:tr>
      <w:tr w:rsidR="00D41BCE" w:rsidRPr="00D41BCE" w14:paraId="24AACE63" w14:textId="77777777" w:rsidTr="00125AE0">
        <w:trPr>
          <w:cantSplit/>
          <w:trHeight w:val="284"/>
        </w:trPr>
        <w:tc>
          <w:tcPr>
            <w:tcW w:w="918" w:type="dxa"/>
            <w:vMerge/>
            <w:vAlign w:val="center"/>
          </w:tcPr>
          <w:p w14:paraId="7CF27B3C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14:paraId="7D6EB0F8" w14:textId="77777777" w:rsidR="00D41BCE" w:rsidRPr="00D41BCE" w:rsidRDefault="00D41BCE" w:rsidP="00125AE0">
            <w:pPr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A8803D2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2 137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74E27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064E1739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+14,9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7CDD8C4B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54 372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5C07FD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17AB60BC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+4,2</w:t>
            </w:r>
          </w:p>
        </w:tc>
      </w:tr>
      <w:tr w:rsidR="00D41BCE" w:rsidRPr="00D41BCE" w14:paraId="6FCA490F" w14:textId="77777777" w:rsidTr="00125AE0">
        <w:trPr>
          <w:cantSplit/>
          <w:trHeight w:val="284"/>
        </w:trPr>
        <w:tc>
          <w:tcPr>
            <w:tcW w:w="918" w:type="dxa"/>
            <w:vMerge/>
            <w:vAlign w:val="center"/>
          </w:tcPr>
          <w:p w14:paraId="47BC6762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14:paraId="21D6F604" w14:textId="77777777" w:rsidR="00D41BCE" w:rsidRPr="00D41BCE" w:rsidRDefault="00D41BCE" w:rsidP="00125AE0">
            <w:pPr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4EA8C202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2 022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964D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78BDDE10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+5,6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26FD00B4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60 736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10BAA7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14:paraId="43D57A86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+32,9</w:t>
            </w:r>
          </w:p>
        </w:tc>
      </w:tr>
      <w:tr w:rsidR="00D41BCE" w:rsidRPr="00D41BCE" w14:paraId="56F7D83F" w14:textId="77777777" w:rsidTr="00125AE0">
        <w:trPr>
          <w:cantSplit/>
          <w:trHeight w:val="284"/>
        </w:trPr>
        <w:tc>
          <w:tcPr>
            <w:tcW w:w="918" w:type="dxa"/>
            <w:vMerge/>
            <w:vAlign w:val="center"/>
          </w:tcPr>
          <w:p w14:paraId="3E61B13F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14:paraId="44D98DD6" w14:textId="77777777" w:rsidR="00D41BCE" w:rsidRPr="00D41BCE" w:rsidRDefault="00D41BCE" w:rsidP="00125AE0">
            <w:pPr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9231D50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1 649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286659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3FEB2778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+23,3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3B55F6D8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</w:rPr>
            </w:pPr>
            <w:r w:rsidRPr="00D41BCE">
              <w:rPr>
                <w:rFonts w:asciiTheme="majorHAnsi" w:hAnsiTheme="majorHAnsi" w:cstheme="majorHAnsi"/>
              </w:rPr>
              <w:t>42 324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BEB9B8D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48BB5D51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D41BCE">
              <w:rPr>
                <w:rFonts w:asciiTheme="majorHAnsi" w:hAnsiTheme="majorHAnsi" w:cstheme="majorHAnsi"/>
                <w:bCs/>
              </w:rPr>
              <w:t>+21,4</w:t>
            </w:r>
          </w:p>
        </w:tc>
      </w:tr>
      <w:tr w:rsidR="00D41BCE" w:rsidRPr="00D41BCE" w14:paraId="37E2F622" w14:textId="77777777" w:rsidTr="00125AE0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14:paraId="7D2FD155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EB206" w14:textId="77777777" w:rsidR="00D41BCE" w:rsidRPr="00D41BCE" w:rsidRDefault="00D41BCE" w:rsidP="00125AE0">
            <w:pPr>
              <w:rPr>
                <w:rFonts w:asciiTheme="majorHAnsi" w:hAnsiTheme="majorHAnsi" w:cstheme="majorHAnsi"/>
                <w:b/>
                <w:bCs/>
              </w:rPr>
            </w:pPr>
            <w:r w:rsidRPr="00D41BCE">
              <w:rPr>
                <w:rFonts w:asciiTheme="majorHAnsi" w:hAnsiTheme="majorHAnsi" w:cstheme="majorHAnsi"/>
                <w:b/>
                <w:bCs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4D806BAB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41BCE">
              <w:rPr>
                <w:rFonts w:asciiTheme="majorHAnsi" w:hAnsiTheme="majorHAnsi" w:cstheme="majorHAnsi"/>
                <w:b/>
              </w:rPr>
              <w:t>7 076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F50A4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2AB59565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41BCE">
              <w:rPr>
                <w:rFonts w:asciiTheme="majorHAnsi" w:hAnsiTheme="majorHAnsi" w:cstheme="majorHAnsi"/>
                <w:b/>
              </w:rPr>
              <w:t>+13,3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14:paraId="13311A29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41BCE">
              <w:rPr>
                <w:rFonts w:asciiTheme="majorHAnsi" w:hAnsiTheme="majorHAnsi" w:cstheme="majorHAnsi"/>
                <w:b/>
              </w:rPr>
              <w:t>224 403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DC561E5" w14:textId="77777777" w:rsidR="00D41BCE" w:rsidRPr="00D41BCE" w:rsidRDefault="00D41BCE" w:rsidP="00125AE0">
            <w:pPr>
              <w:jc w:val="center"/>
              <w:rPr>
                <w:rFonts w:asciiTheme="majorHAnsi" w:hAnsiTheme="majorHAnsi" w:cstheme="majorHAnsi"/>
                <w:bCs/>
                <w:color w:val="92D050"/>
              </w:rPr>
            </w:pPr>
            <w:r w:rsidRPr="00D41BCE">
              <w:rPr>
                <w:rFonts w:asciiTheme="majorHAnsi" w:hAnsiTheme="majorHAnsi" w:cstheme="majorHAnsi"/>
                <w:bCs/>
                <w:color w:val="92D050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78498792" w14:textId="77777777" w:rsidR="00D41BCE" w:rsidRPr="00D41BCE" w:rsidRDefault="00D41BCE" w:rsidP="00125AE0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41BCE">
              <w:rPr>
                <w:rFonts w:asciiTheme="majorHAnsi" w:hAnsiTheme="majorHAnsi" w:cstheme="majorHAnsi"/>
                <w:b/>
              </w:rPr>
              <w:t>+30,6</w:t>
            </w:r>
          </w:p>
        </w:tc>
      </w:tr>
    </w:tbl>
    <w:p w14:paraId="19094734" w14:textId="77777777" w:rsidR="00D41BCE" w:rsidRPr="00D41BCE" w:rsidRDefault="00D41BCE" w:rsidP="00D41BCE">
      <w:pPr>
        <w:rPr>
          <w:rFonts w:asciiTheme="majorHAnsi" w:hAnsiTheme="majorHAnsi" w:cstheme="majorHAnsi"/>
          <w:bCs/>
        </w:rPr>
      </w:pPr>
      <w:r w:rsidRPr="00D41BCE">
        <w:rPr>
          <w:rFonts w:asciiTheme="majorHAnsi" w:hAnsiTheme="majorHAnsi" w:cstheme="majorHAnsi"/>
          <w:bCs/>
        </w:rPr>
        <w:t>Zdroj: Věstník veřejných zakázek, výpočty CEEC Research</w:t>
      </w:r>
    </w:p>
    <w:p w14:paraId="13E0E545" w14:textId="77777777" w:rsidR="00D41BCE" w:rsidRDefault="00D41BCE" w:rsidP="00D41B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075F7D52" w14:textId="4FC8B9A2" w:rsidR="005A40C2" w:rsidRPr="00F5583A" w:rsidRDefault="00872344" w:rsidP="00D41BC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F5583A">
        <w:rPr>
          <w:rFonts w:asciiTheme="majorHAnsi" w:hAnsiTheme="majorHAnsi" w:cstheme="majorHAnsi"/>
        </w:rPr>
        <w:t xml:space="preserve">V roce 2021 bylo </w:t>
      </w:r>
      <w:r w:rsidR="00F00FBC" w:rsidRPr="00F5583A">
        <w:rPr>
          <w:rFonts w:asciiTheme="majorHAnsi" w:hAnsiTheme="majorHAnsi" w:cstheme="majorHAnsi"/>
        </w:rPr>
        <w:t>zadáno</w:t>
      </w:r>
      <w:r w:rsidRPr="00F5583A">
        <w:rPr>
          <w:rFonts w:asciiTheme="majorHAnsi" w:hAnsiTheme="majorHAnsi" w:cstheme="majorHAnsi"/>
        </w:rPr>
        <w:t xml:space="preserve"> 7 076 </w:t>
      </w:r>
      <w:r w:rsidR="00F00FBC" w:rsidRPr="00F5583A">
        <w:rPr>
          <w:rFonts w:asciiTheme="majorHAnsi" w:hAnsiTheme="majorHAnsi" w:cstheme="majorHAnsi"/>
        </w:rPr>
        <w:t>zakázek</w:t>
      </w:r>
      <w:r w:rsidRPr="00F5583A">
        <w:rPr>
          <w:rFonts w:asciiTheme="majorHAnsi" w:hAnsiTheme="majorHAnsi" w:cstheme="majorHAnsi"/>
        </w:rPr>
        <w:t xml:space="preserve"> (včetně časti </w:t>
      </w:r>
      <w:r w:rsidR="00F00FBC" w:rsidRPr="00F5583A">
        <w:rPr>
          <w:rFonts w:asciiTheme="majorHAnsi" w:hAnsiTheme="majorHAnsi" w:cstheme="majorHAnsi"/>
        </w:rPr>
        <w:t>zakázek</w:t>
      </w:r>
      <w:r w:rsidRPr="00F5583A">
        <w:rPr>
          <w:rFonts w:asciiTheme="majorHAnsi" w:hAnsiTheme="majorHAnsi" w:cstheme="majorHAnsi"/>
        </w:rPr>
        <w:t>),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což je o 13,3 % vice než v </w:t>
      </w:r>
      <w:r w:rsidR="00F00FBC" w:rsidRPr="00F5583A">
        <w:rPr>
          <w:rFonts w:asciiTheme="majorHAnsi" w:hAnsiTheme="majorHAnsi" w:cstheme="majorHAnsi"/>
        </w:rPr>
        <w:t>předchozím</w:t>
      </w:r>
      <w:r w:rsidRPr="00F5583A">
        <w:rPr>
          <w:rFonts w:asciiTheme="majorHAnsi" w:hAnsiTheme="majorHAnsi" w:cstheme="majorHAnsi"/>
        </w:rPr>
        <w:t xml:space="preserve"> roce. Hodnota </w:t>
      </w:r>
      <w:r w:rsidR="00F00FBC" w:rsidRPr="00F5583A">
        <w:rPr>
          <w:rFonts w:asciiTheme="majorHAnsi" w:hAnsiTheme="majorHAnsi" w:cstheme="majorHAnsi"/>
        </w:rPr>
        <w:t>zakázek</w:t>
      </w:r>
      <w:r w:rsidR="00D41BCE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zadaných</w:t>
      </w:r>
      <w:r w:rsidRPr="00F5583A">
        <w:rPr>
          <w:rFonts w:asciiTheme="majorHAnsi" w:hAnsiTheme="majorHAnsi" w:cstheme="majorHAnsi"/>
        </w:rPr>
        <w:t xml:space="preserve"> v roce 2021 činila 224,4 mld. Kč, což představovalo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růst o 30,6 %. </w:t>
      </w:r>
      <w:r w:rsidR="00F00FBC" w:rsidRPr="00F5583A">
        <w:rPr>
          <w:rFonts w:asciiTheme="majorHAnsi" w:hAnsiTheme="majorHAnsi" w:cstheme="majorHAnsi"/>
        </w:rPr>
        <w:t>Výrazný</w:t>
      </w:r>
      <w:r w:rsidRPr="00F5583A">
        <w:rPr>
          <w:rFonts w:asciiTheme="majorHAnsi" w:hAnsiTheme="majorHAnsi" w:cstheme="majorHAnsi"/>
        </w:rPr>
        <w:t xml:space="preserve"> růst hodnoty </w:t>
      </w:r>
      <w:r w:rsidR="00F00FBC" w:rsidRPr="00F5583A">
        <w:rPr>
          <w:rFonts w:asciiTheme="majorHAnsi" w:hAnsiTheme="majorHAnsi" w:cstheme="majorHAnsi"/>
        </w:rPr>
        <w:t>zadaných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zakázek</w:t>
      </w:r>
      <w:r w:rsidRPr="00F5583A">
        <w:rPr>
          <w:rFonts w:asciiTheme="majorHAnsi" w:hAnsiTheme="majorHAnsi" w:cstheme="majorHAnsi"/>
        </w:rPr>
        <w:t xml:space="preserve"> ovlivnila</w:t>
      </w:r>
      <w:r w:rsidR="00D41BCE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zakázka</w:t>
      </w:r>
      <w:r w:rsidRPr="00F5583A">
        <w:rPr>
          <w:rFonts w:asciiTheme="majorHAnsi" w:hAnsiTheme="majorHAnsi" w:cstheme="majorHAnsi"/>
        </w:rPr>
        <w:t xml:space="preserve"> Ministerstva dopravy na </w:t>
      </w:r>
      <w:r w:rsidR="00F00FBC" w:rsidRPr="00F5583A">
        <w:rPr>
          <w:rFonts w:asciiTheme="majorHAnsi" w:hAnsiTheme="majorHAnsi" w:cstheme="majorHAnsi"/>
        </w:rPr>
        <w:t>projektovaní</w:t>
      </w:r>
      <w:r w:rsidRPr="00F5583A">
        <w:rPr>
          <w:rFonts w:asciiTheme="majorHAnsi" w:hAnsiTheme="majorHAnsi" w:cstheme="majorHAnsi"/>
        </w:rPr>
        <w:t xml:space="preserve">, </w:t>
      </w:r>
      <w:r w:rsidR="00F00FBC" w:rsidRPr="00F5583A">
        <w:rPr>
          <w:rFonts w:asciiTheme="majorHAnsi" w:hAnsiTheme="majorHAnsi" w:cstheme="majorHAnsi"/>
        </w:rPr>
        <w:t>výstavbu</w:t>
      </w:r>
      <w:r w:rsidRPr="00F5583A">
        <w:rPr>
          <w:rFonts w:asciiTheme="majorHAnsi" w:hAnsiTheme="majorHAnsi" w:cstheme="majorHAnsi"/>
        </w:rPr>
        <w:t>,</w:t>
      </w:r>
      <w:r w:rsidR="00D41BCE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financovaní</w:t>
      </w:r>
      <w:r w:rsidRPr="00F5583A">
        <w:rPr>
          <w:rFonts w:asciiTheme="majorHAnsi" w:hAnsiTheme="majorHAnsi" w:cstheme="majorHAnsi"/>
        </w:rPr>
        <w:t xml:space="preserve">, </w:t>
      </w:r>
      <w:r w:rsidR="006F65E1" w:rsidRPr="00F5583A">
        <w:rPr>
          <w:rFonts w:asciiTheme="majorHAnsi" w:hAnsiTheme="majorHAnsi" w:cstheme="majorHAnsi"/>
        </w:rPr>
        <w:t>provozovaní</w:t>
      </w:r>
      <w:r w:rsidRPr="00F5583A">
        <w:rPr>
          <w:rFonts w:asciiTheme="majorHAnsi" w:hAnsiTheme="majorHAnsi" w:cstheme="majorHAnsi"/>
        </w:rPr>
        <w:t xml:space="preserve"> a </w:t>
      </w:r>
      <w:r w:rsidR="00F00FBC" w:rsidRPr="00F5583A">
        <w:rPr>
          <w:rFonts w:asciiTheme="majorHAnsi" w:hAnsiTheme="majorHAnsi" w:cstheme="majorHAnsi"/>
        </w:rPr>
        <w:t>údržbu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dálnice</w:t>
      </w:r>
      <w:r w:rsidRPr="00F5583A">
        <w:rPr>
          <w:rFonts w:asciiTheme="majorHAnsi" w:hAnsiTheme="majorHAnsi" w:cstheme="majorHAnsi"/>
        </w:rPr>
        <w:t xml:space="preserve"> D4 v </w:t>
      </w:r>
      <w:r w:rsidR="00F00FBC" w:rsidRPr="00F5583A">
        <w:rPr>
          <w:rFonts w:asciiTheme="majorHAnsi" w:hAnsiTheme="majorHAnsi" w:cstheme="majorHAnsi"/>
        </w:rPr>
        <w:t>úseku</w:t>
      </w:r>
      <w:r w:rsidRPr="00F5583A">
        <w:rPr>
          <w:rFonts w:asciiTheme="majorHAnsi" w:hAnsiTheme="majorHAnsi" w:cstheme="majorHAnsi"/>
        </w:rPr>
        <w:t xml:space="preserve"> Haje–Mirotice a </w:t>
      </w:r>
      <w:r w:rsidR="00F00FBC" w:rsidRPr="00F5583A">
        <w:rPr>
          <w:rFonts w:asciiTheme="majorHAnsi" w:hAnsiTheme="majorHAnsi" w:cstheme="majorHAnsi"/>
        </w:rPr>
        <w:t>provozovaní</w:t>
      </w:r>
      <w:r w:rsidRPr="00F5583A">
        <w:rPr>
          <w:rFonts w:asciiTheme="majorHAnsi" w:hAnsiTheme="majorHAnsi" w:cstheme="majorHAnsi"/>
        </w:rPr>
        <w:t xml:space="preserve"> a </w:t>
      </w:r>
      <w:r w:rsidR="00F00FBC" w:rsidRPr="00F5583A">
        <w:rPr>
          <w:rFonts w:asciiTheme="majorHAnsi" w:hAnsiTheme="majorHAnsi" w:cstheme="majorHAnsi"/>
        </w:rPr>
        <w:t>údržbu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existujících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přilehajících</w:t>
      </w:r>
      <w:r w:rsidRPr="00F5583A">
        <w:rPr>
          <w:rFonts w:asciiTheme="majorHAnsi" w:hAnsiTheme="majorHAnsi" w:cstheme="majorHAnsi"/>
        </w:rPr>
        <w:t xml:space="preserve"> </w:t>
      </w:r>
      <w:r w:rsidR="006F65E1" w:rsidRPr="00F5583A">
        <w:rPr>
          <w:rFonts w:asciiTheme="majorHAnsi" w:hAnsiTheme="majorHAnsi" w:cstheme="majorHAnsi"/>
        </w:rPr>
        <w:t>úseků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Skalka–Haje a Mirotice–Krašovice, projekt PPP v</w:t>
      </w:r>
      <w:r w:rsidR="00D41BCE">
        <w:rPr>
          <w:rFonts w:asciiTheme="majorHAnsi" w:hAnsiTheme="majorHAnsi" w:cstheme="majorHAnsi"/>
        </w:rPr>
        <w:t> </w:t>
      </w:r>
      <w:r w:rsidRPr="00F5583A">
        <w:rPr>
          <w:rFonts w:asciiTheme="majorHAnsi" w:hAnsiTheme="majorHAnsi" w:cstheme="majorHAnsi"/>
        </w:rPr>
        <w:t>hodnotě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>32 mld. Kč.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Pokud bychom modelově posuzovali pouze </w:t>
      </w:r>
      <w:r w:rsidR="00F00FBC" w:rsidRPr="00F5583A">
        <w:rPr>
          <w:rFonts w:asciiTheme="majorHAnsi" w:hAnsiTheme="majorHAnsi" w:cstheme="majorHAnsi"/>
        </w:rPr>
        <w:t>zakázky</w:t>
      </w:r>
      <w:r w:rsidR="00D41BCE">
        <w:rPr>
          <w:rFonts w:asciiTheme="majorHAnsi" w:hAnsiTheme="majorHAnsi" w:cstheme="majorHAnsi"/>
        </w:rPr>
        <w:t xml:space="preserve"> </w:t>
      </w:r>
      <w:r w:rsidRPr="00F5583A">
        <w:rPr>
          <w:rFonts w:asciiTheme="majorHAnsi" w:hAnsiTheme="majorHAnsi" w:cstheme="majorHAnsi"/>
        </w:rPr>
        <w:t xml:space="preserve">s hodnotou pod 1 mld. Kč, dostaneme </w:t>
      </w:r>
      <w:r w:rsidR="00F00FBC" w:rsidRPr="00F5583A">
        <w:rPr>
          <w:rFonts w:asciiTheme="majorHAnsi" w:hAnsiTheme="majorHAnsi" w:cstheme="majorHAnsi"/>
        </w:rPr>
        <w:t>meziroční</w:t>
      </w:r>
      <w:r w:rsidRPr="00F5583A">
        <w:rPr>
          <w:rFonts w:asciiTheme="majorHAnsi" w:hAnsiTheme="majorHAnsi" w:cstheme="majorHAnsi"/>
        </w:rPr>
        <w:t xml:space="preserve"> růst hodnoty</w:t>
      </w:r>
      <w:r w:rsidR="00D41BCE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zadaných</w:t>
      </w:r>
      <w:r w:rsidRPr="00F5583A">
        <w:rPr>
          <w:rFonts w:asciiTheme="majorHAnsi" w:hAnsiTheme="majorHAnsi" w:cstheme="majorHAnsi"/>
        </w:rPr>
        <w:t xml:space="preserve"> </w:t>
      </w:r>
      <w:r w:rsidR="00F00FBC" w:rsidRPr="00F5583A">
        <w:rPr>
          <w:rFonts w:asciiTheme="majorHAnsi" w:hAnsiTheme="majorHAnsi" w:cstheme="majorHAnsi"/>
        </w:rPr>
        <w:t>zakázek</w:t>
      </w:r>
      <w:r w:rsidRPr="00F5583A">
        <w:rPr>
          <w:rFonts w:asciiTheme="majorHAnsi" w:hAnsiTheme="majorHAnsi" w:cstheme="majorHAnsi"/>
        </w:rPr>
        <w:t xml:space="preserve"> o 9,6 %.</w:t>
      </w:r>
      <w:r w:rsidR="00D41BCE">
        <w:rPr>
          <w:rFonts w:asciiTheme="majorHAnsi" w:hAnsiTheme="majorHAnsi" w:cstheme="majorHAnsi"/>
        </w:rPr>
        <w:t xml:space="preserve"> </w:t>
      </w:r>
      <w:r w:rsidR="00F5583A" w:rsidRPr="00D41BCE">
        <w:rPr>
          <w:rFonts w:asciiTheme="majorHAnsi" w:hAnsiTheme="majorHAnsi" w:cstheme="majorHAnsi"/>
          <w:b/>
          <w:bCs/>
        </w:rPr>
        <w:t>Roman Busta</w:t>
      </w:r>
      <w:r w:rsidR="00F5583A" w:rsidRPr="00D41BCE">
        <w:rPr>
          <w:rFonts w:asciiTheme="majorHAnsi" w:hAnsiTheme="majorHAnsi" w:cstheme="majorHAnsi"/>
          <w:b/>
          <w:bCs/>
          <w:i/>
          <w:iCs/>
        </w:rPr>
        <w:t xml:space="preserve">, </w:t>
      </w:r>
      <w:r w:rsidR="00F5583A" w:rsidRPr="00D41BCE">
        <w:rPr>
          <w:rFonts w:asciiTheme="majorHAnsi" w:hAnsiTheme="majorHAnsi" w:cstheme="majorHAnsi"/>
          <w:b/>
          <w:bCs/>
        </w:rPr>
        <w:t>obchodní ředitel společnosti Wienerberger s.r.o.</w:t>
      </w:r>
      <w:r w:rsidR="00F5583A">
        <w:rPr>
          <w:rFonts w:asciiTheme="majorHAnsi" w:hAnsiTheme="majorHAnsi" w:cstheme="majorHAnsi"/>
        </w:rPr>
        <w:t xml:space="preserve"> předpokládá, že toto tempo nebude možné dále udržet: </w:t>
      </w:r>
      <w:r w:rsidR="00F5583A">
        <w:rPr>
          <w:rFonts w:asciiTheme="majorHAnsi" w:hAnsiTheme="majorHAnsi" w:cstheme="majorHAnsi"/>
          <w:i/>
          <w:iCs/>
        </w:rPr>
        <w:t>„</w:t>
      </w:r>
      <w:r w:rsidR="005A40C2" w:rsidRPr="00F5583A">
        <w:rPr>
          <w:rFonts w:asciiTheme="majorHAnsi" w:hAnsiTheme="majorHAnsi" w:cstheme="majorHAnsi"/>
          <w:i/>
          <w:iCs/>
        </w:rPr>
        <w:t>Budou pravděpodobně větší korekce v oblasti přípravy nových veřejných projektů a staveb. Objem připravených a rozjetých zakázek je však nyní</w:t>
      </w:r>
      <w:r w:rsidR="00F5583A">
        <w:rPr>
          <w:rFonts w:asciiTheme="majorHAnsi" w:hAnsiTheme="majorHAnsi" w:cstheme="majorHAnsi"/>
        </w:rPr>
        <w:t xml:space="preserve"> </w:t>
      </w:r>
      <w:r w:rsidR="005A40C2" w:rsidRPr="00F5583A">
        <w:rPr>
          <w:rFonts w:asciiTheme="majorHAnsi" w:hAnsiTheme="majorHAnsi" w:cstheme="majorHAnsi"/>
          <w:i/>
          <w:iCs/>
        </w:rPr>
        <w:t>tak velký, že negativní vliv na naši společnost očekáváme spíše až v roce 2023.</w:t>
      </w:r>
      <w:r w:rsidR="00F5583A">
        <w:rPr>
          <w:rFonts w:asciiTheme="majorHAnsi" w:hAnsiTheme="majorHAnsi" w:cstheme="majorHAnsi"/>
          <w:i/>
          <w:iCs/>
        </w:rPr>
        <w:t>“</w:t>
      </w:r>
    </w:p>
    <w:p w14:paraId="72244B27" w14:textId="77777777" w:rsidR="00F5583A" w:rsidRPr="00F5583A" w:rsidRDefault="00F5583A" w:rsidP="005A40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5D099EE" w14:textId="3176CBF0" w:rsidR="005A40C2" w:rsidRPr="00231834" w:rsidRDefault="005A40C2" w:rsidP="005A40C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31834">
        <w:rPr>
          <w:rFonts w:asciiTheme="majorHAnsi" w:hAnsiTheme="majorHAnsi" w:cstheme="majorHAnsi"/>
          <w:b/>
          <w:bCs/>
          <w:sz w:val="32"/>
          <w:szCs w:val="32"/>
        </w:rPr>
        <w:t>KVARTÁLNÍ ANALÝZA ČESKÉHO STAVEBNITCVÍ Q</w:t>
      </w:r>
      <w:r w:rsidR="00F5583A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Pr="00231834">
        <w:rPr>
          <w:rFonts w:asciiTheme="majorHAnsi" w:hAnsiTheme="majorHAnsi" w:cstheme="majorHAnsi"/>
          <w:b/>
          <w:bCs/>
          <w:sz w:val="32"/>
          <w:szCs w:val="32"/>
        </w:rPr>
        <w:t>/202</w:t>
      </w:r>
      <w:r w:rsidR="00F5583A">
        <w:rPr>
          <w:rFonts w:asciiTheme="majorHAnsi" w:hAnsiTheme="majorHAnsi" w:cstheme="majorHAnsi"/>
          <w:b/>
          <w:bCs/>
          <w:sz w:val="32"/>
          <w:szCs w:val="32"/>
        </w:rPr>
        <w:t xml:space="preserve">2 </w:t>
      </w:r>
      <w:r w:rsidRPr="00231834">
        <w:rPr>
          <w:rFonts w:asciiTheme="majorHAnsi" w:hAnsiTheme="majorHAnsi" w:cstheme="majorHAnsi"/>
          <w:b/>
          <w:bCs/>
          <w:sz w:val="32"/>
          <w:szCs w:val="32"/>
        </w:rPr>
        <w:t>JE ZVEŘEJNĚNA NA:</w:t>
      </w:r>
    </w:p>
    <w:p w14:paraId="0EAE199A" w14:textId="77777777" w:rsidR="005A40C2" w:rsidRPr="00231834" w:rsidRDefault="005A40C2" w:rsidP="005A40C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hyperlink r:id="rId6" w:history="1">
        <w:r w:rsidRPr="00231834">
          <w:rPr>
            <w:rStyle w:val="Hypertextovodkaz"/>
            <w:rFonts w:asciiTheme="majorHAnsi" w:hAnsiTheme="majorHAnsi" w:cstheme="majorHAnsi"/>
            <w:b/>
            <w:bCs/>
            <w:sz w:val="32"/>
            <w:szCs w:val="32"/>
          </w:rPr>
          <w:t>www.ceec.eu</w:t>
        </w:r>
      </w:hyperlink>
      <w:r w:rsidRPr="0023183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4818F021" w14:textId="77777777" w:rsidR="005A40C2" w:rsidRDefault="005A40C2" w:rsidP="005A40C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7FC0EAE4" w14:textId="77777777" w:rsidR="005A40C2" w:rsidRPr="00B91CDF" w:rsidRDefault="005A40C2" w:rsidP="005A40C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270022EB" w14:textId="77777777" w:rsidR="005A40C2" w:rsidRPr="00B91CDF" w:rsidRDefault="005A40C2" w:rsidP="005A40C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58E50A7F" w14:textId="77777777" w:rsidR="005A40C2" w:rsidRDefault="005A40C2" w:rsidP="005A40C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3299ABCB" w14:textId="77777777" w:rsidR="005A40C2" w:rsidRPr="00872344" w:rsidRDefault="005A40C2" w:rsidP="005A40C2"/>
    <w:sectPr w:rsidR="005A40C2" w:rsidRPr="008723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CDDB" w14:textId="77777777" w:rsidR="00131D82" w:rsidRDefault="00131D82" w:rsidP="005A40C2">
      <w:pPr>
        <w:spacing w:after="0" w:line="240" w:lineRule="auto"/>
      </w:pPr>
      <w:r>
        <w:separator/>
      </w:r>
    </w:p>
  </w:endnote>
  <w:endnote w:type="continuationSeparator" w:id="0">
    <w:p w14:paraId="0750E844" w14:textId="77777777" w:rsidR="00131D82" w:rsidRDefault="00131D82" w:rsidP="005A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4915"/>
      <w:docPartObj>
        <w:docPartGallery w:val="Page Numbers (Bottom of Page)"/>
        <w:docPartUnique/>
      </w:docPartObj>
    </w:sdtPr>
    <w:sdtContent>
      <w:p w14:paraId="4B77EABD" w14:textId="76AD9D57" w:rsidR="00D41BCE" w:rsidRDefault="00D41B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1DC56" w14:textId="77777777" w:rsidR="00D41BCE" w:rsidRDefault="00D41B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046C" w14:textId="77777777" w:rsidR="00131D82" w:rsidRDefault="00131D82" w:rsidP="005A40C2">
      <w:pPr>
        <w:spacing w:after="0" w:line="240" w:lineRule="auto"/>
      </w:pPr>
      <w:r>
        <w:separator/>
      </w:r>
    </w:p>
  </w:footnote>
  <w:footnote w:type="continuationSeparator" w:id="0">
    <w:p w14:paraId="561A6251" w14:textId="77777777" w:rsidR="00131D82" w:rsidRDefault="00131D82" w:rsidP="005A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329C" w14:textId="54C3DB79" w:rsidR="005A40C2" w:rsidRDefault="005A40C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7A22C" wp14:editId="3DF0C1A4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44"/>
    <w:rsid w:val="000C0FDC"/>
    <w:rsid w:val="00131D82"/>
    <w:rsid w:val="00186A14"/>
    <w:rsid w:val="005A40C2"/>
    <w:rsid w:val="006F65E1"/>
    <w:rsid w:val="00872344"/>
    <w:rsid w:val="00BA10E1"/>
    <w:rsid w:val="00D41BCE"/>
    <w:rsid w:val="00F00FBC"/>
    <w:rsid w:val="00F5583A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944C9"/>
  <w15:chartTrackingRefBased/>
  <w15:docId w15:val="{42BEADA8-4D40-4569-9A01-7D677A7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0C2"/>
  </w:style>
  <w:style w:type="paragraph" w:styleId="Zpat">
    <w:name w:val="footer"/>
    <w:basedOn w:val="Normln"/>
    <w:link w:val="ZpatChar"/>
    <w:uiPriority w:val="99"/>
    <w:unhideWhenUsed/>
    <w:rsid w:val="005A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0C2"/>
  </w:style>
  <w:style w:type="character" w:styleId="Hypertextovodkaz">
    <w:name w:val="Hyperlink"/>
    <w:basedOn w:val="Standardnpsmoodstavce"/>
    <w:uiPriority w:val="99"/>
    <w:unhideWhenUsed/>
    <w:rsid w:val="005A4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c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1</cp:revision>
  <dcterms:created xsi:type="dcterms:W3CDTF">2022-03-28T06:40:00Z</dcterms:created>
  <dcterms:modified xsi:type="dcterms:W3CDTF">2022-03-30T07:05:00Z</dcterms:modified>
</cp:coreProperties>
</file>