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992A9" w14:textId="77777777" w:rsidR="00E56D05" w:rsidRDefault="00E56D05" w:rsidP="00E56D05">
      <w:pPr>
        <w:jc w:val="center"/>
        <w:rPr>
          <w:rFonts w:asciiTheme="majorHAnsi" w:hAnsiTheme="majorHAnsi" w:cstheme="majorHAnsi"/>
          <w:b/>
          <w:bCs/>
          <w:color w:val="4472C4" w:themeColor="accent1"/>
          <w:sz w:val="36"/>
          <w:szCs w:val="36"/>
        </w:rPr>
      </w:pPr>
    </w:p>
    <w:p w14:paraId="4CC5CD0C" w14:textId="0FF672AA" w:rsidR="00E56D05" w:rsidRPr="00E56D05" w:rsidRDefault="00E56D05" w:rsidP="00E56D05">
      <w:pPr>
        <w:jc w:val="center"/>
        <w:rPr>
          <w:rFonts w:asciiTheme="majorHAnsi" w:hAnsiTheme="majorHAnsi" w:cstheme="majorHAnsi"/>
          <w:b/>
          <w:bCs/>
          <w:color w:val="4472C4" w:themeColor="accent1"/>
          <w:sz w:val="36"/>
          <w:szCs w:val="36"/>
        </w:rPr>
      </w:pPr>
      <w:r w:rsidRPr="00E56D05">
        <w:rPr>
          <w:rFonts w:asciiTheme="majorHAnsi" w:hAnsiTheme="majorHAnsi" w:cstheme="majorHAnsi"/>
          <w:b/>
          <w:bCs/>
          <w:color w:val="4472C4" w:themeColor="accent1"/>
          <w:sz w:val="36"/>
          <w:szCs w:val="36"/>
        </w:rPr>
        <w:t>V průběhu zadávacího řízení nejlépe komunikuje soukromý sektor</w:t>
      </w:r>
    </w:p>
    <w:p w14:paraId="53ACFE85" w14:textId="77777777" w:rsidR="00E56D05" w:rsidRDefault="00E56D05" w:rsidP="00E56D05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0245BC6D" w14:textId="33836B02" w:rsidR="00DC6001" w:rsidRPr="00E56D05" w:rsidRDefault="00E56D05" w:rsidP="00E56D05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E56D05">
        <w:rPr>
          <w:rFonts w:asciiTheme="majorHAnsi" w:hAnsiTheme="majorHAnsi" w:cstheme="majorHAnsi"/>
          <w:b/>
          <w:bCs/>
        </w:rPr>
        <w:t xml:space="preserve">Praha 8.9.2021 - </w:t>
      </w:r>
      <w:r w:rsidR="001812D3" w:rsidRPr="00E56D05">
        <w:rPr>
          <w:rFonts w:asciiTheme="majorHAnsi" w:hAnsiTheme="majorHAnsi" w:cstheme="majorHAnsi"/>
          <w:b/>
          <w:bCs/>
        </w:rPr>
        <w:t>Projektové společnosti nejlépe hodnotí komunikaci zadavatele</w:t>
      </w:r>
      <w:r>
        <w:rPr>
          <w:rFonts w:asciiTheme="majorHAnsi" w:hAnsiTheme="majorHAnsi" w:cstheme="majorHAnsi"/>
          <w:b/>
          <w:bCs/>
        </w:rPr>
        <w:t xml:space="preserve"> </w:t>
      </w:r>
      <w:r w:rsidR="001812D3" w:rsidRPr="00E56D05">
        <w:rPr>
          <w:rFonts w:asciiTheme="majorHAnsi" w:hAnsiTheme="majorHAnsi" w:cstheme="majorHAnsi"/>
          <w:b/>
          <w:bCs/>
        </w:rPr>
        <w:t>zakázky v rámci soukromého sektoru. U veřejných investorů</w:t>
      </w:r>
      <w:r>
        <w:rPr>
          <w:rFonts w:asciiTheme="majorHAnsi" w:hAnsiTheme="majorHAnsi" w:cstheme="majorHAnsi"/>
          <w:b/>
          <w:bCs/>
        </w:rPr>
        <w:t xml:space="preserve"> </w:t>
      </w:r>
      <w:r w:rsidR="001812D3" w:rsidRPr="00E56D05">
        <w:rPr>
          <w:rFonts w:asciiTheme="majorHAnsi" w:hAnsiTheme="majorHAnsi" w:cstheme="majorHAnsi"/>
          <w:b/>
          <w:bCs/>
        </w:rPr>
        <w:t>nejlépe hodnotí rychlost reakce. Vyžadovanou podrobnost</w:t>
      </w:r>
      <w:r>
        <w:rPr>
          <w:rFonts w:asciiTheme="majorHAnsi" w:hAnsiTheme="majorHAnsi" w:cstheme="majorHAnsi"/>
          <w:b/>
          <w:bCs/>
        </w:rPr>
        <w:t xml:space="preserve"> </w:t>
      </w:r>
      <w:r w:rsidR="001812D3" w:rsidRPr="00E56D05">
        <w:rPr>
          <w:rFonts w:asciiTheme="majorHAnsi" w:hAnsiTheme="majorHAnsi" w:cstheme="majorHAnsi"/>
          <w:b/>
          <w:bCs/>
        </w:rPr>
        <w:t>projektové dokumentace hodnotí projektové společnosti jako</w:t>
      </w:r>
      <w:r>
        <w:rPr>
          <w:rFonts w:asciiTheme="majorHAnsi" w:hAnsiTheme="majorHAnsi" w:cstheme="majorHAnsi"/>
          <w:b/>
          <w:bCs/>
        </w:rPr>
        <w:t xml:space="preserve"> </w:t>
      </w:r>
      <w:r w:rsidR="001812D3" w:rsidRPr="00E56D05">
        <w:rPr>
          <w:rFonts w:asciiTheme="majorHAnsi" w:hAnsiTheme="majorHAnsi" w:cstheme="majorHAnsi"/>
          <w:b/>
          <w:bCs/>
        </w:rPr>
        <w:t>příliš detailní pouze u některých typů projektů (42 %). Nejvíce</w:t>
      </w:r>
      <w:r>
        <w:rPr>
          <w:rFonts w:asciiTheme="majorHAnsi" w:hAnsiTheme="majorHAnsi" w:cstheme="majorHAnsi"/>
          <w:b/>
          <w:bCs/>
        </w:rPr>
        <w:t xml:space="preserve"> </w:t>
      </w:r>
      <w:r w:rsidR="001812D3" w:rsidRPr="00E56D05">
        <w:rPr>
          <w:rFonts w:asciiTheme="majorHAnsi" w:hAnsiTheme="majorHAnsi" w:cstheme="majorHAnsi"/>
          <w:b/>
          <w:bCs/>
        </w:rPr>
        <w:t>podrobností je vyžadováno u dokumentace pro stavební</w:t>
      </w:r>
      <w:r>
        <w:rPr>
          <w:rFonts w:asciiTheme="majorHAnsi" w:hAnsiTheme="majorHAnsi" w:cstheme="majorHAnsi"/>
          <w:b/>
          <w:bCs/>
        </w:rPr>
        <w:t xml:space="preserve"> </w:t>
      </w:r>
      <w:r w:rsidR="001812D3" w:rsidRPr="00E56D05">
        <w:rPr>
          <w:rFonts w:asciiTheme="majorHAnsi" w:hAnsiTheme="majorHAnsi" w:cstheme="majorHAnsi"/>
          <w:b/>
          <w:bCs/>
        </w:rPr>
        <w:t>povolení. O BIM mají zájem především soukromé subjekty.</w:t>
      </w:r>
      <w:r w:rsidRPr="00E56D05">
        <w:rPr>
          <w:rFonts w:asciiTheme="majorHAnsi" w:hAnsiTheme="majorHAnsi" w:cstheme="majorHAnsi"/>
          <w:b/>
          <w:bCs/>
        </w:rPr>
        <w:t xml:space="preserve"> Vyplývá to ze Studie projektových společností zpracované analytickou společností CEEC Research s.r.o.</w:t>
      </w:r>
    </w:p>
    <w:p w14:paraId="64079BA1" w14:textId="4F0DEC51" w:rsidR="00E56D05" w:rsidRPr="00E56D05" w:rsidRDefault="00E56D05" w:rsidP="00E56D05">
      <w:pPr>
        <w:spacing w:line="360" w:lineRule="auto"/>
        <w:jc w:val="both"/>
        <w:rPr>
          <w:rFonts w:asciiTheme="majorHAnsi" w:hAnsiTheme="majorHAnsi" w:cstheme="majorHAnsi"/>
        </w:rPr>
      </w:pPr>
      <w:r w:rsidRPr="00874905">
        <w:drawing>
          <wp:anchor distT="0" distB="0" distL="114300" distR="114300" simplePos="0" relativeHeight="251646464" behindDoc="0" locked="0" layoutInCell="1" allowOverlap="1" wp14:anchorId="47757DC8" wp14:editId="01825A5C">
            <wp:simplePos x="0" y="0"/>
            <wp:positionH relativeFrom="column">
              <wp:posOffset>338455</wp:posOffset>
            </wp:positionH>
            <wp:positionV relativeFrom="paragraph">
              <wp:posOffset>2973705</wp:posOffset>
            </wp:positionV>
            <wp:extent cx="5076825" cy="220980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12D3" w:rsidRPr="00E56D05">
        <w:rPr>
          <w:rFonts w:asciiTheme="majorHAnsi" w:hAnsiTheme="majorHAnsi" w:cstheme="majorHAnsi"/>
        </w:rPr>
        <w:t>V procesu zadávacích řízení je nedílnou součástí komunikace zadavatele a uchazeče o zakázku. Celkovou komunikaci v</w:t>
      </w:r>
      <w:r w:rsidRPr="00E56D05">
        <w:rPr>
          <w:rFonts w:asciiTheme="majorHAnsi" w:hAnsiTheme="majorHAnsi" w:cstheme="majorHAnsi"/>
        </w:rPr>
        <w:t> </w:t>
      </w:r>
      <w:r w:rsidR="001812D3" w:rsidRPr="00E56D05">
        <w:rPr>
          <w:rFonts w:asciiTheme="majorHAnsi" w:hAnsiTheme="majorHAnsi" w:cstheme="majorHAnsi"/>
        </w:rPr>
        <w:t>průběhu</w:t>
      </w:r>
      <w:r w:rsidRPr="00E56D05"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zadávacího řízení hodnotí projektové společnosti nejlépe v rámci soukromého sektoru, kde ji ohodnotili 2,1 body (kdy 1 = výborná</w:t>
      </w:r>
      <w:r w:rsidRPr="00E56D05"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a 5 = špatná). Komunikaci zadavatele v rámci projektů dopravní infrastruktury pro stát ohodnotily společnosti 2,6 body a komunikaci</w:t>
      </w:r>
      <w:r w:rsidRPr="00E56D05"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v rámci projektů pozemních staveb pro stát potom 2,8 body.</w:t>
      </w:r>
      <w:r w:rsidRP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  <w:b/>
          <w:bCs/>
        </w:rPr>
        <w:t>Lucie Bohátková, členka představenstva a obchodní ředitelka SG Geotechnika a.s.</w:t>
      </w:r>
      <w:r w:rsidRPr="00E56D05">
        <w:rPr>
          <w:rFonts w:asciiTheme="majorHAnsi" w:hAnsiTheme="majorHAnsi" w:cstheme="majorHAnsi"/>
        </w:rPr>
        <w:t xml:space="preserve"> upozorňuje na to, že komunikace veřejných investorů se liší od regionů:</w:t>
      </w:r>
      <w:r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  <w:i/>
          <w:iCs/>
        </w:rPr>
        <w:t>„</w:t>
      </w:r>
      <w:r w:rsidRPr="00E56D05">
        <w:rPr>
          <w:rFonts w:asciiTheme="majorHAnsi" w:hAnsiTheme="majorHAnsi" w:cstheme="majorHAnsi"/>
          <w:i/>
          <w:iCs/>
        </w:rPr>
        <w:t>Velmi těžko se hodnotí komunikace veřejných zadavatelů jako celku. Mezi veřejnými zadavateli jsou v oblasti komunikace velké rozdíly a tyto rozdíly</w:t>
      </w:r>
      <w:r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  <w:i/>
          <w:iCs/>
        </w:rPr>
        <w:t>se poměrně výrazně projevují i v rámci jednotlivých regionů – správních celků. Někteří zadavatelé komunikují přehledně a rychle, jinde je komunikace</w:t>
      </w:r>
      <w:r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  <w:i/>
          <w:iCs/>
        </w:rPr>
        <w:t>pomalá a nejednoznačná. Pokud bychom tedy měli hodnotit celek, tak bych použila slovní hodnocení – dobrá.</w:t>
      </w:r>
      <w:r w:rsidRPr="00E56D05">
        <w:rPr>
          <w:rFonts w:asciiTheme="majorHAnsi" w:hAnsiTheme="majorHAnsi" w:cstheme="majorHAnsi"/>
          <w:i/>
          <w:iCs/>
        </w:rPr>
        <w:t>“</w:t>
      </w:r>
    </w:p>
    <w:p w14:paraId="765CA411" w14:textId="77777777" w:rsidR="00E56D05" w:rsidRDefault="00E56D05" w:rsidP="00874905"/>
    <w:p w14:paraId="64849895" w14:textId="5CF19C04" w:rsidR="00E56D05" w:rsidRPr="00E56D05" w:rsidRDefault="00E56D05" w:rsidP="00E56D05">
      <w:pPr>
        <w:spacing w:line="360" w:lineRule="auto"/>
        <w:jc w:val="both"/>
        <w:rPr>
          <w:rFonts w:asciiTheme="majorHAnsi" w:hAnsiTheme="majorHAnsi" w:cstheme="majorHAnsi"/>
        </w:rPr>
      </w:pPr>
      <w:r w:rsidRPr="00E56D05">
        <w:rPr>
          <w:rFonts w:asciiTheme="majorHAnsi" w:hAnsiTheme="majorHAnsi" w:cstheme="majorHAnsi"/>
        </w:rPr>
        <w:drawing>
          <wp:anchor distT="0" distB="0" distL="114300" distR="114300" simplePos="0" relativeHeight="251659776" behindDoc="0" locked="0" layoutInCell="1" allowOverlap="1" wp14:anchorId="3DCC73C3" wp14:editId="0ABD35F8">
            <wp:simplePos x="0" y="0"/>
            <wp:positionH relativeFrom="column">
              <wp:posOffset>147955</wp:posOffset>
            </wp:positionH>
            <wp:positionV relativeFrom="paragraph">
              <wp:posOffset>2694940</wp:posOffset>
            </wp:positionV>
            <wp:extent cx="5295900" cy="2333625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12D3" w:rsidRPr="00E56D05">
        <w:rPr>
          <w:rFonts w:asciiTheme="majorHAnsi" w:hAnsiTheme="majorHAnsi" w:cstheme="majorHAnsi"/>
        </w:rPr>
        <w:t>Co se týče jednotlivých aspektů komunikace s veřejnými zadavateli, projektové společnosti hodnotí nejlépe rychlost reakce, a to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2,5 body (kde 1 = výborná a 5 = špatná). Dále hodnotí profesionalitu 2,7 body a odbornost odpovědi 3,0 body. Nejhorší známkou poté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hodnotí ochotu změny pro lepší specifikaci v zadání (3,4 body). Dotázaní ohodnotili 3,3 body také jiné aspekty, než jsou výše uvedené.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Mezi ty patřila především elektronizace zadávacího řízení nebo odbornost ve specifikaci zadání zakázky (zadavatel nezadá zakázku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přesně, resp. dostatečně podrobně).</w:t>
      </w:r>
      <w:r w:rsidRP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  <w:b/>
          <w:bCs/>
        </w:rPr>
        <w:t>Zdeněk Jeřábek</w:t>
      </w:r>
      <w:r w:rsidRPr="00E56D05">
        <w:rPr>
          <w:rFonts w:asciiTheme="majorHAnsi" w:hAnsiTheme="majorHAnsi" w:cstheme="majorHAnsi"/>
          <w:b/>
          <w:bCs/>
        </w:rPr>
        <w:t xml:space="preserve">, </w:t>
      </w:r>
      <w:r w:rsidRPr="00E56D05">
        <w:rPr>
          <w:rFonts w:asciiTheme="majorHAnsi" w:hAnsiTheme="majorHAnsi" w:cstheme="majorHAnsi"/>
          <w:b/>
          <w:bCs/>
        </w:rPr>
        <w:t>statutární ředitel a člen správní rady společnosti INFRAM a.s.</w:t>
      </w:r>
      <w:r w:rsidRPr="00E56D05">
        <w:rPr>
          <w:rFonts w:asciiTheme="majorHAnsi" w:hAnsiTheme="majorHAnsi" w:cstheme="majorHAnsi"/>
          <w:b/>
          <w:bCs/>
        </w:rPr>
        <w:t xml:space="preserve"> </w:t>
      </w:r>
      <w:r w:rsidRPr="00E56D05">
        <w:rPr>
          <w:rFonts w:asciiTheme="majorHAnsi" w:hAnsiTheme="majorHAnsi" w:cstheme="majorHAnsi"/>
        </w:rPr>
        <w:t xml:space="preserve">podotýká, že komunikace veřejných investorů se řídí zákonem, ale málokdy přinese něco navíc: </w:t>
      </w:r>
      <w:r w:rsidRPr="00E56D05">
        <w:rPr>
          <w:rFonts w:asciiTheme="majorHAnsi" w:hAnsiTheme="majorHAnsi" w:cstheme="majorHAnsi"/>
          <w:i/>
          <w:iCs/>
        </w:rPr>
        <w:t>„</w:t>
      </w:r>
      <w:r w:rsidRPr="00E56D05">
        <w:rPr>
          <w:rFonts w:asciiTheme="majorHAnsi" w:hAnsiTheme="majorHAnsi" w:cstheme="majorHAnsi"/>
          <w:i/>
          <w:iCs/>
        </w:rPr>
        <w:t>Z mých zkušeností mám za to, že komunikace ze strany veřejných zadavatelů je regulována zákonem o zadávání veřejných zakázek.</w:t>
      </w:r>
      <w:r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  <w:i/>
          <w:iCs/>
        </w:rPr>
        <w:t>V rámci toho je komunikace v pořádku.</w:t>
      </w:r>
      <w:r w:rsidRPr="00E56D05">
        <w:rPr>
          <w:rFonts w:asciiTheme="majorHAnsi" w:hAnsiTheme="majorHAnsi" w:cstheme="majorHAnsi"/>
          <w:i/>
          <w:iCs/>
        </w:rPr>
        <w:t>“</w:t>
      </w:r>
    </w:p>
    <w:p w14:paraId="7D58E4CC" w14:textId="19411EE7" w:rsidR="001812D3" w:rsidRPr="00874905" w:rsidRDefault="001812D3" w:rsidP="00874905"/>
    <w:p w14:paraId="729CE32D" w14:textId="2091713A" w:rsidR="001812D3" w:rsidRPr="00E56D05" w:rsidRDefault="00E56D05" w:rsidP="00E56D05">
      <w:pPr>
        <w:spacing w:line="360" w:lineRule="auto"/>
        <w:rPr>
          <w:rFonts w:asciiTheme="majorHAnsi" w:hAnsiTheme="majorHAnsi" w:cstheme="majorHAnsi"/>
        </w:rPr>
      </w:pPr>
      <w:r w:rsidRPr="00E56D05">
        <w:rPr>
          <w:rFonts w:asciiTheme="majorHAnsi" w:hAnsiTheme="majorHAnsi" w:cstheme="majorHAnsi"/>
        </w:rPr>
        <w:t>Nedílnou součástí zadávacího procesu je i projektová dokumentace. Výzkum se věnuje také tomu</w:t>
      </w:r>
      <w:r w:rsidR="001812D3" w:rsidRPr="00E56D05">
        <w:rPr>
          <w:rFonts w:asciiTheme="majorHAnsi" w:hAnsiTheme="majorHAnsi" w:cstheme="majorHAnsi"/>
        </w:rPr>
        <w:t>, zdali projektové společnosti považují požadovanou projektovou dokumentaci ze strany zadavatele za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zbytečně podrobnou. Dvě pětiny jsou názoru, že zbytečné podrobnosti jsou vyžadovány pouze u některých projektů (42 %), další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dvě pětiny se domnívají, že podrobnost projektové dokumentace je adekvátní (40 %). Pouze necelá pětina je názoru opačného (18 %).</w:t>
      </w:r>
    </w:p>
    <w:p w14:paraId="16FB3D4E" w14:textId="77777777" w:rsidR="00E56D05" w:rsidRDefault="00E56D05" w:rsidP="00E56D05">
      <w:pPr>
        <w:rPr>
          <w:rFonts w:asciiTheme="majorHAnsi" w:hAnsiTheme="majorHAnsi" w:cstheme="majorHAnsi"/>
        </w:rPr>
      </w:pPr>
    </w:p>
    <w:p w14:paraId="1CC67092" w14:textId="77777777" w:rsidR="00E56D05" w:rsidRDefault="00E56D05" w:rsidP="00E56D05">
      <w:pPr>
        <w:rPr>
          <w:rFonts w:asciiTheme="majorHAnsi" w:hAnsiTheme="majorHAnsi" w:cstheme="majorHAnsi"/>
        </w:rPr>
      </w:pPr>
    </w:p>
    <w:p w14:paraId="42015A49" w14:textId="44DBAB97" w:rsidR="001812D3" w:rsidRPr="00E56D05" w:rsidRDefault="00E56D05" w:rsidP="00E56D05">
      <w:pPr>
        <w:spacing w:line="360" w:lineRule="auto"/>
        <w:jc w:val="both"/>
      </w:pPr>
      <w:r w:rsidRPr="00874905">
        <w:lastRenderedPageBreak/>
        <w:drawing>
          <wp:anchor distT="0" distB="0" distL="114300" distR="114300" simplePos="0" relativeHeight="251670016" behindDoc="0" locked="0" layoutInCell="1" allowOverlap="1" wp14:anchorId="66E8523F" wp14:editId="167BE29C">
            <wp:simplePos x="0" y="0"/>
            <wp:positionH relativeFrom="column">
              <wp:posOffset>176530</wp:posOffset>
            </wp:positionH>
            <wp:positionV relativeFrom="paragraph">
              <wp:posOffset>5219700</wp:posOffset>
            </wp:positionV>
            <wp:extent cx="5410200" cy="3124200"/>
            <wp:effectExtent l="0" t="0" r="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12D3" w:rsidRPr="00874905">
        <w:drawing>
          <wp:anchor distT="0" distB="0" distL="114300" distR="114300" simplePos="0" relativeHeight="251662848" behindDoc="0" locked="0" layoutInCell="1" allowOverlap="1" wp14:anchorId="71FCF0EC" wp14:editId="0AFA9EEF">
            <wp:simplePos x="0" y="0"/>
            <wp:positionH relativeFrom="column">
              <wp:posOffset>224155</wp:posOffset>
            </wp:positionH>
            <wp:positionV relativeFrom="paragraph">
              <wp:posOffset>347980</wp:posOffset>
            </wp:positionV>
            <wp:extent cx="5305425" cy="3181350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12D3" w:rsidRPr="00E56D05">
        <w:rPr>
          <w:rFonts w:asciiTheme="majorHAnsi" w:hAnsiTheme="majorHAnsi" w:cstheme="majorHAnsi"/>
        </w:rPr>
        <w:t>Zajímali jsme se také o to, ve které části projektové dokumentace se vyskytuje podle projektových společností nejvíce detailů.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Třetina se domnívá, že se jedná o dokumentaci pro stavební povolení (33 %), a více jak čtvrtina se s přílišnými podrobnostmi setkává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u dokumentace pro územní řízení nebo u dokumentace pro vydání společného povolení (obojí shodně 28 %). Již menší část je názoru,</w:t>
      </w:r>
      <w:r>
        <w:rPr>
          <w:rFonts w:asciiTheme="majorHAnsi" w:hAnsiTheme="majorHAnsi" w:cstheme="majorHAnsi"/>
        </w:rPr>
        <w:t xml:space="preserve"> </w:t>
      </w:r>
      <w:r w:rsidR="001812D3" w:rsidRPr="00E56D05">
        <w:rPr>
          <w:rFonts w:asciiTheme="majorHAnsi" w:hAnsiTheme="majorHAnsi" w:cstheme="majorHAnsi"/>
        </w:rPr>
        <w:t>že příliš podrobností je vyžadováno u dokumentace pro zadání/provádění stavby (18 %) nebo u technické studie (13 %).</w:t>
      </w:r>
    </w:p>
    <w:p w14:paraId="1B8E2376" w14:textId="04776AE5" w:rsidR="001812D3" w:rsidRPr="00874905" w:rsidRDefault="001812D3" w:rsidP="00874905"/>
    <w:p w14:paraId="452713A9" w14:textId="77777777" w:rsidR="00E56D05" w:rsidRDefault="00E56D05" w:rsidP="00E56D05">
      <w:pPr>
        <w:spacing w:line="360" w:lineRule="auto"/>
        <w:jc w:val="both"/>
        <w:rPr>
          <w:rFonts w:asciiTheme="majorHAnsi" w:hAnsiTheme="majorHAnsi" w:cstheme="majorHAnsi"/>
        </w:rPr>
      </w:pPr>
    </w:p>
    <w:p w14:paraId="749370C0" w14:textId="77777777" w:rsidR="00E56D05" w:rsidRDefault="00E56D05" w:rsidP="00E56D05">
      <w:pPr>
        <w:spacing w:line="360" w:lineRule="auto"/>
        <w:jc w:val="both"/>
        <w:rPr>
          <w:rFonts w:asciiTheme="majorHAnsi" w:hAnsiTheme="majorHAnsi" w:cstheme="majorHAnsi"/>
        </w:rPr>
      </w:pPr>
    </w:p>
    <w:p w14:paraId="258FC03F" w14:textId="072A15D0" w:rsidR="001812D3" w:rsidRPr="00E56D05" w:rsidRDefault="001812D3" w:rsidP="00E56D05">
      <w:pPr>
        <w:spacing w:line="360" w:lineRule="auto"/>
        <w:jc w:val="both"/>
        <w:rPr>
          <w:rFonts w:asciiTheme="majorHAnsi" w:hAnsiTheme="majorHAnsi" w:cstheme="majorHAnsi"/>
        </w:rPr>
      </w:pPr>
      <w:r w:rsidRPr="00E56D05">
        <w:rPr>
          <w:rFonts w:asciiTheme="majorHAnsi" w:hAnsiTheme="majorHAnsi" w:cstheme="majorHAnsi"/>
        </w:rPr>
        <w:t>Podle 41 % dotázaných společností vystihuje soukromým zadavatelem stanovená výše předpokládané ceny zakázky rostoucí</w:t>
      </w:r>
      <w:r w:rsid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</w:rPr>
        <w:t>náročnost zpracování a projednání projektové dokumentace. Hůře již hodnotili tuto schopnost u veřejných zadavatelů sektorových</w:t>
      </w:r>
      <w:r w:rsid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</w:rPr>
        <w:t>zakázek (23 %) a u veřejných zadavatelů jiných než sektorových zakázek (13 %).</w:t>
      </w:r>
    </w:p>
    <w:p w14:paraId="78C5BD9D" w14:textId="12CAF090" w:rsidR="001812D3" w:rsidRPr="00874905" w:rsidRDefault="001812D3" w:rsidP="00874905">
      <w:r w:rsidRPr="00874905">
        <w:drawing>
          <wp:inline distT="0" distB="0" distL="0" distR="0" wp14:anchorId="798AE724" wp14:editId="60D25BBE">
            <wp:extent cx="5343525" cy="32194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14142" w14:textId="68573531" w:rsidR="00E56D05" w:rsidRPr="00E56D05" w:rsidRDefault="001812D3" w:rsidP="00E56D05">
      <w:pPr>
        <w:spacing w:line="360" w:lineRule="auto"/>
        <w:jc w:val="both"/>
        <w:rPr>
          <w:rFonts w:asciiTheme="majorHAnsi" w:hAnsiTheme="majorHAnsi" w:cstheme="majorHAnsi"/>
        </w:rPr>
      </w:pPr>
      <w:r w:rsidRPr="00E56D05">
        <w:rPr>
          <w:rFonts w:asciiTheme="majorHAnsi" w:hAnsiTheme="majorHAnsi" w:cstheme="majorHAnsi"/>
        </w:rPr>
        <w:t>Zajímali jsme se o to, v kolika procentech projektů (co se finanční hodnoty týče) zahájených od roku 2020 uplatnil investor požadavek</w:t>
      </w:r>
      <w:r w:rsid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</w:rPr>
        <w:t>na zpracování v BIM. Projektové společnosti uvedly, že u soukromých zadavatelů se jednalo v průměru o 13 % všech projektů (zadaných</w:t>
      </w:r>
      <w:r w:rsid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</w:rPr>
        <w:t>soukromým zadavatelem). U veřejného sektoru se pak v průměru jednalo o 6 % všech zakázek zadaných veřejnými zadavateli jiných</w:t>
      </w:r>
      <w:r w:rsidR="00E56D05">
        <w:rPr>
          <w:rFonts w:asciiTheme="majorHAnsi" w:hAnsiTheme="majorHAnsi" w:cstheme="majorHAnsi"/>
        </w:rPr>
        <w:t xml:space="preserve"> </w:t>
      </w:r>
      <w:r w:rsidRPr="00E56D05">
        <w:rPr>
          <w:rFonts w:asciiTheme="majorHAnsi" w:hAnsiTheme="majorHAnsi" w:cstheme="majorHAnsi"/>
        </w:rPr>
        <w:t>než sektorových zakázek a o v průměru 5 % zakázek zadaných sektorovými zadavateli</w:t>
      </w:r>
      <w:r w:rsidR="00E56D05" w:rsidRPr="00E56D05">
        <w:rPr>
          <w:rFonts w:asciiTheme="majorHAnsi" w:hAnsiTheme="majorHAnsi" w:cstheme="majorHAnsi"/>
        </w:rPr>
        <w:t>. „</w:t>
      </w:r>
      <w:r w:rsidR="00E56D05" w:rsidRPr="00E56D05">
        <w:rPr>
          <w:rFonts w:asciiTheme="majorHAnsi" w:hAnsiTheme="majorHAnsi" w:cstheme="majorHAnsi"/>
          <w:i/>
          <w:iCs/>
        </w:rPr>
        <w:t>Pokud se podíváme na projekty z pohledu našich hlavních výrobků,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jako jsou garážová vrata a venkovní žaluzie, tak je to opravdu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projekt od projektu. Garážová vrata sekční jsou dnes naprostým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standardem rodinných domů, pokud tedy dům má mít garáž. Ve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většině projektů se řeší pouze to, že garáž bude mít vrata, která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budou s posuvem pod strop. Občas se ale zapomíná na důležité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parametry, které musí mít stavební otvor, aby bylo možné vrata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nainstalovat, například chybějící ostění nebo nadpraží stavebního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otvoru. Nicméně takových nedokonalostí v projektech ubývá.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Trendem posledních let jsou venkovní žaluzie, které jsou vhodným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designovým prvkem stavby, ale hlavně funkční prvek stavby,</w:t>
      </w:r>
      <w:r w:rsidR="00E56D05">
        <w:rPr>
          <w:rFonts w:asciiTheme="majorHAnsi" w:hAnsiTheme="majorHAnsi" w:cstheme="majorHAnsi"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který zabraňuje přehřívání interiéru. I přesto, že zájem o stínění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tohoto typu každým rokem výrazně roste, velmi často projekty na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venkovní žaluzie nemyslí. Technický návrh instalace venkovních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 xml:space="preserve">žaluzií je pak </w:t>
      </w:r>
      <w:r w:rsidR="00E56D05" w:rsidRPr="00E56D05">
        <w:rPr>
          <w:rFonts w:asciiTheme="majorHAnsi" w:hAnsiTheme="majorHAnsi" w:cstheme="majorHAnsi"/>
          <w:i/>
          <w:iCs/>
        </w:rPr>
        <w:lastRenderedPageBreak/>
        <w:t>zcela závislý na zkušenostech realizační firmy, kdy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do stavby musí zapracovat své technické řešení, které vychází ze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základních požadavků investora. Pokud nás investor osloví včas,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a to již ve fázi připrav hrubé stavby, většinou se podaří navrhnout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takové technické řešení, které stavbu zbytečně neprodražuje.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Nicméně řada stavebníků nás osloví až ve fázi dokončení hrubé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stavby, kdy technické možnosti jsou již velmi omezené a velmi často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jsou technická řešení plná kompromisů a složitých technických</w:t>
      </w:r>
      <w:r w:rsidR="00E56D05">
        <w:rPr>
          <w:rFonts w:asciiTheme="majorHAnsi" w:hAnsiTheme="majorHAnsi" w:cstheme="majorHAnsi"/>
          <w:i/>
          <w:iCs/>
        </w:rPr>
        <w:t xml:space="preserve"> </w:t>
      </w:r>
      <w:r w:rsidR="00E56D05" w:rsidRPr="00E56D05">
        <w:rPr>
          <w:rFonts w:asciiTheme="majorHAnsi" w:hAnsiTheme="majorHAnsi" w:cstheme="majorHAnsi"/>
          <w:i/>
          <w:iCs/>
        </w:rPr>
        <w:t>detailů, které často znamenají zvýšené náklady stavby.</w:t>
      </w:r>
      <w:r w:rsidR="00E56D05" w:rsidRPr="00E56D05">
        <w:rPr>
          <w:rFonts w:asciiTheme="majorHAnsi" w:hAnsiTheme="majorHAnsi" w:cstheme="majorHAnsi"/>
          <w:i/>
          <w:iCs/>
        </w:rPr>
        <w:t>“</w:t>
      </w:r>
      <w:r w:rsidR="00E56D05" w:rsidRPr="00E56D05">
        <w:rPr>
          <w:rFonts w:asciiTheme="majorHAnsi" w:hAnsiTheme="majorHAnsi" w:cstheme="majorHAnsi"/>
        </w:rPr>
        <w:t xml:space="preserve"> komentuje obtížnost </w:t>
      </w:r>
      <w:r w:rsidR="00E56D05" w:rsidRPr="00E56D05">
        <w:rPr>
          <w:rFonts w:asciiTheme="majorHAnsi" w:hAnsiTheme="majorHAnsi" w:cstheme="majorHAnsi"/>
          <w:b/>
          <w:bCs/>
        </w:rPr>
        <w:t>Miroslav Kubík</w:t>
      </w:r>
      <w:r w:rsidR="00E56D05" w:rsidRPr="00E56D05">
        <w:rPr>
          <w:rFonts w:asciiTheme="majorHAnsi" w:hAnsiTheme="majorHAnsi" w:cstheme="majorHAnsi"/>
          <w:b/>
          <w:bCs/>
        </w:rPr>
        <w:t xml:space="preserve">, </w:t>
      </w:r>
      <w:r w:rsidR="00E56D05" w:rsidRPr="00E56D05">
        <w:rPr>
          <w:rFonts w:asciiTheme="majorHAnsi" w:hAnsiTheme="majorHAnsi" w:cstheme="majorHAnsi"/>
          <w:b/>
          <w:bCs/>
        </w:rPr>
        <w:t>vedení společnosti LOMAX &amp; Co s.r.o.</w:t>
      </w:r>
    </w:p>
    <w:p w14:paraId="00948092" w14:textId="70DA607F" w:rsidR="00E56D05" w:rsidRPr="00E56D05" w:rsidRDefault="00E56D05" w:rsidP="00E56D05">
      <w:pPr>
        <w:spacing w:after="120"/>
        <w:jc w:val="center"/>
        <w:rPr>
          <w:rFonts w:ascii="Calibri Light" w:hAnsi="Calibri Light" w:cs="Calibri Light"/>
          <w:b/>
          <w:sz w:val="32"/>
          <w:szCs w:val="32"/>
        </w:rPr>
      </w:pPr>
      <w:r w:rsidRPr="00E56D05">
        <w:rPr>
          <w:rFonts w:ascii="Calibri Light" w:hAnsi="Calibri Light" w:cs="Calibri Light"/>
          <w:b/>
          <w:sz w:val="32"/>
          <w:szCs w:val="32"/>
        </w:rPr>
        <w:t>STUDIE PROJEKTOVÝCH SPOLEČNOSTÍ H2/2021 BUDE ZVEŘEJNĚNA NA:</w:t>
      </w:r>
    </w:p>
    <w:p w14:paraId="5E904F78" w14:textId="619DBC76" w:rsidR="00E56D05" w:rsidRPr="00E56D05" w:rsidRDefault="00E56D05" w:rsidP="00E56D05">
      <w:pPr>
        <w:spacing w:after="120"/>
        <w:jc w:val="center"/>
        <w:rPr>
          <w:rFonts w:ascii="Calibri Light" w:hAnsi="Calibri Light" w:cs="Calibri Light"/>
          <w:b/>
          <w:sz w:val="32"/>
          <w:szCs w:val="32"/>
        </w:rPr>
      </w:pPr>
      <w:hyperlink r:id="rId11" w:history="1">
        <w:r w:rsidRPr="00E56D05">
          <w:rPr>
            <w:rStyle w:val="Hypertextovodkaz"/>
            <w:rFonts w:ascii="Calibri Light" w:hAnsi="Calibri Light" w:cs="Calibri Light"/>
            <w:b/>
            <w:sz w:val="32"/>
            <w:szCs w:val="32"/>
          </w:rPr>
          <w:t>www.ceec.eu</w:t>
        </w:r>
      </w:hyperlink>
    </w:p>
    <w:p w14:paraId="5F1BDEEB" w14:textId="77777777" w:rsidR="00E56D05" w:rsidRDefault="00E56D05" w:rsidP="00E56D05">
      <w:pPr>
        <w:spacing w:after="120"/>
        <w:rPr>
          <w:rFonts w:ascii="Calibri Light" w:hAnsi="Calibri Light" w:cs="Calibri Light"/>
          <w:b/>
        </w:rPr>
      </w:pPr>
    </w:p>
    <w:p w14:paraId="23F80979" w14:textId="6D696D56" w:rsidR="00E56D05" w:rsidRPr="0058229B" w:rsidRDefault="00E56D05" w:rsidP="00E56D05">
      <w:pPr>
        <w:spacing w:after="0"/>
        <w:rPr>
          <w:rFonts w:ascii="Calibri Light" w:hAnsi="Calibri Light" w:cs="Calibri Light"/>
          <w:b/>
        </w:rPr>
      </w:pPr>
      <w:r w:rsidRPr="0058229B">
        <w:rPr>
          <w:rFonts w:ascii="Calibri Light" w:hAnsi="Calibri Light" w:cs="Calibri Light"/>
          <w:b/>
        </w:rPr>
        <w:t>Kontakt pro média:</w:t>
      </w:r>
    </w:p>
    <w:p w14:paraId="7D903F4B" w14:textId="77777777" w:rsidR="00E56D05" w:rsidRPr="0058229B" w:rsidRDefault="00E56D05" w:rsidP="00E56D05">
      <w:pPr>
        <w:spacing w:after="0"/>
        <w:rPr>
          <w:rFonts w:ascii="Calibri Light" w:hAnsi="Calibri Light" w:cs="Calibri Light"/>
        </w:rPr>
      </w:pPr>
      <w:r w:rsidRPr="0058229B">
        <w:rPr>
          <w:rFonts w:ascii="Calibri Light" w:hAnsi="Calibri Light" w:cs="Calibri Light"/>
        </w:rPr>
        <w:t>Ing. Michal Vacek,</w:t>
      </w:r>
    </w:p>
    <w:p w14:paraId="21D9265F" w14:textId="77777777" w:rsidR="00E56D05" w:rsidRPr="0058229B" w:rsidRDefault="00E56D05" w:rsidP="00E56D05">
      <w:pPr>
        <w:spacing w:after="0"/>
        <w:rPr>
          <w:rFonts w:ascii="Calibri Light" w:hAnsi="Calibri Light" w:cs="Calibri Light"/>
        </w:rPr>
      </w:pPr>
      <w:r w:rsidRPr="0058229B">
        <w:rPr>
          <w:rFonts w:ascii="Calibri Light" w:hAnsi="Calibri Light" w:cs="Calibri Light"/>
        </w:rPr>
        <w:t>ředitel společnosti</w:t>
      </w:r>
    </w:p>
    <w:p w14:paraId="22A1C362" w14:textId="77777777" w:rsidR="00E56D05" w:rsidRPr="0058229B" w:rsidRDefault="00E56D05" w:rsidP="00E56D05">
      <w:pPr>
        <w:spacing w:after="0"/>
        <w:rPr>
          <w:rFonts w:ascii="Calibri Light" w:hAnsi="Calibri Light" w:cs="Calibri Light"/>
        </w:rPr>
      </w:pPr>
      <w:r w:rsidRPr="0058229B">
        <w:rPr>
          <w:rFonts w:ascii="Calibri Light" w:hAnsi="Calibri Light" w:cs="Calibri Light"/>
        </w:rPr>
        <w:t>CEEC Research</w:t>
      </w:r>
    </w:p>
    <w:p w14:paraId="32D15B46" w14:textId="77777777" w:rsidR="00E56D05" w:rsidRPr="0058229B" w:rsidRDefault="00E56D05" w:rsidP="00E56D05">
      <w:pPr>
        <w:spacing w:after="0"/>
        <w:rPr>
          <w:rFonts w:ascii="Calibri Light" w:hAnsi="Calibri Light" w:cs="Calibri Light"/>
        </w:rPr>
      </w:pPr>
      <w:r w:rsidRPr="0058229B">
        <w:rPr>
          <w:rFonts w:ascii="Calibri Light" w:hAnsi="Calibri Light" w:cs="Calibri Light"/>
        </w:rPr>
        <w:t>+420 776 023 170</w:t>
      </w:r>
    </w:p>
    <w:p w14:paraId="24A749A6" w14:textId="77777777" w:rsidR="00E56D05" w:rsidRPr="0058229B" w:rsidRDefault="00E56D05" w:rsidP="00E56D05">
      <w:pPr>
        <w:spacing w:after="0"/>
        <w:rPr>
          <w:rFonts w:ascii="Calibri Light" w:hAnsi="Calibri Light" w:cs="Calibri Light"/>
        </w:rPr>
      </w:pPr>
      <w:hyperlink r:id="rId12" w:history="1">
        <w:r w:rsidRPr="0058229B">
          <w:rPr>
            <w:rStyle w:val="Hypertextovodkaz"/>
            <w:rFonts w:ascii="Calibri Light" w:hAnsi="Calibri Light" w:cs="Calibri Light"/>
          </w:rPr>
          <w:t>michal.vacek@ceec.eu</w:t>
        </w:r>
      </w:hyperlink>
    </w:p>
    <w:p w14:paraId="0AEBB7CA" w14:textId="77777777" w:rsidR="00E56D05" w:rsidRDefault="00E56D05" w:rsidP="00E56D05">
      <w:pPr>
        <w:autoSpaceDE w:val="0"/>
        <w:autoSpaceDN w:val="0"/>
        <w:adjustRightInd w:val="0"/>
        <w:spacing w:after="120"/>
        <w:rPr>
          <w:rFonts w:ascii="Calibri Light" w:hAnsi="Calibri Light" w:cs="Calibri Light"/>
        </w:rPr>
      </w:pPr>
    </w:p>
    <w:p w14:paraId="4D2DC7D1" w14:textId="43D2D96B" w:rsidR="00E56D05" w:rsidRPr="0058229B" w:rsidRDefault="00E56D05" w:rsidP="00E56D05">
      <w:pPr>
        <w:autoSpaceDE w:val="0"/>
        <w:autoSpaceDN w:val="0"/>
        <w:adjustRightInd w:val="0"/>
        <w:spacing w:after="120"/>
        <w:rPr>
          <w:rFonts w:ascii="Calibri Light" w:eastAsia="SourceSansPro-Regular" w:hAnsi="Calibri Light" w:cs="Calibri Light"/>
        </w:rPr>
      </w:pPr>
      <w:r w:rsidRPr="0058229B">
        <w:rPr>
          <w:rFonts w:ascii="Calibri Light" w:eastAsia="SourceSansPro-Regular" w:hAnsi="Calibri Light" w:cs="Calibri Light"/>
        </w:rPr>
        <w:t>Společnost CEEC Research je přední analytickou a výzkumnou společností zaměřující se na vývoj vybraných sektorů ekonomiky v zemích střední a východní Evropy. Její studie jsou využívány v současné době více než 17 000 společnostmi. Společnost CEEC Research vznikla v roce 2005 jako analytická organizace specializující se na zpracování výzkumů a analýz stavebního sektoru, následně se analytické zaměření rozšířilo i na další vybrané sektory ekonomiky, včetně stavebnictví.</w:t>
      </w:r>
    </w:p>
    <w:p w14:paraId="7057757D" w14:textId="77777777" w:rsidR="00E56D05" w:rsidRPr="0058229B" w:rsidRDefault="00E56D05" w:rsidP="00E56D05">
      <w:pPr>
        <w:autoSpaceDE w:val="0"/>
        <w:autoSpaceDN w:val="0"/>
        <w:adjustRightInd w:val="0"/>
        <w:rPr>
          <w:rFonts w:ascii="Calibri Light" w:hAnsi="Calibri Light" w:cs="Calibri Light"/>
          <w:bCs/>
        </w:rPr>
      </w:pPr>
      <w:r w:rsidRPr="0058229B">
        <w:rPr>
          <w:rFonts w:ascii="Calibri Light" w:eastAsia="SourceSansPro-Regular" w:hAnsi="Calibri Light" w:cs="Calibri Light"/>
        </w:rPr>
        <w:t>CEEC Research navíc k pravidelným a bezplatným analýzám také organizuje vysoce specializované odborné konference, kterých se účastní generální ředitelé nejvýznamnějších společností, prezidenti klíčových svazů, cechů a komor a rovněž ministři a nejvyšší představitelé státu z vybraných zemí.</w:t>
      </w:r>
    </w:p>
    <w:p w14:paraId="2E2A331F" w14:textId="77777777" w:rsidR="00E56D05" w:rsidRPr="00874905" w:rsidRDefault="00E56D05" w:rsidP="00874905"/>
    <w:sectPr w:rsidR="00E56D05" w:rsidRPr="00874905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CF503" w14:textId="77777777" w:rsidR="00E32F35" w:rsidRDefault="00E32F35" w:rsidP="00E56D05">
      <w:pPr>
        <w:spacing w:after="0" w:line="240" w:lineRule="auto"/>
      </w:pPr>
      <w:r>
        <w:separator/>
      </w:r>
    </w:p>
  </w:endnote>
  <w:endnote w:type="continuationSeparator" w:id="0">
    <w:p w14:paraId="455FEE68" w14:textId="77777777" w:rsidR="00E32F35" w:rsidRDefault="00E32F35" w:rsidP="00E56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SansPro-Regular">
    <w:altName w:val="Yu Gothic"/>
    <w:panose1 w:val="00000000000000000000"/>
    <w:charset w:val="80"/>
    <w:family w:val="swiss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3733503"/>
      <w:docPartObj>
        <w:docPartGallery w:val="Page Numbers (Bottom of Page)"/>
        <w:docPartUnique/>
      </w:docPartObj>
    </w:sdtPr>
    <w:sdtContent>
      <w:p w14:paraId="482F5ED0" w14:textId="48FEF0A5" w:rsidR="00E56D05" w:rsidRDefault="00E56D0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DDD9D8" w14:textId="77777777" w:rsidR="00E56D05" w:rsidRDefault="00E56D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26DD" w14:textId="77777777" w:rsidR="00E32F35" w:rsidRDefault="00E32F35" w:rsidP="00E56D05">
      <w:pPr>
        <w:spacing w:after="0" w:line="240" w:lineRule="auto"/>
      </w:pPr>
      <w:r>
        <w:separator/>
      </w:r>
    </w:p>
  </w:footnote>
  <w:footnote w:type="continuationSeparator" w:id="0">
    <w:p w14:paraId="1126DF27" w14:textId="77777777" w:rsidR="00E32F35" w:rsidRDefault="00E32F35" w:rsidP="00E56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F324" w14:textId="7B4995F0" w:rsidR="00E56D05" w:rsidRDefault="00E56D05">
    <w:pPr>
      <w:pStyle w:val="Zhlav"/>
    </w:pPr>
    <w:r>
      <w:rPr>
        <w:noProof/>
      </w:rPr>
      <w:drawing>
        <wp:anchor distT="0" distB="0" distL="114300" distR="114300" simplePos="0" relativeHeight="251648512" behindDoc="1" locked="0" layoutInCell="1" allowOverlap="1" wp14:anchorId="510A0189" wp14:editId="5A976DAA">
          <wp:simplePos x="0" y="0"/>
          <wp:positionH relativeFrom="margin">
            <wp:posOffset>0</wp:posOffset>
          </wp:positionH>
          <wp:positionV relativeFrom="paragraph">
            <wp:posOffset>-305435</wp:posOffset>
          </wp:positionV>
          <wp:extent cx="1687830" cy="1104265"/>
          <wp:effectExtent l="0" t="0" r="7620" b="635"/>
          <wp:wrapTopAndBottom/>
          <wp:docPr id="23" name="Obrázek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12D3"/>
    <w:rsid w:val="000C0FDC"/>
    <w:rsid w:val="001812D3"/>
    <w:rsid w:val="003D093E"/>
    <w:rsid w:val="00546C00"/>
    <w:rsid w:val="006D7116"/>
    <w:rsid w:val="00874905"/>
    <w:rsid w:val="00BA10E1"/>
    <w:rsid w:val="00DC6001"/>
    <w:rsid w:val="00E32F35"/>
    <w:rsid w:val="00E56D05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3CEF0"/>
  <w15:docId w15:val="{4B175F43-99E7-4738-A58D-C2FF40D0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6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6D05"/>
  </w:style>
  <w:style w:type="paragraph" w:styleId="Zpat">
    <w:name w:val="footer"/>
    <w:basedOn w:val="Normln"/>
    <w:link w:val="ZpatChar"/>
    <w:uiPriority w:val="99"/>
    <w:unhideWhenUsed/>
    <w:rsid w:val="00E56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6D05"/>
  </w:style>
  <w:style w:type="character" w:styleId="Hypertextovodkaz">
    <w:name w:val="Hyperlink"/>
    <w:semiHidden/>
    <w:rsid w:val="00E56D05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56D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michal.vacek@ceec.e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eec.eu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986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2021-09-06T07:09:00Z</dcterms:created>
  <dcterms:modified xsi:type="dcterms:W3CDTF">2021-09-07T12:32:00Z</dcterms:modified>
</cp:coreProperties>
</file>