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71920" w14:textId="76E2BF3B" w:rsidR="009621BA" w:rsidRPr="00C32175" w:rsidRDefault="00C32175" w:rsidP="00C32175">
      <w:pPr>
        <w:jc w:val="center"/>
        <w:rPr>
          <w:b/>
          <w:bCs/>
          <w:sz w:val="32"/>
          <w:szCs w:val="32"/>
        </w:rPr>
      </w:pPr>
      <w:bookmarkStart w:id="0" w:name="_Hlk77430759"/>
      <w:r w:rsidRPr="00C32175">
        <w:rPr>
          <w:b/>
          <w:bCs/>
          <w:sz w:val="32"/>
          <w:szCs w:val="32"/>
        </w:rPr>
        <w:t>V lednu až květnu 2021 byly oznámeny stavební zakázky celkem</w:t>
      </w:r>
      <w:r>
        <w:rPr>
          <w:b/>
          <w:bCs/>
          <w:sz w:val="32"/>
          <w:szCs w:val="32"/>
        </w:rPr>
        <w:t xml:space="preserve"> </w:t>
      </w:r>
      <w:r w:rsidRPr="00C32175">
        <w:rPr>
          <w:b/>
          <w:bCs/>
          <w:sz w:val="32"/>
          <w:szCs w:val="32"/>
        </w:rPr>
        <w:t>v</w:t>
      </w:r>
      <w:r>
        <w:rPr>
          <w:b/>
          <w:bCs/>
          <w:sz w:val="32"/>
          <w:szCs w:val="32"/>
        </w:rPr>
        <w:t> </w:t>
      </w:r>
      <w:r w:rsidRPr="00C32175">
        <w:rPr>
          <w:b/>
          <w:bCs/>
          <w:sz w:val="32"/>
          <w:szCs w:val="32"/>
        </w:rPr>
        <w:t>hodnotě</w:t>
      </w:r>
      <w:r>
        <w:rPr>
          <w:b/>
          <w:bCs/>
          <w:sz w:val="32"/>
          <w:szCs w:val="32"/>
        </w:rPr>
        <w:t xml:space="preserve"> </w:t>
      </w:r>
      <w:r w:rsidRPr="00C32175">
        <w:rPr>
          <w:b/>
          <w:bCs/>
          <w:sz w:val="32"/>
          <w:szCs w:val="32"/>
        </w:rPr>
        <w:t>46,8 mld. Kč</w:t>
      </w:r>
    </w:p>
    <w:bookmarkEnd w:id="0"/>
    <w:p w14:paraId="1ADFC046" w14:textId="77777777" w:rsidR="00C32175" w:rsidRDefault="00C32175" w:rsidP="009621BA">
      <w:pPr>
        <w:rPr>
          <w:b/>
          <w:bCs/>
        </w:rPr>
      </w:pPr>
    </w:p>
    <w:p w14:paraId="3B5054D6" w14:textId="15CED06C" w:rsidR="009621BA" w:rsidRPr="00C32175" w:rsidRDefault="00C94074" w:rsidP="00C32175">
      <w:pPr>
        <w:spacing w:line="360" w:lineRule="auto"/>
        <w:jc w:val="both"/>
        <w:rPr>
          <w:b/>
          <w:bCs/>
        </w:rPr>
      </w:pPr>
      <w:bookmarkStart w:id="1" w:name="_Hlk77430797"/>
      <w:r>
        <w:rPr>
          <w:b/>
          <w:bCs/>
        </w:rPr>
        <w:t xml:space="preserve">Praha 19.7.2021 - </w:t>
      </w:r>
      <w:r w:rsidR="009621BA" w:rsidRPr="00C32175">
        <w:rPr>
          <w:b/>
          <w:bCs/>
        </w:rPr>
        <w:t>V lednu až květnu 2021 byly oznámeny zakázky celkem v</w:t>
      </w:r>
      <w:r w:rsidR="00C32175">
        <w:rPr>
          <w:b/>
          <w:bCs/>
        </w:rPr>
        <w:t> </w:t>
      </w:r>
      <w:r w:rsidR="009621BA" w:rsidRPr="00C32175">
        <w:rPr>
          <w:b/>
          <w:bCs/>
        </w:rPr>
        <w:t>hodnotě</w:t>
      </w:r>
      <w:r w:rsidR="00C32175">
        <w:rPr>
          <w:b/>
          <w:bCs/>
        </w:rPr>
        <w:t xml:space="preserve"> </w:t>
      </w:r>
      <w:r w:rsidR="009621BA" w:rsidRPr="00C32175">
        <w:rPr>
          <w:b/>
          <w:bCs/>
        </w:rPr>
        <w:t>46,8 mld. Kč, z toho bylo později zadáno 5,3 mld. Kč (tedy 11 %</w:t>
      </w:r>
      <w:r w:rsidR="00C32175">
        <w:rPr>
          <w:b/>
          <w:bCs/>
        </w:rPr>
        <w:t xml:space="preserve"> </w:t>
      </w:r>
      <w:r w:rsidR="009621BA" w:rsidRPr="00C32175">
        <w:rPr>
          <w:b/>
          <w:bCs/>
        </w:rPr>
        <w:t>z oznámených). Skutečná zadaná hodnota zakázek byla 4,9 mld.</w:t>
      </w:r>
      <w:r w:rsidR="00C32175">
        <w:rPr>
          <w:b/>
          <w:bCs/>
        </w:rPr>
        <w:t xml:space="preserve"> </w:t>
      </w:r>
      <w:r w:rsidR="009621BA" w:rsidRPr="00C32175">
        <w:rPr>
          <w:b/>
          <w:bCs/>
        </w:rPr>
        <w:t>Kč, protože zadaná hodnota byla o cca 9 % nižší než při oznámení.</w:t>
      </w:r>
      <w:r w:rsidR="00C32175">
        <w:rPr>
          <w:b/>
          <w:bCs/>
        </w:rPr>
        <w:t xml:space="preserve"> </w:t>
      </w:r>
      <w:r w:rsidR="009621BA" w:rsidRPr="00C32175">
        <w:rPr>
          <w:b/>
          <w:bCs/>
        </w:rPr>
        <w:t>Z celkového objemu oznámených zakázek byly později zrušen</w:t>
      </w:r>
      <w:r w:rsidR="00C32175">
        <w:rPr>
          <w:b/>
          <w:bCs/>
        </w:rPr>
        <w:t xml:space="preserve"> </w:t>
      </w:r>
      <w:r w:rsidR="009621BA" w:rsidRPr="00C32175">
        <w:rPr>
          <w:b/>
          <w:bCs/>
        </w:rPr>
        <w:t>zakázky za 1,7 mld. Kč (tedy cca 4 % z oznámených). Po odečtení</w:t>
      </w:r>
      <w:r w:rsidR="00C32175">
        <w:rPr>
          <w:b/>
          <w:bCs/>
        </w:rPr>
        <w:t xml:space="preserve"> </w:t>
      </w:r>
      <w:r w:rsidR="009621BA" w:rsidRPr="00C32175">
        <w:rPr>
          <w:b/>
          <w:bCs/>
        </w:rPr>
        <w:t>zadaných a zrušených zakázek zbývá v systému ještě 39,7 mld. Kč</w:t>
      </w:r>
      <w:r w:rsidR="00C32175">
        <w:rPr>
          <w:b/>
          <w:bCs/>
        </w:rPr>
        <w:t xml:space="preserve"> </w:t>
      </w:r>
      <w:r w:rsidR="009621BA" w:rsidRPr="00C32175">
        <w:rPr>
          <w:b/>
          <w:bCs/>
        </w:rPr>
        <w:t>(tedy 85 %), které nebyly zatím zadány nebo zrušeny (případně</w:t>
      </w:r>
      <w:r w:rsidR="00C32175">
        <w:rPr>
          <w:b/>
          <w:bCs/>
        </w:rPr>
        <w:t xml:space="preserve"> </w:t>
      </w:r>
      <w:r w:rsidR="009621BA" w:rsidRPr="00C32175">
        <w:rPr>
          <w:b/>
          <w:bCs/>
        </w:rPr>
        <w:t>informace, že se tak stalo, nebyla dodána).</w:t>
      </w:r>
      <w:r w:rsidR="00C32175" w:rsidRPr="00C32175">
        <w:rPr>
          <w:b/>
          <w:bCs/>
        </w:rPr>
        <w:t xml:space="preserve"> Vyplývá to z analýzy veřejných zakázek zpracované analytickou společností CEEC </w:t>
      </w:r>
      <w:proofErr w:type="spellStart"/>
      <w:r w:rsidR="00C32175" w:rsidRPr="00C32175">
        <w:rPr>
          <w:b/>
          <w:bCs/>
        </w:rPr>
        <w:t>Research</w:t>
      </w:r>
      <w:proofErr w:type="spellEnd"/>
      <w:r w:rsidR="00C32175" w:rsidRPr="00C32175">
        <w:rPr>
          <w:b/>
          <w:bCs/>
        </w:rPr>
        <w:t xml:space="preserve"> s.r.o. </w:t>
      </w:r>
    </w:p>
    <w:bookmarkEnd w:id="1"/>
    <w:p w14:paraId="0F2932DD" w14:textId="31C36C3C" w:rsidR="00C32175" w:rsidRPr="00C32175" w:rsidRDefault="009621BA" w:rsidP="00C32175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C32175">
        <w:rPr>
          <w:rFonts w:cstheme="minorHAnsi"/>
          <w:sz w:val="24"/>
          <w:szCs w:val="24"/>
        </w:rPr>
        <w:t>V lednu až květnu 2021 bylo vydáno 713 řádných oznámení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o zakázce, což je o 5,0 % více než ve stejném období minulého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roku. Celková předpokládaná hodnota oznámení o zakázce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v lednu až květnu 2021 činila 46,8 mld. Kč a byl zaznamenán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její meziroční pokles o 31,3 %. Meziroční pokles hodnoty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ovlivnila velká zakázka s hodnotou 10,8 mld. Kč na pražské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metro od Dopravního podniku hl. m. Prahy oznámená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v lednu 2020. Pokud bychom modelově posuzovali pouze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zakázky s hodnotou pod 1 mld. Kč, dostaneme meziroční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pokles hodnoty oznámených zakázek o 4,1 %.</w:t>
      </w:r>
      <w:r w:rsidR="00C32175" w:rsidRPr="00C32175">
        <w:rPr>
          <w:rFonts w:cstheme="minorHAnsi"/>
          <w:i/>
          <w:iCs/>
          <w:sz w:val="24"/>
          <w:szCs w:val="24"/>
        </w:rPr>
        <w:t xml:space="preserve"> </w:t>
      </w:r>
      <w:r w:rsidR="00C32175" w:rsidRPr="00C32175">
        <w:rPr>
          <w:rFonts w:cstheme="minorHAnsi"/>
          <w:sz w:val="24"/>
          <w:szCs w:val="24"/>
        </w:rPr>
        <w:t>Převážná část z oznámených zakázek je v rámci inženýrského stavitelství, na což upoz</w:t>
      </w:r>
      <w:r w:rsidR="00C32175">
        <w:rPr>
          <w:rFonts w:cstheme="minorHAnsi"/>
          <w:sz w:val="24"/>
          <w:szCs w:val="24"/>
        </w:rPr>
        <w:t>o</w:t>
      </w:r>
      <w:r w:rsidR="00C32175" w:rsidRPr="00C32175">
        <w:rPr>
          <w:rFonts w:cstheme="minorHAnsi"/>
          <w:sz w:val="24"/>
          <w:szCs w:val="24"/>
        </w:rPr>
        <w:t xml:space="preserve">rňuje </w:t>
      </w:r>
      <w:r w:rsidR="00C32175" w:rsidRPr="00C32175">
        <w:rPr>
          <w:rFonts w:cstheme="minorHAnsi"/>
          <w:b/>
          <w:bCs/>
          <w:sz w:val="24"/>
          <w:szCs w:val="24"/>
        </w:rPr>
        <w:t>Ondřej Novák</w:t>
      </w:r>
      <w:r w:rsidR="00C32175">
        <w:rPr>
          <w:rFonts w:cstheme="minorHAnsi"/>
          <w:b/>
          <w:bCs/>
          <w:sz w:val="24"/>
          <w:szCs w:val="24"/>
        </w:rPr>
        <w:t xml:space="preserve"> </w:t>
      </w:r>
      <w:r w:rsidR="00C32175" w:rsidRPr="00C32175">
        <w:rPr>
          <w:rFonts w:cstheme="minorHAnsi"/>
          <w:b/>
          <w:bCs/>
          <w:sz w:val="24"/>
          <w:szCs w:val="24"/>
        </w:rPr>
        <w:t>předseda představenstva společnosti STRABAG a.s.:</w:t>
      </w:r>
      <w:r w:rsidR="00C32175">
        <w:rPr>
          <w:rFonts w:cstheme="minorHAnsi"/>
          <w:b/>
          <w:bCs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„Mezi jednotlivými sektory stavebnictví je obrovský rozdíl. Nejhůře je</w:t>
      </w:r>
      <w:r w:rsidR="00C32175">
        <w:rPr>
          <w:rFonts w:cstheme="minorHAnsi"/>
          <w:b/>
          <w:bCs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na tom v současné době pozemní stavitelství, kde výrazně poklesly</w:t>
      </w:r>
      <w:r w:rsidR="00C32175">
        <w:rPr>
          <w:rFonts w:cstheme="minorHAnsi"/>
          <w:b/>
          <w:bCs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investice do soukromých projektů a veřejné investice nejsou</w:t>
      </w:r>
      <w:r w:rsidR="00C32175">
        <w:rPr>
          <w:rFonts w:cstheme="minorHAnsi"/>
          <w:b/>
          <w:bCs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připraveny v objemu, který by tento pokles mohl vyvážit. Lepší je</w:t>
      </w:r>
      <w:r w:rsidR="00C32175">
        <w:rPr>
          <w:rFonts w:cstheme="minorHAnsi"/>
          <w:b/>
          <w:bCs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situace v silničních stavbách, kde je k dispozici financování a stavby</w:t>
      </w:r>
      <w:r w:rsidR="00C32175">
        <w:rPr>
          <w:rFonts w:cstheme="minorHAnsi"/>
          <w:b/>
          <w:bCs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se připravují i soutěží. Nejlépe si z hlediska veřejných zakázek</w:t>
      </w:r>
      <w:r w:rsidR="00C32175">
        <w:rPr>
          <w:rFonts w:cstheme="minorHAnsi"/>
          <w:b/>
          <w:bCs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momentálně vede odvětví železničního stavitelství, kde je k</w:t>
      </w:r>
      <w:r w:rsidR="00C32175">
        <w:rPr>
          <w:rFonts w:cstheme="minorHAnsi"/>
          <w:i/>
          <w:iCs/>
          <w:sz w:val="24"/>
          <w:szCs w:val="24"/>
        </w:rPr>
        <w:t> </w:t>
      </w:r>
      <w:r w:rsidR="00C32175" w:rsidRPr="00C32175">
        <w:rPr>
          <w:rFonts w:cstheme="minorHAnsi"/>
          <w:i/>
          <w:iCs/>
          <w:sz w:val="24"/>
          <w:szCs w:val="24"/>
        </w:rPr>
        <w:t>dispozici</w:t>
      </w:r>
      <w:r w:rsidR="00C32175">
        <w:rPr>
          <w:rFonts w:cstheme="minorHAnsi"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větší množství financí a je zde velká připravenost projektů. Co bych</w:t>
      </w:r>
      <w:r w:rsidR="00C32175">
        <w:rPr>
          <w:rFonts w:cstheme="minorHAnsi"/>
          <w:i/>
          <w:iCs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chtěl ocenit je, že především v silničním stavitelství se začaly objevovat</w:t>
      </w:r>
      <w:r w:rsidR="00C32175">
        <w:rPr>
          <w:rFonts w:cstheme="minorHAnsi"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soutěže, kde se investor zajímá nejen o nejnižší cenu, ale také o dob</w:t>
      </w:r>
      <w:r w:rsidR="00C32175">
        <w:rPr>
          <w:rFonts w:cstheme="minorHAnsi"/>
          <w:i/>
          <w:iCs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výstavby. To je trend, který bych uvítal i v železničních stavbách.</w:t>
      </w:r>
    </w:p>
    <w:p w14:paraId="2DFBD085" w14:textId="163CB4C0" w:rsidR="00C32175" w:rsidRPr="00C32175" w:rsidRDefault="00C32175" w:rsidP="00C32175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i/>
          <w:iCs/>
          <w:sz w:val="24"/>
          <w:szCs w:val="24"/>
        </w:rPr>
      </w:pPr>
      <w:r w:rsidRPr="00C32175">
        <w:rPr>
          <w:rFonts w:cstheme="minorHAnsi"/>
          <w:i/>
          <w:iCs/>
          <w:sz w:val="24"/>
          <w:szCs w:val="24"/>
        </w:rPr>
        <w:t>Jakýkoliv posun od statického a „nezúčastněného“ přístupu směrem</w:t>
      </w:r>
      <w:r>
        <w:rPr>
          <w:rFonts w:cstheme="minorHAnsi"/>
          <w:i/>
          <w:iCs/>
          <w:sz w:val="24"/>
          <w:szCs w:val="24"/>
        </w:rPr>
        <w:t xml:space="preserve"> </w:t>
      </w:r>
      <w:r w:rsidRPr="00C32175">
        <w:rPr>
          <w:rFonts w:cstheme="minorHAnsi"/>
          <w:i/>
          <w:iCs/>
          <w:sz w:val="24"/>
          <w:szCs w:val="24"/>
        </w:rPr>
        <w:t>k aktivnímu vyhodnocení nabídek a zohlednění více kritérií (což je</w:t>
      </w:r>
      <w:r>
        <w:rPr>
          <w:rFonts w:cstheme="minorHAnsi"/>
          <w:i/>
          <w:iCs/>
          <w:sz w:val="24"/>
          <w:szCs w:val="24"/>
        </w:rPr>
        <w:t xml:space="preserve"> </w:t>
      </w:r>
      <w:r w:rsidRPr="00C32175">
        <w:rPr>
          <w:rFonts w:cstheme="minorHAnsi"/>
          <w:i/>
          <w:iCs/>
          <w:sz w:val="24"/>
          <w:szCs w:val="24"/>
        </w:rPr>
        <w:t>u soukromých investorů samozřejmostí) by stavebnictví prospěl.“</w:t>
      </w:r>
    </w:p>
    <w:p w14:paraId="317C3D15" w14:textId="071CC1E2" w:rsidR="009621BA" w:rsidRDefault="009621BA" w:rsidP="009621BA">
      <w:pPr>
        <w:rPr>
          <w:rFonts w:ascii="SourceSansVariable-Roman" w:hAnsi="SourceSansVariable-Roman" w:cs="SourceSansVariable-Roman"/>
          <w:sz w:val="18"/>
          <w:szCs w:val="18"/>
        </w:rPr>
      </w:pPr>
    </w:p>
    <w:p w14:paraId="3BA5D970" w14:textId="02A6D512" w:rsidR="009621BA" w:rsidRDefault="009621BA" w:rsidP="009621BA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32339E1" wp14:editId="4414DA9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143500" cy="3067050"/>
            <wp:effectExtent l="0" t="0" r="0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48D387" w14:textId="00118DA3" w:rsidR="009621BA" w:rsidRPr="00C32175" w:rsidRDefault="009621BA" w:rsidP="00C32175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C32175">
        <w:rPr>
          <w:rFonts w:cstheme="minorHAnsi"/>
          <w:sz w:val="24"/>
          <w:szCs w:val="24"/>
        </w:rPr>
        <w:t>Určitá část z oznámených zakázek je v následujících měsících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zrušena a některé z nich mohou být znovu oznámeny jako další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zakázka. Ze zakázek, které byly oznámeny v lednu až květnu 2021,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bylo zrušeno 7 %. Rušení oznámených zakázek má vliv také na jejich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celkový objem, který do značné míry závisí na velikosti zrušené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zakázky. Pokud se zruší velká zakázka, má to větší vliv než zrušení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většího počtu zakázek menších. Co se týká předběžného objemu,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byly zatím zrušeny 4 % z celkové hodnoty zakázek oznámených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lednu až květnu 2021. K dalšímu rušení zakázek bude ještě velmi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pravděpodobně docházet, takže poměry se dále budou měnit.</w:t>
      </w:r>
    </w:p>
    <w:p w14:paraId="3072AAE8" w14:textId="77777777" w:rsidR="00C32175" w:rsidRDefault="00C32175" w:rsidP="00C32175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CC0A3F5" w14:textId="3C735AE4" w:rsidR="009621BA" w:rsidRPr="00C32175" w:rsidRDefault="009621BA" w:rsidP="00C32175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C32175">
        <w:rPr>
          <w:rFonts w:cstheme="minorHAnsi"/>
          <w:sz w:val="24"/>
          <w:szCs w:val="24"/>
        </w:rPr>
        <w:t>Značná část oznámených zakázek je časem zadána konkrétnímu dodavateli. Ze zakázek, které byly oznámeny v lednu až květnu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2021, bylo zadáno 18 %. Co se týká hodnoty, bylo zadáno zatím 11 % z celkového objemu zakázek oznámených v lednu až květnu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2021. Většina zadávacích řízení však ještě běží a data o zadaných zakázkách budou dále aktualizována.</w:t>
      </w:r>
    </w:p>
    <w:p w14:paraId="4D4DA2E6" w14:textId="402B7659" w:rsidR="009621BA" w:rsidRDefault="009621BA" w:rsidP="009621BA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A7E9747" wp14:editId="0F7E4444">
            <wp:simplePos x="0" y="0"/>
            <wp:positionH relativeFrom="margin">
              <wp:align>center</wp:align>
            </wp:positionH>
            <wp:positionV relativeFrom="paragraph">
              <wp:posOffset>19050</wp:posOffset>
            </wp:positionV>
            <wp:extent cx="5219700" cy="3381375"/>
            <wp:effectExtent l="0" t="0" r="0" b="9525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8763F2" w14:textId="1E60726A" w:rsidR="00C32175" w:rsidRPr="00C32175" w:rsidRDefault="009621BA" w:rsidP="00C32175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C32175">
        <w:rPr>
          <w:rFonts w:cstheme="minorHAnsi"/>
          <w:sz w:val="24"/>
          <w:szCs w:val="24"/>
        </w:rPr>
        <w:t>V lednu až květnu 2021 bylo zadáno 2 617 zakázek (včetně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částí zakázek), což je o 26,4 % více než v stejném období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minulého roku. Hodnota zakázek zadaných v lednu až květnu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2021 činila 100,8 mld. Kč, což představovalo růst o 41,3 %.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Výrazný růst hodnoty zadaných zakázek ovlivnila zakázka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Ministerstva dopravy na projektování, výstavbu, financování,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 xml:space="preserve">provozování a údržba dálnice D4 v úseku Háje </w:t>
      </w:r>
      <w:r w:rsidR="00C32175">
        <w:rPr>
          <w:rFonts w:cstheme="minorHAnsi"/>
          <w:sz w:val="24"/>
          <w:szCs w:val="24"/>
        </w:rPr>
        <w:t>–</w:t>
      </w:r>
      <w:r w:rsidRPr="00C32175">
        <w:rPr>
          <w:rFonts w:cstheme="minorHAnsi"/>
          <w:sz w:val="24"/>
          <w:szCs w:val="24"/>
        </w:rPr>
        <w:t xml:space="preserve"> Mirotice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a provozování a údržba existujících přiléhajících úsek</w:t>
      </w:r>
      <w:r w:rsidR="00C32175">
        <w:rPr>
          <w:rFonts w:cstheme="minorHAnsi"/>
          <w:sz w:val="24"/>
          <w:szCs w:val="24"/>
        </w:rPr>
        <w:t xml:space="preserve"> </w:t>
      </w:r>
      <w:proofErr w:type="gramStart"/>
      <w:r w:rsidRPr="00C32175">
        <w:rPr>
          <w:rFonts w:cstheme="minorHAnsi"/>
          <w:sz w:val="24"/>
          <w:szCs w:val="24"/>
        </w:rPr>
        <w:t>Skalka - Háje</w:t>
      </w:r>
      <w:proofErr w:type="gramEnd"/>
      <w:r w:rsidRPr="00C32175">
        <w:rPr>
          <w:rFonts w:cstheme="minorHAnsi"/>
          <w:sz w:val="24"/>
          <w:szCs w:val="24"/>
        </w:rPr>
        <w:t xml:space="preserve"> a Mirotice - Krašovice, projekt PPP v</w:t>
      </w:r>
      <w:r w:rsidR="00C32175">
        <w:rPr>
          <w:rFonts w:cstheme="minorHAnsi"/>
          <w:sz w:val="24"/>
          <w:szCs w:val="24"/>
        </w:rPr>
        <w:t> </w:t>
      </w:r>
      <w:r w:rsidRPr="00C32175">
        <w:rPr>
          <w:rFonts w:cstheme="minorHAnsi"/>
          <w:sz w:val="24"/>
          <w:szCs w:val="24"/>
        </w:rPr>
        <w:t>hodnotě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32 mld. Kč. Pokud bychom modelově posuzovali pouze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zakázky s hodnotou pod 1 mld. Kč, dostaneme meziroční růst</w:t>
      </w:r>
      <w:r w:rsidR="00C32175">
        <w:rPr>
          <w:rFonts w:cstheme="minorHAnsi"/>
          <w:sz w:val="24"/>
          <w:szCs w:val="24"/>
        </w:rPr>
        <w:t xml:space="preserve"> </w:t>
      </w:r>
      <w:r w:rsidRPr="00C32175">
        <w:rPr>
          <w:rFonts w:cstheme="minorHAnsi"/>
          <w:sz w:val="24"/>
          <w:szCs w:val="24"/>
        </w:rPr>
        <w:t>hodnoty zadaných zakázek o 1,6 %.</w:t>
      </w:r>
      <w:r w:rsidR="00C32175" w:rsidRPr="00C32175">
        <w:rPr>
          <w:rFonts w:cstheme="minorHAnsi"/>
          <w:sz w:val="24"/>
          <w:szCs w:val="24"/>
        </w:rPr>
        <w:t xml:space="preserve"> Firmy také mnohdy využívají různých praktik k tomu, aby</w:t>
      </w:r>
      <w:r w:rsidR="00C32175">
        <w:rPr>
          <w:rFonts w:cstheme="minorHAnsi"/>
          <w:sz w:val="24"/>
          <w:szCs w:val="24"/>
        </w:rPr>
        <w:t xml:space="preserve"> </w:t>
      </w:r>
      <w:r w:rsidR="00C32175" w:rsidRPr="00C32175">
        <w:rPr>
          <w:rFonts w:cstheme="minorHAnsi"/>
          <w:sz w:val="24"/>
          <w:szCs w:val="24"/>
        </w:rPr>
        <w:t xml:space="preserve">zakázku získali, jak popisuje </w:t>
      </w:r>
      <w:r w:rsidR="00C32175" w:rsidRPr="00C32175">
        <w:rPr>
          <w:rFonts w:cstheme="minorHAnsi"/>
          <w:b/>
          <w:bCs/>
          <w:sz w:val="24"/>
          <w:szCs w:val="24"/>
        </w:rPr>
        <w:t>Zdeněk Jeřábek</w:t>
      </w:r>
      <w:r w:rsidR="00C32175">
        <w:rPr>
          <w:rFonts w:cstheme="minorHAnsi"/>
          <w:sz w:val="24"/>
          <w:szCs w:val="24"/>
        </w:rPr>
        <w:t xml:space="preserve"> </w:t>
      </w:r>
      <w:r w:rsidR="00C32175" w:rsidRPr="00C32175">
        <w:rPr>
          <w:rFonts w:cstheme="minorHAnsi"/>
          <w:b/>
          <w:bCs/>
          <w:sz w:val="24"/>
          <w:szCs w:val="24"/>
        </w:rPr>
        <w:t>statutární ředitel a člen správní rady společnosti INFRAM a.s</w:t>
      </w:r>
      <w:r w:rsidR="00C32175" w:rsidRPr="00C32175">
        <w:rPr>
          <w:rFonts w:cstheme="minorHAnsi"/>
          <w:sz w:val="24"/>
          <w:szCs w:val="24"/>
        </w:rPr>
        <w:t>.:</w:t>
      </w:r>
      <w:r w:rsidR="00C32175">
        <w:rPr>
          <w:rFonts w:cstheme="minorHAnsi"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„V současné době vidím vývoj veřejných zakázek pozitivně,</w:t>
      </w:r>
      <w:r w:rsidR="00C32175">
        <w:rPr>
          <w:rFonts w:cstheme="minorHAnsi"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připravených akcí je mnoho. Často evidujeme problémy s</w:t>
      </w:r>
      <w:r w:rsidR="00C32175">
        <w:rPr>
          <w:rFonts w:cstheme="minorHAnsi"/>
          <w:i/>
          <w:iCs/>
          <w:sz w:val="24"/>
          <w:szCs w:val="24"/>
        </w:rPr>
        <w:t> </w:t>
      </w:r>
      <w:r w:rsidR="00C32175" w:rsidRPr="00C32175">
        <w:rPr>
          <w:rFonts w:cstheme="minorHAnsi"/>
          <w:i/>
          <w:iCs/>
          <w:sz w:val="24"/>
          <w:szCs w:val="24"/>
        </w:rPr>
        <w:t>organizací</w:t>
      </w:r>
      <w:r w:rsidR="00C32175">
        <w:rPr>
          <w:rFonts w:cstheme="minorHAnsi"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soutěží a s jejich vyhodnocováním. Někdy býváme svědky situací, kdy</w:t>
      </w:r>
      <w:r w:rsidR="00C32175">
        <w:rPr>
          <w:rFonts w:cstheme="minorHAnsi"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některé organizace vstupující do nabídkových řízení se snaží chybějící</w:t>
      </w:r>
      <w:r w:rsidR="00C32175">
        <w:rPr>
          <w:rFonts w:cstheme="minorHAnsi"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kvalifikační a referenční vlastnosti přebíjet emitováním obstrukčních</w:t>
      </w:r>
      <w:r w:rsidR="00C32175">
        <w:rPr>
          <w:rFonts w:cstheme="minorHAnsi"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dotazů, které často ústí k dovoláváním se “svých práv” k</w:t>
      </w:r>
      <w:r w:rsidR="00C32175">
        <w:rPr>
          <w:rFonts w:cstheme="minorHAnsi"/>
          <w:i/>
          <w:iCs/>
          <w:sz w:val="24"/>
          <w:szCs w:val="24"/>
        </w:rPr>
        <w:t> </w:t>
      </w:r>
      <w:r w:rsidR="00C32175" w:rsidRPr="00C32175">
        <w:rPr>
          <w:rFonts w:cstheme="minorHAnsi"/>
          <w:i/>
          <w:iCs/>
          <w:sz w:val="24"/>
          <w:szCs w:val="24"/>
        </w:rPr>
        <w:t>nejvyšším</w:t>
      </w:r>
      <w:r w:rsidR="00C32175">
        <w:rPr>
          <w:rFonts w:cstheme="minorHAnsi"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orgánům. Bohužel takto se stává, že některé investice jsou oddalovány,</w:t>
      </w:r>
      <w:r w:rsidR="00C32175">
        <w:rPr>
          <w:rFonts w:cstheme="minorHAnsi"/>
          <w:sz w:val="24"/>
          <w:szCs w:val="24"/>
        </w:rPr>
        <w:t xml:space="preserve"> </w:t>
      </w:r>
      <w:r w:rsidR="00C32175" w:rsidRPr="00C32175">
        <w:rPr>
          <w:rFonts w:cstheme="minorHAnsi"/>
          <w:i/>
          <w:iCs/>
          <w:sz w:val="24"/>
          <w:szCs w:val="24"/>
        </w:rPr>
        <w:t>je škoda, že na tyto praktiky nejsme legislativně lépe připraveni.“</w:t>
      </w:r>
    </w:p>
    <w:p w14:paraId="5E680A7F" w14:textId="1E11F031" w:rsidR="009621BA" w:rsidRDefault="009621BA" w:rsidP="009621BA">
      <w:pPr>
        <w:rPr>
          <w:rFonts w:ascii="SourceSansVariable-Roman" w:hAnsi="SourceSansVariable-Roman" w:cs="SourceSansVariable-Roman"/>
          <w:sz w:val="18"/>
          <w:szCs w:val="18"/>
        </w:rPr>
      </w:pPr>
    </w:p>
    <w:p w14:paraId="321B7BF5" w14:textId="7CBE4EE2" w:rsidR="009621BA" w:rsidRDefault="009621BA" w:rsidP="009621BA"/>
    <w:p w14:paraId="4A8B0281" w14:textId="2BE53880" w:rsidR="009621BA" w:rsidRDefault="00C32175" w:rsidP="009621BA">
      <w:r>
        <w:rPr>
          <w:noProof/>
        </w:rPr>
        <w:drawing>
          <wp:anchor distT="0" distB="0" distL="114300" distR="114300" simplePos="0" relativeHeight="251658240" behindDoc="0" locked="0" layoutInCell="1" allowOverlap="1" wp14:anchorId="0D75335A" wp14:editId="13B55ED8">
            <wp:simplePos x="0" y="0"/>
            <wp:positionH relativeFrom="margin">
              <wp:align>center</wp:align>
            </wp:positionH>
            <wp:positionV relativeFrom="paragraph">
              <wp:posOffset>191135</wp:posOffset>
            </wp:positionV>
            <wp:extent cx="5353050" cy="3371850"/>
            <wp:effectExtent l="0" t="0" r="0" b="0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B5C397" w14:textId="6F582F64" w:rsidR="001B4FF4" w:rsidRDefault="001B4FF4" w:rsidP="009621BA">
      <w:pPr>
        <w:rPr>
          <w:rFonts w:ascii="SourceSansVariable-Italic" w:hAnsi="SourceSansVariable-Italic" w:cs="SourceSansVariable-Italic"/>
          <w:i/>
          <w:iCs/>
          <w:sz w:val="16"/>
          <w:szCs w:val="16"/>
        </w:rPr>
      </w:pPr>
    </w:p>
    <w:p w14:paraId="251EF409" w14:textId="6B6DEE93" w:rsidR="00C32175" w:rsidRPr="00C32175" w:rsidRDefault="00C32175" w:rsidP="00C32175">
      <w:pPr>
        <w:jc w:val="center"/>
        <w:rPr>
          <w:rFonts w:cstheme="minorHAnsi"/>
          <w:b/>
          <w:bCs/>
          <w:sz w:val="16"/>
          <w:szCs w:val="16"/>
        </w:rPr>
      </w:pPr>
      <w:r w:rsidRPr="00C32175">
        <w:rPr>
          <w:rFonts w:cstheme="minorHAnsi"/>
          <w:b/>
          <w:bCs/>
          <w:sz w:val="32"/>
          <w:szCs w:val="32"/>
        </w:rPr>
        <w:t>Kvartální analýza českého stavebnictví Q2/2021 je dostupná na:</w:t>
      </w:r>
    </w:p>
    <w:p w14:paraId="2B3044CB" w14:textId="77777777" w:rsidR="001B4FF4" w:rsidRPr="00A16707" w:rsidRDefault="002D2F3E" w:rsidP="001B4FF4">
      <w:pPr>
        <w:spacing w:before="240" w:after="240" w:line="240" w:lineRule="auto"/>
        <w:jc w:val="center"/>
        <w:rPr>
          <w:rFonts w:asciiTheme="majorHAnsi" w:eastAsia="Times New Roman" w:hAnsiTheme="majorHAnsi" w:cstheme="majorHAnsi"/>
          <w:color w:val="000000"/>
          <w:sz w:val="32"/>
          <w:szCs w:val="32"/>
          <w:lang w:eastAsia="cs-CZ"/>
        </w:rPr>
      </w:pPr>
      <w:hyperlink r:id="rId9" w:history="1">
        <w:r w:rsidR="001B4FF4" w:rsidRPr="00A97D1E">
          <w:rPr>
            <w:rStyle w:val="Hypertextovodkaz"/>
            <w:rFonts w:eastAsia="Times New Roman" w:cstheme="majorHAnsi"/>
            <w:sz w:val="36"/>
            <w:szCs w:val="36"/>
            <w:lang w:eastAsia="cs-CZ"/>
          </w:rPr>
          <w:t>www.ceec.eu</w:t>
        </w:r>
        <w:r w:rsidR="001B4FF4" w:rsidRPr="00A97D1E">
          <w:rPr>
            <w:rStyle w:val="Hypertextovodkaz"/>
            <w:rFonts w:asciiTheme="majorHAnsi" w:eastAsia="Times New Roman" w:hAnsiTheme="majorHAnsi" w:cstheme="majorHAnsi"/>
            <w:sz w:val="44"/>
            <w:szCs w:val="44"/>
            <w:lang w:eastAsia="cs-CZ"/>
          </w:rPr>
          <w:br/>
        </w:r>
      </w:hyperlink>
    </w:p>
    <w:p w14:paraId="75CBE6A0" w14:textId="77777777" w:rsidR="001B4FF4" w:rsidRDefault="001B4FF4" w:rsidP="001B4FF4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cs-CZ"/>
        </w:rPr>
      </w:pPr>
      <w:r>
        <w:rPr>
          <w:rFonts w:ascii="Calibri" w:eastAsia="Times New Roman" w:hAnsi="Calibri" w:cs="Calibri"/>
          <w:b/>
          <w:bCs/>
          <w:color w:val="000000"/>
          <w:lang w:eastAsia="cs-CZ"/>
        </w:rPr>
        <w:t>Kontakt pro média:</w:t>
      </w:r>
      <w:r>
        <w:rPr>
          <w:rFonts w:ascii="Calibri" w:eastAsia="Times New Roman" w:hAnsi="Calibri" w:cs="Calibri"/>
          <w:b/>
          <w:bCs/>
          <w:color w:val="000000"/>
          <w:lang w:eastAsia="cs-CZ"/>
        </w:rPr>
        <w:br/>
      </w:r>
      <w:r>
        <w:rPr>
          <w:rFonts w:ascii="Calibri" w:eastAsia="Times New Roman" w:hAnsi="Calibri" w:cs="Calibri"/>
          <w:color w:val="000000"/>
          <w:lang w:eastAsia="cs-CZ"/>
        </w:rPr>
        <w:t>Ing. Michal Vacek,</w:t>
      </w:r>
      <w:r>
        <w:rPr>
          <w:rFonts w:ascii="Calibri" w:eastAsia="Times New Roman" w:hAnsi="Calibri" w:cs="Calibri"/>
          <w:color w:val="000000"/>
          <w:lang w:eastAsia="cs-CZ"/>
        </w:rPr>
        <w:br/>
        <w:t>ředitel společnosti</w:t>
      </w:r>
      <w:r>
        <w:rPr>
          <w:rFonts w:ascii="Calibri" w:eastAsia="Times New Roman" w:hAnsi="Calibri" w:cs="Calibri"/>
          <w:color w:val="000000"/>
          <w:lang w:eastAsia="cs-CZ"/>
        </w:rPr>
        <w:br/>
        <w:t xml:space="preserve">CEEC </w:t>
      </w:r>
      <w:proofErr w:type="spellStart"/>
      <w:r>
        <w:rPr>
          <w:rFonts w:ascii="Calibri" w:eastAsia="Times New Roman" w:hAnsi="Calibri" w:cs="Calibri"/>
          <w:color w:val="000000"/>
          <w:lang w:eastAsia="cs-CZ"/>
        </w:rPr>
        <w:t>Research</w:t>
      </w:r>
      <w:proofErr w:type="spellEnd"/>
      <w:r>
        <w:rPr>
          <w:rFonts w:ascii="Calibri" w:eastAsia="Times New Roman" w:hAnsi="Calibri" w:cs="Calibri"/>
          <w:color w:val="000000"/>
          <w:lang w:eastAsia="cs-CZ"/>
        </w:rPr>
        <w:br/>
        <w:t>+420 776 023 170</w:t>
      </w:r>
      <w:r>
        <w:rPr>
          <w:rFonts w:ascii="Calibri" w:eastAsia="Times New Roman" w:hAnsi="Calibri" w:cs="Calibri"/>
          <w:color w:val="000000"/>
          <w:lang w:eastAsia="cs-CZ"/>
        </w:rPr>
        <w:br/>
      </w:r>
      <w:r>
        <w:rPr>
          <w:rFonts w:ascii="Calibri" w:eastAsia="Times New Roman" w:hAnsi="Calibri" w:cs="Calibri"/>
          <w:color w:val="1155CC"/>
          <w:u w:val="single"/>
          <w:lang w:eastAsia="cs-CZ"/>
        </w:rPr>
        <w:t>michal.vacek@ceec.eu</w:t>
      </w:r>
    </w:p>
    <w:p w14:paraId="2A5B81E3" w14:textId="77777777" w:rsidR="001B4FF4" w:rsidRPr="00B91CDF" w:rsidRDefault="001B4FF4" w:rsidP="001B4FF4">
      <w:pPr>
        <w:spacing w:line="240" w:lineRule="auto"/>
        <w:jc w:val="both"/>
        <w:rPr>
          <w:rFonts w:asciiTheme="majorHAnsi" w:hAnsiTheme="majorHAnsi" w:cstheme="majorHAnsi"/>
        </w:rPr>
      </w:pPr>
      <w:r w:rsidRPr="00B91CDF">
        <w:rPr>
          <w:rFonts w:asciiTheme="majorHAnsi" w:hAnsiTheme="majorHAnsi" w:cstheme="majorHAnsi"/>
        </w:rPr>
        <w:t xml:space="preserve">Společnost CEEC </w:t>
      </w:r>
      <w:proofErr w:type="spellStart"/>
      <w:r w:rsidRPr="00B91CDF">
        <w:rPr>
          <w:rFonts w:asciiTheme="majorHAnsi" w:hAnsiTheme="majorHAnsi" w:cstheme="majorHAnsi"/>
        </w:rPr>
        <w:t>Research</w:t>
      </w:r>
      <w:proofErr w:type="spellEnd"/>
      <w:r w:rsidRPr="00B91CDF">
        <w:rPr>
          <w:rFonts w:asciiTheme="majorHAnsi" w:hAnsiTheme="majorHAnsi" w:cstheme="majorHAnsi"/>
        </w:rPr>
        <w:t xml:space="preserve"> je přední analytickou a výzkumnou společností zaměřující se na vývoj vybraných sektorů ekonomiky v zemích střední a východní Evropy. Její studie jsou využívány v současné době více než 17</w:t>
      </w:r>
      <w:r>
        <w:rPr>
          <w:rFonts w:asciiTheme="majorHAnsi" w:hAnsiTheme="majorHAnsi" w:cstheme="majorHAnsi"/>
        </w:rPr>
        <w:t> </w:t>
      </w:r>
      <w:r w:rsidRPr="00B91CDF">
        <w:rPr>
          <w:rFonts w:asciiTheme="majorHAnsi" w:hAnsiTheme="majorHAnsi" w:cstheme="majorHAnsi"/>
        </w:rPr>
        <w:t xml:space="preserve">000 společnostmi. Společnost CEEC </w:t>
      </w:r>
      <w:proofErr w:type="spellStart"/>
      <w:r w:rsidRPr="00B91CDF">
        <w:rPr>
          <w:rFonts w:asciiTheme="majorHAnsi" w:hAnsiTheme="majorHAnsi" w:cstheme="majorHAnsi"/>
        </w:rPr>
        <w:t>Research</w:t>
      </w:r>
      <w:proofErr w:type="spellEnd"/>
      <w:r w:rsidRPr="00B91CDF">
        <w:rPr>
          <w:rFonts w:asciiTheme="majorHAnsi" w:hAnsiTheme="majorHAnsi" w:cstheme="majorHAnsi"/>
        </w:rPr>
        <w:t xml:space="preserve"> vznikla v roce 2005 jako analytická organizace specializující se na zpracování výzkumů a analýz stavebního sektoru, následně se analytické zaměření rozšířilo i na další vybrané sektory ekonomiky, včetně stavebnictví.</w:t>
      </w:r>
    </w:p>
    <w:p w14:paraId="13929B63" w14:textId="77777777" w:rsidR="001B4FF4" w:rsidRPr="00B91CDF" w:rsidRDefault="001B4FF4" w:rsidP="001B4FF4">
      <w:pPr>
        <w:spacing w:line="240" w:lineRule="auto"/>
        <w:jc w:val="both"/>
        <w:rPr>
          <w:rFonts w:asciiTheme="majorHAnsi" w:hAnsiTheme="majorHAnsi" w:cstheme="majorHAnsi"/>
        </w:rPr>
      </w:pPr>
      <w:r w:rsidRPr="00B91CDF">
        <w:rPr>
          <w:rFonts w:asciiTheme="majorHAnsi" w:hAnsiTheme="majorHAnsi" w:cstheme="majorHAnsi"/>
        </w:rPr>
        <w:t xml:space="preserve">CEEC </w:t>
      </w:r>
      <w:proofErr w:type="spellStart"/>
      <w:r w:rsidRPr="00B91CDF">
        <w:rPr>
          <w:rFonts w:asciiTheme="majorHAnsi" w:hAnsiTheme="majorHAnsi" w:cstheme="majorHAnsi"/>
        </w:rPr>
        <w:t>Research</w:t>
      </w:r>
      <w:proofErr w:type="spellEnd"/>
      <w:r w:rsidRPr="00B91CDF">
        <w:rPr>
          <w:rFonts w:asciiTheme="majorHAnsi" w:hAnsiTheme="majorHAnsi" w:cstheme="majorHAnsi"/>
        </w:rPr>
        <w:t xml:space="preserve"> navíc k pravidelným a bezplatným analýzám také organizuje vysoce specializované odborné konference, kterých se účastní generální ředitelé nejvýznamnějších společností, prezidenti klíčových svazů, cechů a komor a rovněž ministři a nejvyšší představitelé státu z vybraných zemí. </w:t>
      </w:r>
    </w:p>
    <w:p w14:paraId="7A5FE819" w14:textId="77777777" w:rsidR="001B4FF4" w:rsidRPr="00C00A98" w:rsidRDefault="001B4FF4" w:rsidP="001B4FF4"/>
    <w:p w14:paraId="5A167917" w14:textId="77777777" w:rsidR="001B4FF4" w:rsidRPr="009621BA" w:rsidRDefault="001B4FF4" w:rsidP="009621BA"/>
    <w:sectPr w:rsidR="001B4FF4" w:rsidRPr="009621B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AB339" w14:textId="77777777" w:rsidR="002D2F3E" w:rsidRDefault="002D2F3E" w:rsidP="001B4FF4">
      <w:pPr>
        <w:spacing w:after="0" w:line="240" w:lineRule="auto"/>
      </w:pPr>
      <w:r>
        <w:separator/>
      </w:r>
    </w:p>
  </w:endnote>
  <w:endnote w:type="continuationSeparator" w:id="0">
    <w:p w14:paraId="10165475" w14:textId="77777777" w:rsidR="002D2F3E" w:rsidRDefault="002D2F3E" w:rsidP="001B4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ourceSansVariable-Roman">
    <w:altName w:val="Calibri"/>
    <w:panose1 w:val="00000000000000000000"/>
    <w:charset w:val="EE"/>
    <w:family w:val="swiss"/>
    <w:notTrueType/>
    <w:pitch w:val="default"/>
    <w:sig w:usb0="00000005" w:usb1="08070000" w:usb2="00000010" w:usb3="00000000" w:csb0="00020002" w:csb1="00000000"/>
  </w:font>
  <w:font w:name="SourceSansVariable-Italic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4640B" w14:textId="77777777" w:rsidR="002D2F3E" w:rsidRDefault="002D2F3E" w:rsidP="001B4FF4">
      <w:pPr>
        <w:spacing w:after="0" w:line="240" w:lineRule="auto"/>
      </w:pPr>
      <w:r>
        <w:separator/>
      </w:r>
    </w:p>
  </w:footnote>
  <w:footnote w:type="continuationSeparator" w:id="0">
    <w:p w14:paraId="65FDB1C9" w14:textId="77777777" w:rsidR="002D2F3E" w:rsidRDefault="002D2F3E" w:rsidP="001B4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12388" w14:textId="66D310A8" w:rsidR="001B4FF4" w:rsidRDefault="001B4FF4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32DB84" wp14:editId="65F181BF">
          <wp:simplePos x="0" y="0"/>
          <wp:positionH relativeFrom="margin">
            <wp:align>left</wp:align>
          </wp:positionH>
          <wp:positionV relativeFrom="paragraph">
            <wp:posOffset>-372110</wp:posOffset>
          </wp:positionV>
          <wp:extent cx="1885950" cy="1012190"/>
          <wp:effectExtent l="0" t="0" r="0" b="0"/>
          <wp:wrapTopAndBottom/>
          <wp:docPr id="5" name="Obrázek 5" descr="Obsah obrázku kreslení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kreslení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0" cy="1012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1BA"/>
    <w:rsid w:val="00004710"/>
    <w:rsid w:val="000C0FDC"/>
    <w:rsid w:val="001B4FF4"/>
    <w:rsid w:val="002D2F3E"/>
    <w:rsid w:val="009621BA"/>
    <w:rsid w:val="00AE2B34"/>
    <w:rsid w:val="00BA10E1"/>
    <w:rsid w:val="00C32175"/>
    <w:rsid w:val="00C94074"/>
    <w:rsid w:val="00F7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C8872"/>
  <w15:chartTrackingRefBased/>
  <w15:docId w15:val="{12567247-312C-4F0C-A749-0D5F09298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4F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4FF4"/>
  </w:style>
  <w:style w:type="paragraph" w:styleId="Zpat">
    <w:name w:val="footer"/>
    <w:basedOn w:val="Normln"/>
    <w:link w:val="ZpatChar"/>
    <w:uiPriority w:val="99"/>
    <w:unhideWhenUsed/>
    <w:rsid w:val="001B4F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4FF4"/>
  </w:style>
  <w:style w:type="character" w:styleId="Hypertextovodkaz">
    <w:name w:val="Hyperlink"/>
    <w:basedOn w:val="Standardnpsmoodstavce"/>
    <w:uiPriority w:val="99"/>
    <w:unhideWhenUsed/>
    <w:rsid w:val="001B4F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ceec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831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Vacek</dc:creator>
  <cp:keywords/>
  <dc:description/>
  <cp:lastModifiedBy>Michal Vacek</cp:lastModifiedBy>
  <cp:revision>2</cp:revision>
  <dcterms:created xsi:type="dcterms:W3CDTF">2021-06-28T06:23:00Z</dcterms:created>
  <dcterms:modified xsi:type="dcterms:W3CDTF">2021-07-17T14:15:00Z</dcterms:modified>
</cp:coreProperties>
</file>