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994C8" w14:textId="5BC5B97B" w:rsidR="00EA421C" w:rsidRPr="00EA421C" w:rsidRDefault="00EA421C" w:rsidP="00EA421C">
      <w:pPr>
        <w:jc w:val="center"/>
        <w:rPr>
          <w:b/>
          <w:bCs/>
          <w:sz w:val="32"/>
          <w:szCs w:val="32"/>
        </w:rPr>
      </w:pPr>
      <w:r w:rsidRPr="00EA421C">
        <w:rPr>
          <w:b/>
          <w:bCs/>
          <w:sz w:val="32"/>
          <w:szCs w:val="32"/>
        </w:rPr>
        <w:t>Největší obtíží při čerpání finančních prostředků z fondů ESI je zdlouhavé povolovací řízení</w:t>
      </w:r>
    </w:p>
    <w:p w14:paraId="5E42890B" w14:textId="77777777" w:rsidR="009618F5" w:rsidRDefault="009618F5" w:rsidP="00EA421C">
      <w:pPr>
        <w:spacing w:line="360" w:lineRule="auto"/>
        <w:jc w:val="both"/>
        <w:rPr>
          <w:b/>
          <w:bCs/>
          <w:sz w:val="24"/>
          <w:szCs w:val="24"/>
        </w:rPr>
      </w:pPr>
    </w:p>
    <w:p w14:paraId="42616EE1" w14:textId="060A8FFD" w:rsidR="00933942" w:rsidRPr="00EA421C" w:rsidRDefault="009618F5" w:rsidP="00EA421C">
      <w:pPr>
        <w:spacing w:line="360" w:lineRule="auto"/>
        <w:jc w:val="both"/>
        <w:rPr>
          <w:b/>
          <w:bCs/>
          <w:sz w:val="24"/>
          <w:szCs w:val="24"/>
        </w:rPr>
      </w:pPr>
      <w:bookmarkStart w:id="0" w:name="_Hlk76538570"/>
      <w:r>
        <w:rPr>
          <w:b/>
          <w:bCs/>
          <w:sz w:val="24"/>
          <w:szCs w:val="24"/>
        </w:rPr>
        <w:t xml:space="preserve">Praha 07.07.2021 - </w:t>
      </w:r>
      <w:r w:rsidR="00933942" w:rsidRPr="00EA421C">
        <w:rPr>
          <w:b/>
          <w:bCs/>
          <w:sz w:val="24"/>
          <w:szCs w:val="24"/>
        </w:rPr>
        <w:t>V rámci ČR se nemalý objem výstavby realizuje také za pomoci</w:t>
      </w:r>
      <w:r w:rsidR="00EA421C">
        <w:rPr>
          <w:b/>
          <w:bCs/>
          <w:sz w:val="24"/>
          <w:szCs w:val="24"/>
        </w:rPr>
        <w:t xml:space="preserve"> </w:t>
      </w:r>
      <w:r w:rsidR="00933942" w:rsidRPr="00EA421C">
        <w:rPr>
          <w:b/>
          <w:bCs/>
          <w:sz w:val="24"/>
          <w:szCs w:val="24"/>
        </w:rPr>
        <w:t>finančních prostředků z fondů ESI. Podle 59 % stavebních</w:t>
      </w:r>
      <w:r w:rsidR="00EA421C">
        <w:rPr>
          <w:b/>
          <w:bCs/>
          <w:sz w:val="24"/>
          <w:szCs w:val="24"/>
        </w:rPr>
        <w:t xml:space="preserve"> </w:t>
      </w:r>
      <w:r w:rsidR="00933942" w:rsidRPr="00EA421C">
        <w:rPr>
          <w:b/>
          <w:bCs/>
          <w:sz w:val="24"/>
          <w:szCs w:val="24"/>
        </w:rPr>
        <w:t>společností by mohla větší aktivita veřejné správy v</w:t>
      </w:r>
      <w:r w:rsidR="00EA421C">
        <w:rPr>
          <w:b/>
          <w:bCs/>
          <w:sz w:val="24"/>
          <w:szCs w:val="24"/>
        </w:rPr>
        <w:t> </w:t>
      </w:r>
      <w:r w:rsidR="00933942" w:rsidRPr="00EA421C">
        <w:rPr>
          <w:b/>
          <w:bCs/>
          <w:sz w:val="24"/>
          <w:szCs w:val="24"/>
        </w:rPr>
        <w:t>tomto</w:t>
      </w:r>
      <w:r w:rsidR="00EA421C">
        <w:rPr>
          <w:b/>
          <w:bCs/>
          <w:sz w:val="24"/>
          <w:szCs w:val="24"/>
        </w:rPr>
        <w:t xml:space="preserve"> </w:t>
      </w:r>
      <w:r w:rsidR="00933942" w:rsidRPr="00EA421C">
        <w:rPr>
          <w:b/>
          <w:bCs/>
          <w:sz w:val="24"/>
          <w:szCs w:val="24"/>
        </w:rPr>
        <w:t>ohledu zlepšit situaci ve stavebnictví. Čerpání prostředků v</w:t>
      </w:r>
      <w:r w:rsidR="00EA421C">
        <w:rPr>
          <w:b/>
          <w:bCs/>
          <w:sz w:val="24"/>
          <w:szCs w:val="24"/>
        </w:rPr>
        <w:t xml:space="preserve"> </w:t>
      </w:r>
      <w:r w:rsidR="00933942" w:rsidRPr="00EA421C">
        <w:rPr>
          <w:b/>
          <w:bCs/>
          <w:sz w:val="24"/>
          <w:szCs w:val="24"/>
        </w:rPr>
        <w:t>oblasti výstavby podle dotázaných nejvíce brání zdlouhavé</w:t>
      </w:r>
      <w:r w:rsidR="00EA421C">
        <w:rPr>
          <w:b/>
          <w:bCs/>
          <w:sz w:val="24"/>
          <w:szCs w:val="24"/>
        </w:rPr>
        <w:t xml:space="preserve"> </w:t>
      </w:r>
      <w:r w:rsidR="00933942" w:rsidRPr="00EA421C">
        <w:rPr>
          <w:b/>
          <w:bCs/>
          <w:sz w:val="24"/>
          <w:szCs w:val="24"/>
        </w:rPr>
        <w:t>povolovací řízení (60 %). V průměru v posledním programovém</w:t>
      </w:r>
      <w:r w:rsidR="00EA421C">
        <w:rPr>
          <w:b/>
          <w:bCs/>
          <w:sz w:val="24"/>
          <w:szCs w:val="24"/>
        </w:rPr>
        <w:t xml:space="preserve"> </w:t>
      </w:r>
      <w:r w:rsidR="00933942" w:rsidRPr="00EA421C">
        <w:rPr>
          <w:b/>
          <w:bCs/>
          <w:sz w:val="24"/>
          <w:szCs w:val="24"/>
        </w:rPr>
        <w:t>období 2014–2020 tvořily zakázky spolufinancované z fondů ESI</w:t>
      </w:r>
      <w:r w:rsidR="00EA421C">
        <w:rPr>
          <w:b/>
          <w:bCs/>
          <w:sz w:val="24"/>
          <w:szCs w:val="24"/>
        </w:rPr>
        <w:t xml:space="preserve"> </w:t>
      </w:r>
      <w:r w:rsidR="00933942" w:rsidRPr="00EA421C">
        <w:rPr>
          <w:b/>
          <w:bCs/>
          <w:sz w:val="24"/>
          <w:szCs w:val="24"/>
        </w:rPr>
        <w:t>23 % všech realizovaných zakázek stavebních společností.</w:t>
      </w:r>
      <w:r w:rsidR="00EA421C" w:rsidRPr="00EA421C">
        <w:rPr>
          <w:b/>
          <w:bCs/>
          <w:sz w:val="24"/>
          <w:szCs w:val="24"/>
        </w:rPr>
        <w:t xml:space="preserve"> Vyplývá to z Kvartální analýzy českého stavebnictví Q2/2021 zpracované analytickou společností CEEC Research s.r.o. </w:t>
      </w:r>
    </w:p>
    <w:bookmarkEnd w:id="0"/>
    <w:p w14:paraId="09766B38" w14:textId="2837259B" w:rsidR="00EA421C" w:rsidRDefault="00933942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Dotazovali jsme se stavebních společností, nakolik podle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nich veřejná správa využívá možnosti čerpání dotací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u dopravních a pozemních staveb. Podle ředitelů stavebních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společností veřejná správa využívá více dotací v</w:t>
      </w:r>
      <w:r w:rsidR="00EA421C">
        <w:rPr>
          <w:rFonts w:cstheme="minorHAnsi"/>
          <w:sz w:val="24"/>
          <w:szCs w:val="24"/>
        </w:rPr>
        <w:t> </w:t>
      </w:r>
      <w:r w:rsidRPr="00EA421C">
        <w:rPr>
          <w:rFonts w:cstheme="minorHAnsi"/>
          <w:sz w:val="24"/>
          <w:szCs w:val="24"/>
        </w:rPr>
        <w:t>oblasti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dopravních staveb. Její aktivity v tomto ohledu ohodnotili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ředitelé stavebních společností 6 body z 10 možných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(kdy 0 = nevyužila žádné možnosti a 10 = využila všechny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dostupné možnosti). U pozemních staveb aktivity veřejné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správy v oblasti čerpání dotací hodnotili ředitelé stavebních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společností 5 body z 10 možných.</w:t>
      </w:r>
    </w:p>
    <w:p w14:paraId="66AA78DB" w14:textId="77777777" w:rsidR="00EA421C" w:rsidRDefault="00EA421C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6C99A8E" w14:textId="722ED38B" w:rsidR="00933942" w:rsidRPr="00EA421C" w:rsidRDefault="00933942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Podle tří pětin dotázaných stavebních společností by vyšší aktivita veřejné správy v oblasti čerpání dotací pomohla zlepšit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situaci ve stavebnictví (59 %). Alespoň k částečnému zlepšení by vyšší čerpání dotací stavebnictví pomohlo podle 35 %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dotázaných. Zbylých 6 % dotázaných se domnívá, že by vyšší aktivita veřejné správy v tomto ohledu neměla na situaci ve</w:t>
      </w:r>
    </w:p>
    <w:p w14:paraId="7441F17B" w14:textId="45ECAAB9" w:rsidR="00933942" w:rsidRPr="00EA421C" w:rsidRDefault="00933942" w:rsidP="00EA421C">
      <w:pPr>
        <w:spacing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stavebnictví žádný vliv.</w:t>
      </w:r>
    </w:p>
    <w:p w14:paraId="235E46A9" w14:textId="13A42AF8" w:rsidR="00933942" w:rsidRDefault="00933942" w:rsidP="00933942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86C606A" wp14:editId="4749DF5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200650" cy="3114675"/>
            <wp:effectExtent l="0" t="0" r="0" b="952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538F50" w14:textId="5642DCF5" w:rsidR="00EA421C" w:rsidRPr="00EA421C" w:rsidRDefault="00933942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Zajímali jsme se také o to, co je podle ředitelů stavebních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společností problémem pro čerpání prostředků z fondů ESI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v oblasti výstavby. Tři pětiny dotázaných se domnívá, že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se jedná o zdlouhavé stavební řízení, které výstavbu brzdí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(60 %). Dále se podle stavebních společností jedná o neochotu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pracovníka (popř. úřadu) podstupovat náročnější administraci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v procesu čerpání dotace (49 %) nebo o příliš přísné podmínky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dotačních výzev (40 %). Dotázaní ředitelé mezi problémy také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uváděli nedostatečné kapacity úřadů a s tím spojené obtíže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 vypisováním projektů (30 %), nízkou kvalifikaci pracovníků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pro sestavení a podání projektu (26 %), nízkou atraktivitu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programu (16 %) nebo korupci (14 %).</w:t>
      </w:r>
      <w:r w:rsidR="00EA421C" w:rsidRPr="00EA421C">
        <w:rPr>
          <w:rFonts w:cstheme="minorHAnsi"/>
          <w:sz w:val="24"/>
          <w:szCs w:val="24"/>
        </w:rPr>
        <w:t xml:space="preserve"> S překážkou v podobě zdlouhavého staveb</w:t>
      </w:r>
      <w:r w:rsidR="00EA421C">
        <w:rPr>
          <w:rFonts w:cstheme="minorHAnsi"/>
          <w:sz w:val="24"/>
          <w:szCs w:val="24"/>
        </w:rPr>
        <w:t>n</w:t>
      </w:r>
      <w:r w:rsidR="00EA421C" w:rsidRPr="00EA421C">
        <w:rPr>
          <w:rFonts w:cstheme="minorHAnsi"/>
          <w:sz w:val="24"/>
          <w:szCs w:val="24"/>
        </w:rPr>
        <w:t xml:space="preserve">ího řízení souhlasí také </w:t>
      </w:r>
      <w:r w:rsidR="00EA421C" w:rsidRPr="00EA421C">
        <w:rPr>
          <w:rFonts w:cstheme="minorHAnsi"/>
          <w:b/>
          <w:bCs/>
          <w:sz w:val="24"/>
          <w:szCs w:val="24"/>
        </w:rPr>
        <w:t>Tomáš Koranda</w:t>
      </w:r>
      <w:r w:rsidR="00EA421C">
        <w:rPr>
          <w:rFonts w:cstheme="minorHAnsi"/>
          <w:b/>
          <w:bCs/>
          <w:sz w:val="24"/>
          <w:szCs w:val="24"/>
        </w:rPr>
        <w:t xml:space="preserve"> </w:t>
      </w:r>
      <w:r w:rsidR="00EA421C" w:rsidRPr="00EA421C">
        <w:rPr>
          <w:rFonts w:cstheme="minorHAnsi"/>
          <w:b/>
          <w:bCs/>
          <w:sz w:val="24"/>
          <w:szCs w:val="24"/>
        </w:rPr>
        <w:t>CEO, předseda představenstva společnosti HOCHTIEF CZ a. s.:</w:t>
      </w:r>
      <w:r w:rsidR="00EA421C" w:rsidRPr="00EA421C">
        <w:rPr>
          <w:rFonts w:cstheme="minorHAnsi"/>
          <w:i/>
          <w:iCs/>
          <w:sz w:val="24"/>
          <w:szCs w:val="24"/>
        </w:rPr>
        <w:t xml:space="preserve"> „Situace se v posledních letech zlepšila, a i díky tomu zrychluje modernizace železnice a dokončování dálniční sítě. Problém je dlouhodobě v</w:t>
      </w:r>
      <w:r w:rsidR="00EA421C">
        <w:rPr>
          <w:rFonts w:cstheme="minorHAnsi"/>
          <w:i/>
          <w:iCs/>
          <w:sz w:val="24"/>
          <w:szCs w:val="24"/>
        </w:rPr>
        <w:t> </w:t>
      </w:r>
      <w:r w:rsidR="00EA421C" w:rsidRPr="00EA421C">
        <w:rPr>
          <w:rFonts w:cstheme="minorHAnsi"/>
          <w:i/>
          <w:iCs/>
          <w:sz w:val="24"/>
          <w:szCs w:val="24"/>
        </w:rPr>
        <w:t>něčem</w:t>
      </w:r>
      <w:r w:rsidR="00EA421C">
        <w:rPr>
          <w:rFonts w:cstheme="minorHAnsi"/>
          <w:i/>
          <w:iCs/>
          <w:sz w:val="24"/>
          <w:szCs w:val="24"/>
        </w:rPr>
        <w:t xml:space="preserve"> </w:t>
      </w:r>
      <w:r w:rsidR="00EA421C" w:rsidRPr="00EA421C">
        <w:rPr>
          <w:rFonts w:cstheme="minorHAnsi"/>
          <w:i/>
          <w:iCs/>
          <w:sz w:val="24"/>
          <w:szCs w:val="24"/>
        </w:rPr>
        <w:t>jiném. Česko stále zůstává zemí s jedním z nejkomplikovanějších a nejdelších povolovacích procesů na světě. Chce se mi věřit, že letošní rok bude</w:t>
      </w:r>
      <w:r w:rsidR="00EA421C">
        <w:rPr>
          <w:rFonts w:cstheme="minorHAnsi"/>
          <w:i/>
          <w:iCs/>
          <w:sz w:val="24"/>
          <w:szCs w:val="24"/>
        </w:rPr>
        <w:t xml:space="preserve"> </w:t>
      </w:r>
      <w:r w:rsidR="00EA421C" w:rsidRPr="00EA421C">
        <w:rPr>
          <w:rFonts w:cstheme="minorHAnsi"/>
          <w:i/>
          <w:iCs/>
          <w:sz w:val="24"/>
          <w:szCs w:val="24"/>
        </w:rPr>
        <w:t xml:space="preserve">zlomový a že nový stavební zákon úřední řízení konečně rozhýbe.“ </w:t>
      </w:r>
    </w:p>
    <w:p w14:paraId="1C113839" w14:textId="341F4BB5" w:rsidR="00933942" w:rsidRDefault="00EA421C" w:rsidP="00933942">
      <w:pPr>
        <w:rPr>
          <w:rFonts w:ascii="SourceSansVariable-Roman" w:hAnsi="SourceSansVariable-Roman" w:cs="SourceSansVariable-Roman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14E8354" wp14:editId="2FA82A0F">
            <wp:simplePos x="0" y="0"/>
            <wp:positionH relativeFrom="margin">
              <wp:align>center</wp:align>
            </wp:positionH>
            <wp:positionV relativeFrom="paragraph">
              <wp:posOffset>274320</wp:posOffset>
            </wp:positionV>
            <wp:extent cx="5467350" cy="3257550"/>
            <wp:effectExtent l="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5922E1" w14:textId="4C24A01D" w:rsidR="00933942" w:rsidRDefault="00933942" w:rsidP="00933942"/>
    <w:p w14:paraId="2F79F5A3" w14:textId="16A2CAB0" w:rsidR="00933942" w:rsidRPr="00EA421C" w:rsidRDefault="00933942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V posledním programovém období 2014–2020 byla každá čtvrtá zakázka stavebních společností projekt spolufinancovaný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z fondů ESI. V průměru v tomto programovém období tvořili tyto zakázky 23 % ze všech realizovaných zakázek stavebních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společností.</w:t>
      </w:r>
    </w:p>
    <w:p w14:paraId="734F0FEE" w14:textId="77777777" w:rsidR="00EA421C" w:rsidRDefault="00EA421C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287D04C" w14:textId="22C6CF7E" w:rsidR="00933942" w:rsidRPr="00EA421C" w:rsidRDefault="00933942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Realizace takových zakázek pro 48 % dotázaných společností nepředstavuje žádné obtíže. Naopak pro 24 % dotázaných jsou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takové zakázky komplikovanější nebo jsou komplikovanější pouze určité typy projektů a výstavby (28 %). Mezi obtíže, se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kterými se stavební společnosti setkávají, patří větší administrativní zátěž (33 %), komplikovanější zapracování nutných změn</w:t>
      </w:r>
    </w:p>
    <w:p w14:paraId="4234CD34" w14:textId="064A75BB" w:rsidR="00933942" w:rsidRPr="00EA421C" w:rsidRDefault="00933942" w:rsidP="00EA421C">
      <w:pPr>
        <w:spacing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stavby (24 %) a různé kontroly (13 %).</w:t>
      </w:r>
    </w:p>
    <w:p w14:paraId="71933443" w14:textId="3DEA3C2E" w:rsidR="00933942" w:rsidRDefault="00933942" w:rsidP="00933942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CAA7D30" wp14:editId="2ACE0A5D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4724400" cy="3181350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1393EA" w14:textId="0A1F7516" w:rsidR="00933942" w:rsidRPr="00EA421C" w:rsidRDefault="00933942" w:rsidP="00EA421C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EA421C">
        <w:rPr>
          <w:rFonts w:cstheme="minorHAnsi"/>
          <w:sz w:val="24"/>
          <w:szCs w:val="24"/>
        </w:rPr>
        <w:t>V posledním programovém období 2014–2020 nebyly podle 56 % dotázaných ředitelů stavebních společností realizovány nutné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a klíčové projekty v oblasti výstavby. Zbylých 44 % dotázaných je opačného názoru. Důvodem, proč klíčové projekty nebyly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realizovány je podle necelé poloviny dotázaných zdlouhavé povolovací řízení (47 %). Překážkou ale je také horší připravenost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projektu (26 %) nebo nedostatečnost lidských kapacit na úřadech (6 %). Zbylá pětina dotázaných mezi důvody uvádí také</w:t>
      </w:r>
      <w:r w:rsidR="00EA421C">
        <w:rPr>
          <w:rFonts w:cstheme="minorHAnsi"/>
          <w:sz w:val="24"/>
          <w:szCs w:val="24"/>
        </w:rPr>
        <w:t xml:space="preserve"> </w:t>
      </w:r>
      <w:r w:rsidRPr="00EA421C">
        <w:rPr>
          <w:rFonts w:cstheme="minorHAnsi"/>
          <w:sz w:val="24"/>
          <w:szCs w:val="24"/>
        </w:rPr>
        <w:t>nekompetentnost úřadů, preferenci osobních zájmů a nedostatek strategického smýšlení v dlouhodobém horizontu (21 %).</w:t>
      </w:r>
    </w:p>
    <w:p w14:paraId="0CAC8184" w14:textId="2E1EC5A2" w:rsidR="009465D9" w:rsidRDefault="00EA421C" w:rsidP="00933942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3A280EA" wp14:editId="599116A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743450" cy="3105150"/>
            <wp:effectExtent l="0" t="0" r="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4DE24F" w14:textId="6C726D06" w:rsidR="00116CC8" w:rsidRPr="00EA421C" w:rsidRDefault="00EA421C" w:rsidP="00EA421C">
      <w:pPr>
        <w:jc w:val="center"/>
        <w:rPr>
          <w:rFonts w:cstheme="minorHAnsi"/>
          <w:b/>
          <w:bCs/>
          <w:color w:val="000000"/>
          <w:sz w:val="32"/>
          <w:szCs w:val="32"/>
        </w:rPr>
      </w:pPr>
      <w:r w:rsidRPr="00EA421C">
        <w:rPr>
          <w:rFonts w:cstheme="minorHAnsi"/>
          <w:b/>
          <w:bCs/>
          <w:color w:val="000000"/>
          <w:sz w:val="32"/>
          <w:szCs w:val="32"/>
        </w:rPr>
        <w:t>Kvartální analýza českého stavebnictví Q2/2021 je zveřejněna na:</w:t>
      </w:r>
    </w:p>
    <w:p w14:paraId="7AB7C62A" w14:textId="77777777" w:rsidR="00116CC8" w:rsidRPr="00A16707" w:rsidRDefault="00AD770C" w:rsidP="00116CC8">
      <w:pPr>
        <w:spacing w:before="240" w:after="240" w:line="240" w:lineRule="auto"/>
        <w:jc w:val="center"/>
        <w:rPr>
          <w:rFonts w:asciiTheme="majorHAnsi" w:eastAsia="Times New Roman" w:hAnsiTheme="majorHAnsi" w:cstheme="majorHAnsi"/>
          <w:color w:val="000000"/>
          <w:sz w:val="32"/>
          <w:szCs w:val="32"/>
          <w:lang w:eastAsia="cs-CZ"/>
        </w:rPr>
      </w:pPr>
      <w:hyperlink r:id="rId10" w:history="1">
        <w:r w:rsidR="00116CC8" w:rsidRPr="00A97D1E">
          <w:rPr>
            <w:rStyle w:val="Hypertextovodkaz"/>
            <w:rFonts w:eastAsia="Times New Roman" w:cstheme="majorHAnsi"/>
            <w:sz w:val="36"/>
            <w:szCs w:val="36"/>
            <w:lang w:eastAsia="cs-CZ"/>
          </w:rPr>
          <w:t>www.ceec.eu</w:t>
        </w:r>
        <w:r w:rsidR="00116CC8" w:rsidRPr="00A97D1E">
          <w:rPr>
            <w:rStyle w:val="Hypertextovodkaz"/>
            <w:rFonts w:asciiTheme="majorHAnsi" w:eastAsia="Times New Roman" w:hAnsiTheme="majorHAnsi" w:cstheme="majorHAnsi"/>
            <w:sz w:val="44"/>
            <w:szCs w:val="44"/>
            <w:lang w:eastAsia="cs-CZ"/>
          </w:rPr>
          <w:br/>
        </w:r>
      </w:hyperlink>
    </w:p>
    <w:p w14:paraId="773A1FE8" w14:textId="77777777" w:rsidR="00116CC8" w:rsidRDefault="00116CC8" w:rsidP="00116CC8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lang w:eastAsia="cs-CZ"/>
        </w:rPr>
        <w:t>Kontakt pro média:</w:t>
      </w:r>
      <w:r>
        <w:rPr>
          <w:rFonts w:ascii="Calibri" w:eastAsia="Times New Roman" w:hAnsi="Calibri" w:cs="Calibri"/>
          <w:b/>
          <w:bCs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000000"/>
          <w:lang w:eastAsia="cs-CZ"/>
        </w:rPr>
        <w:t>Ing. Michal Vacek,</w:t>
      </w:r>
      <w:r>
        <w:rPr>
          <w:rFonts w:ascii="Calibri" w:eastAsia="Times New Roman" w:hAnsi="Calibri" w:cs="Calibri"/>
          <w:color w:val="000000"/>
          <w:lang w:eastAsia="cs-CZ"/>
        </w:rPr>
        <w:br/>
        <w:t>ředitel společnosti</w:t>
      </w:r>
      <w:r>
        <w:rPr>
          <w:rFonts w:ascii="Calibri" w:eastAsia="Times New Roman" w:hAnsi="Calibri" w:cs="Calibri"/>
          <w:color w:val="000000"/>
          <w:lang w:eastAsia="cs-CZ"/>
        </w:rPr>
        <w:br/>
        <w:t>CEEC Research</w:t>
      </w:r>
      <w:r>
        <w:rPr>
          <w:rFonts w:ascii="Calibri" w:eastAsia="Times New Roman" w:hAnsi="Calibri" w:cs="Calibri"/>
          <w:color w:val="000000"/>
          <w:lang w:eastAsia="cs-CZ"/>
        </w:rPr>
        <w:br/>
        <w:t>+420 776 023 170</w:t>
      </w:r>
      <w:r>
        <w:rPr>
          <w:rFonts w:ascii="Calibri" w:eastAsia="Times New Roman" w:hAnsi="Calibri" w:cs="Calibri"/>
          <w:color w:val="000000"/>
          <w:lang w:eastAsia="cs-CZ"/>
        </w:rPr>
        <w:br/>
      </w:r>
      <w:r>
        <w:rPr>
          <w:rFonts w:ascii="Calibri" w:eastAsia="Times New Roman" w:hAnsi="Calibri" w:cs="Calibri"/>
          <w:color w:val="1155CC"/>
          <w:u w:val="single"/>
          <w:lang w:eastAsia="cs-CZ"/>
        </w:rPr>
        <w:t>michal.vacek@ceec.eu</w:t>
      </w:r>
    </w:p>
    <w:p w14:paraId="0BE701CB" w14:textId="77777777" w:rsidR="00116CC8" w:rsidRPr="00B91CDF" w:rsidRDefault="00116CC8" w:rsidP="00116CC8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>Společnost CEEC Research je přední analytickou a výzkumnou společností zaměřující se na vývoj vybraných sektorů ekonomiky v zemích střední a východní Evropy. Její studie jsou využívány v současné době více než 17</w:t>
      </w:r>
      <w:r>
        <w:rPr>
          <w:rFonts w:asciiTheme="majorHAnsi" w:hAnsiTheme="majorHAnsi" w:cstheme="majorHAnsi"/>
        </w:rPr>
        <w:t> </w:t>
      </w:r>
      <w:r w:rsidRPr="00B91CDF">
        <w:rPr>
          <w:rFonts w:asciiTheme="majorHAnsi" w:hAnsiTheme="majorHAnsi" w:cstheme="majorHAnsi"/>
        </w:rPr>
        <w:t>000 společnostmi. Společnost CEEC Research vznikla v roce 2005 jako analytická organizace specializující se na zpracování výzkumů a analýz stavebního sektoru, následně se analytické zaměření rozšířilo i na další vybrané sektory ekonomiky, včetně stavebnictví.</w:t>
      </w:r>
    </w:p>
    <w:p w14:paraId="383C7BA0" w14:textId="77777777" w:rsidR="00116CC8" w:rsidRPr="00B91CDF" w:rsidRDefault="00116CC8" w:rsidP="00116CC8">
      <w:pPr>
        <w:spacing w:line="240" w:lineRule="auto"/>
        <w:jc w:val="both"/>
        <w:rPr>
          <w:rFonts w:asciiTheme="majorHAnsi" w:hAnsiTheme="majorHAnsi" w:cstheme="majorHAnsi"/>
        </w:rPr>
      </w:pPr>
      <w:r w:rsidRPr="00B91CDF">
        <w:rPr>
          <w:rFonts w:asciiTheme="majorHAnsi" w:hAnsiTheme="majorHAnsi" w:cstheme="majorHAnsi"/>
        </w:rPr>
        <w:t>CEEC Research navíc k pravidelným a bezplatným analýzám také organizuje vysoce specializované odborné konference, kterých se účastní generální ředitelé nejvýznamnějších společností, prezidenti klíčových svazů, cechů a komor a rovněž ministři a nejvyšší představitelé státu z vybraných zemí. </w:t>
      </w:r>
    </w:p>
    <w:p w14:paraId="035F696B" w14:textId="77777777" w:rsidR="00116CC8" w:rsidRPr="00C00A98" w:rsidRDefault="00116CC8" w:rsidP="00116CC8"/>
    <w:p w14:paraId="306A57D1" w14:textId="77777777" w:rsidR="00116CC8" w:rsidRPr="00933942" w:rsidRDefault="00116CC8" w:rsidP="009465D9"/>
    <w:sectPr w:rsidR="00116CC8" w:rsidRPr="0093394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66ADC" w14:textId="77777777" w:rsidR="00AD770C" w:rsidRDefault="00AD770C" w:rsidP="00116CC8">
      <w:pPr>
        <w:spacing w:after="0" w:line="240" w:lineRule="auto"/>
      </w:pPr>
      <w:r>
        <w:separator/>
      </w:r>
    </w:p>
  </w:endnote>
  <w:endnote w:type="continuationSeparator" w:id="0">
    <w:p w14:paraId="58D84A57" w14:textId="77777777" w:rsidR="00AD770C" w:rsidRDefault="00AD770C" w:rsidP="00116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SansVariable-Roman">
    <w:altName w:val="Calibri"/>
    <w:panose1 w:val="00000000000000000000"/>
    <w:charset w:val="EE"/>
    <w:family w:val="swiss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7D13D" w14:textId="77777777" w:rsidR="00AD770C" w:rsidRDefault="00AD770C" w:rsidP="00116CC8">
      <w:pPr>
        <w:spacing w:after="0" w:line="240" w:lineRule="auto"/>
      </w:pPr>
      <w:r>
        <w:separator/>
      </w:r>
    </w:p>
  </w:footnote>
  <w:footnote w:type="continuationSeparator" w:id="0">
    <w:p w14:paraId="294ACA05" w14:textId="77777777" w:rsidR="00AD770C" w:rsidRDefault="00AD770C" w:rsidP="00116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6233D" w14:textId="7E4D1591" w:rsidR="00116CC8" w:rsidRDefault="00116CC8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415A14" wp14:editId="388A2EBD">
          <wp:simplePos x="0" y="0"/>
          <wp:positionH relativeFrom="margin">
            <wp:align>left</wp:align>
          </wp:positionH>
          <wp:positionV relativeFrom="paragraph">
            <wp:posOffset>-295910</wp:posOffset>
          </wp:positionV>
          <wp:extent cx="1885950" cy="1012190"/>
          <wp:effectExtent l="0" t="0" r="0" b="0"/>
          <wp:wrapTopAndBottom/>
          <wp:docPr id="5" name="Obrázek 5" descr="Obsah obrázku kreslení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kreslení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1012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942"/>
    <w:rsid w:val="000C0FDC"/>
    <w:rsid w:val="00116CC8"/>
    <w:rsid w:val="008C6A6E"/>
    <w:rsid w:val="00933942"/>
    <w:rsid w:val="009465D9"/>
    <w:rsid w:val="009618F5"/>
    <w:rsid w:val="00AD770C"/>
    <w:rsid w:val="00AE2B34"/>
    <w:rsid w:val="00BA10E1"/>
    <w:rsid w:val="00EA421C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5BEB3"/>
  <w15:chartTrackingRefBased/>
  <w15:docId w15:val="{3E9581CC-E24B-4AC1-9990-2953A99C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6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6CC8"/>
  </w:style>
  <w:style w:type="paragraph" w:styleId="Zpat">
    <w:name w:val="footer"/>
    <w:basedOn w:val="Normln"/>
    <w:link w:val="ZpatChar"/>
    <w:uiPriority w:val="99"/>
    <w:unhideWhenUsed/>
    <w:rsid w:val="00116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6CC8"/>
  </w:style>
  <w:style w:type="character" w:styleId="Hypertextovodkaz">
    <w:name w:val="Hyperlink"/>
    <w:basedOn w:val="Standardnpsmoodstavce"/>
    <w:uiPriority w:val="99"/>
    <w:unhideWhenUsed/>
    <w:rsid w:val="00116C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ceec.eu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736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Vacek</dc:creator>
  <cp:keywords/>
  <dc:description/>
  <cp:lastModifiedBy>Michal Vacek</cp:lastModifiedBy>
  <cp:revision>2</cp:revision>
  <dcterms:created xsi:type="dcterms:W3CDTF">2021-06-28T06:27:00Z</dcterms:created>
  <dcterms:modified xsi:type="dcterms:W3CDTF">2021-07-07T06:25:00Z</dcterms:modified>
</cp:coreProperties>
</file>