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F396D" w14:textId="40A07203" w:rsidR="001517CB" w:rsidRPr="00EB24DC" w:rsidRDefault="001517CB" w:rsidP="00EB24DC">
      <w:pPr>
        <w:jc w:val="center"/>
        <w:rPr>
          <w:b/>
          <w:bCs/>
          <w:sz w:val="32"/>
          <w:szCs w:val="32"/>
        </w:rPr>
      </w:pPr>
      <w:r w:rsidRPr="00EB24DC">
        <w:rPr>
          <w:b/>
          <w:bCs/>
          <w:sz w:val="32"/>
          <w:szCs w:val="32"/>
        </w:rPr>
        <w:t>Pojistnou událost stavební</w:t>
      </w:r>
      <w:r w:rsidR="00EB24DC">
        <w:rPr>
          <w:b/>
          <w:bCs/>
          <w:sz w:val="32"/>
          <w:szCs w:val="32"/>
        </w:rPr>
        <w:t xml:space="preserve"> </w:t>
      </w:r>
      <w:r w:rsidRPr="00EB24DC">
        <w:rPr>
          <w:b/>
          <w:bCs/>
          <w:sz w:val="32"/>
          <w:szCs w:val="32"/>
        </w:rPr>
        <w:t>společnosti nahlašují u necelé desetiny zakázek</w:t>
      </w:r>
    </w:p>
    <w:p w14:paraId="20C96B34" w14:textId="77777777" w:rsidR="001517CB" w:rsidRDefault="001517CB" w:rsidP="00E352C7"/>
    <w:p w14:paraId="40205107" w14:textId="39617ECE" w:rsidR="00E352C7" w:rsidRPr="00EB24DC" w:rsidRDefault="005412B2" w:rsidP="00EB24DC">
      <w:pPr>
        <w:spacing w:line="360" w:lineRule="auto"/>
        <w:jc w:val="both"/>
        <w:rPr>
          <w:b/>
          <w:bCs/>
          <w:sz w:val="24"/>
          <w:szCs w:val="24"/>
        </w:rPr>
      </w:pPr>
      <w:bookmarkStart w:id="0" w:name="_Hlk77142551"/>
      <w:r>
        <w:rPr>
          <w:b/>
          <w:bCs/>
          <w:sz w:val="24"/>
          <w:szCs w:val="24"/>
        </w:rPr>
        <w:t xml:space="preserve">Praha 14.7.2021 - </w:t>
      </w:r>
      <w:r w:rsidR="00E352C7" w:rsidRPr="00EB24DC">
        <w:rPr>
          <w:b/>
          <w:bCs/>
          <w:sz w:val="24"/>
          <w:szCs w:val="24"/>
        </w:rPr>
        <w:t>Nejčastěji využívaným pojištěním je pojištění obecné</w:t>
      </w:r>
      <w:r w:rsidR="00EB24DC">
        <w:rPr>
          <w:b/>
          <w:bCs/>
          <w:sz w:val="24"/>
          <w:szCs w:val="24"/>
        </w:rPr>
        <w:t xml:space="preserve"> </w:t>
      </w:r>
      <w:r w:rsidR="00E352C7" w:rsidRPr="00EB24DC">
        <w:rPr>
          <w:b/>
          <w:bCs/>
          <w:sz w:val="24"/>
          <w:szCs w:val="24"/>
        </w:rPr>
        <w:t>odpovědnosti podnikatele. Pojistnou událost stavební</w:t>
      </w:r>
      <w:r w:rsidR="00EB24DC">
        <w:rPr>
          <w:b/>
          <w:bCs/>
          <w:sz w:val="24"/>
          <w:szCs w:val="24"/>
        </w:rPr>
        <w:t xml:space="preserve"> </w:t>
      </w:r>
      <w:r w:rsidR="00E352C7" w:rsidRPr="00EB24DC">
        <w:rPr>
          <w:b/>
          <w:bCs/>
          <w:sz w:val="24"/>
          <w:szCs w:val="24"/>
        </w:rPr>
        <w:t>společnosti nahlašují u necelé desetiny zakázek. Nejčastěj</w:t>
      </w:r>
      <w:r w:rsidR="00EB24DC">
        <w:rPr>
          <w:b/>
          <w:bCs/>
          <w:sz w:val="24"/>
          <w:szCs w:val="24"/>
        </w:rPr>
        <w:t xml:space="preserve">i </w:t>
      </w:r>
      <w:r w:rsidR="00E352C7" w:rsidRPr="00EB24DC">
        <w:rPr>
          <w:b/>
          <w:bCs/>
          <w:sz w:val="24"/>
          <w:szCs w:val="24"/>
        </w:rPr>
        <w:t>nahlašované jsou škody způsobené na majetku třetí osoby (52 %).</w:t>
      </w:r>
      <w:r w:rsidR="00EB24DC">
        <w:rPr>
          <w:b/>
          <w:bCs/>
          <w:sz w:val="24"/>
          <w:szCs w:val="24"/>
        </w:rPr>
        <w:t xml:space="preserve"> </w:t>
      </w:r>
      <w:r w:rsidR="00E352C7" w:rsidRPr="00EB24DC">
        <w:rPr>
          <w:b/>
          <w:bCs/>
          <w:sz w:val="24"/>
          <w:szCs w:val="24"/>
        </w:rPr>
        <w:t>Vážnější pracovní úrazy se na staveništi vyskytují v</w:t>
      </w:r>
      <w:r w:rsidR="00EB24DC">
        <w:rPr>
          <w:b/>
          <w:bCs/>
          <w:sz w:val="24"/>
          <w:szCs w:val="24"/>
        </w:rPr>
        <w:t> </w:t>
      </w:r>
      <w:r w:rsidR="00E352C7" w:rsidRPr="00EB24DC">
        <w:rPr>
          <w:b/>
          <w:bCs/>
          <w:sz w:val="24"/>
          <w:szCs w:val="24"/>
        </w:rPr>
        <w:t>průměru</w:t>
      </w:r>
      <w:r w:rsidR="00EB24DC">
        <w:rPr>
          <w:b/>
          <w:bCs/>
          <w:sz w:val="24"/>
          <w:szCs w:val="24"/>
        </w:rPr>
        <w:t xml:space="preserve"> </w:t>
      </w:r>
      <w:r w:rsidR="00E352C7" w:rsidRPr="00EB24DC">
        <w:rPr>
          <w:b/>
          <w:bCs/>
          <w:sz w:val="24"/>
          <w:szCs w:val="24"/>
        </w:rPr>
        <w:t>2,3 krát za rok.</w:t>
      </w:r>
      <w:r w:rsidR="001517CB" w:rsidRPr="00EB24DC">
        <w:rPr>
          <w:b/>
          <w:bCs/>
          <w:sz w:val="24"/>
          <w:szCs w:val="24"/>
        </w:rPr>
        <w:t xml:space="preserve"> Vyplývá to z Kvartální analýzy českého stavebnictví Q2/2021 zpracované analytickou společností CEEC </w:t>
      </w:r>
      <w:proofErr w:type="spellStart"/>
      <w:r w:rsidR="001517CB" w:rsidRPr="00EB24DC">
        <w:rPr>
          <w:b/>
          <w:bCs/>
          <w:sz w:val="24"/>
          <w:szCs w:val="24"/>
        </w:rPr>
        <w:t>Research</w:t>
      </w:r>
      <w:proofErr w:type="spellEnd"/>
      <w:r w:rsidR="001517CB" w:rsidRPr="00EB24DC">
        <w:rPr>
          <w:b/>
          <w:bCs/>
          <w:sz w:val="24"/>
          <w:szCs w:val="24"/>
        </w:rPr>
        <w:t xml:space="preserve"> s.r.o. </w:t>
      </w:r>
    </w:p>
    <w:bookmarkEnd w:id="0"/>
    <w:p w14:paraId="31D56594" w14:textId="413F600E" w:rsidR="00E352C7" w:rsidRPr="00EB24DC" w:rsidRDefault="00E352C7" w:rsidP="00EB24D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EB24DC">
        <w:rPr>
          <w:rFonts w:cstheme="minorHAnsi"/>
          <w:sz w:val="24"/>
          <w:szCs w:val="24"/>
        </w:rPr>
        <w:t>Stavební společnosti využívají celou řadu pojištění pro</w:t>
      </w:r>
      <w:r w:rsidR="00EB24DC">
        <w:rPr>
          <w:rFonts w:cstheme="minorHAnsi"/>
          <w:sz w:val="24"/>
          <w:szCs w:val="24"/>
        </w:rPr>
        <w:t xml:space="preserve"> </w:t>
      </w:r>
      <w:r w:rsidRPr="00EB24DC">
        <w:rPr>
          <w:rFonts w:cstheme="minorHAnsi"/>
          <w:sz w:val="24"/>
          <w:szCs w:val="24"/>
        </w:rPr>
        <w:t>případ různých situací. Mezi nejčastěji využívané pojištění</w:t>
      </w:r>
      <w:r w:rsidR="00EB24DC">
        <w:rPr>
          <w:rFonts w:cstheme="minorHAnsi"/>
          <w:sz w:val="24"/>
          <w:szCs w:val="24"/>
        </w:rPr>
        <w:t xml:space="preserve"> </w:t>
      </w:r>
      <w:r w:rsidRPr="00EB24DC">
        <w:rPr>
          <w:rFonts w:cstheme="minorHAnsi"/>
          <w:sz w:val="24"/>
          <w:szCs w:val="24"/>
        </w:rPr>
        <w:t>patří pojištění obecné odpovědnosti podnikatele (89 %)</w:t>
      </w:r>
      <w:r w:rsidR="00EB24DC">
        <w:rPr>
          <w:rFonts w:cstheme="minorHAnsi"/>
          <w:sz w:val="24"/>
          <w:szCs w:val="24"/>
        </w:rPr>
        <w:t xml:space="preserve"> </w:t>
      </w:r>
      <w:r w:rsidRPr="00EB24DC">
        <w:rPr>
          <w:rFonts w:cstheme="minorHAnsi"/>
          <w:sz w:val="24"/>
          <w:szCs w:val="24"/>
        </w:rPr>
        <w:t>a pojištění majetku (80 %). Velká část dotázaných využívá</w:t>
      </w:r>
      <w:r w:rsidR="00EB24DC">
        <w:rPr>
          <w:rFonts w:cstheme="minorHAnsi"/>
          <w:sz w:val="24"/>
          <w:szCs w:val="24"/>
        </w:rPr>
        <w:t xml:space="preserve"> </w:t>
      </w:r>
      <w:r w:rsidRPr="00EB24DC">
        <w:rPr>
          <w:rFonts w:cstheme="minorHAnsi"/>
          <w:sz w:val="24"/>
          <w:szCs w:val="24"/>
        </w:rPr>
        <w:t>také stavebně montážní pojištění (77 %) a pojištění strojů (66</w:t>
      </w:r>
      <w:r w:rsidR="00EB24DC">
        <w:rPr>
          <w:rFonts w:cstheme="minorHAnsi"/>
          <w:sz w:val="24"/>
          <w:szCs w:val="24"/>
        </w:rPr>
        <w:t xml:space="preserve"> </w:t>
      </w:r>
      <w:r w:rsidRPr="00EB24DC">
        <w:rPr>
          <w:rFonts w:cstheme="minorHAnsi"/>
          <w:sz w:val="24"/>
          <w:szCs w:val="24"/>
        </w:rPr>
        <w:t>%). Již menší část má zřízené pojištění odpovědnosti za újmu</w:t>
      </w:r>
      <w:r w:rsidR="00EB24DC">
        <w:rPr>
          <w:rFonts w:cstheme="minorHAnsi"/>
          <w:sz w:val="24"/>
          <w:szCs w:val="24"/>
        </w:rPr>
        <w:t xml:space="preserve"> </w:t>
      </w:r>
      <w:r w:rsidRPr="00EB24DC">
        <w:rPr>
          <w:rFonts w:cstheme="minorHAnsi"/>
          <w:sz w:val="24"/>
          <w:szCs w:val="24"/>
        </w:rPr>
        <w:t>způsobenou vadou výrobku (36 %), pojištění přepravovaných</w:t>
      </w:r>
      <w:r w:rsidR="00EB24DC">
        <w:rPr>
          <w:rFonts w:cstheme="minorHAnsi"/>
          <w:sz w:val="24"/>
          <w:szCs w:val="24"/>
        </w:rPr>
        <w:t xml:space="preserve"> </w:t>
      </w:r>
      <w:r w:rsidRPr="00EB24DC">
        <w:rPr>
          <w:rFonts w:cstheme="minorHAnsi"/>
          <w:sz w:val="24"/>
          <w:szCs w:val="24"/>
        </w:rPr>
        <w:t>věcí (27 %) nebo jiná než výše uvedená pojištění, kam</w:t>
      </w:r>
      <w:r w:rsidR="00EB24DC">
        <w:rPr>
          <w:rFonts w:cstheme="minorHAnsi"/>
          <w:sz w:val="24"/>
          <w:szCs w:val="24"/>
        </w:rPr>
        <w:t xml:space="preserve"> </w:t>
      </w:r>
      <w:r w:rsidRPr="00EB24DC">
        <w:rPr>
          <w:rFonts w:cstheme="minorHAnsi"/>
          <w:sz w:val="24"/>
          <w:szCs w:val="24"/>
        </w:rPr>
        <w:t>patří např. pojištění proti živelním katastrofám nebo další</w:t>
      </w:r>
    </w:p>
    <w:p w14:paraId="5F26CDCC" w14:textId="7D86A7F3" w:rsidR="00E352C7" w:rsidRPr="00EB24DC" w:rsidRDefault="001517CB" w:rsidP="00EB24DC">
      <w:pPr>
        <w:spacing w:line="360" w:lineRule="auto"/>
        <w:jc w:val="both"/>
        <w:rPr>
          <w:rFonts w:cstheme="minorHAnsi"/>
          <w:sz w:val="24"/>
          <w:szCs w:val="24"/>
        </w:rPr>
      </w:pPr>
      <w:r w:rsidRPr="00EB24DC">
        <w:rPr>
          <w:rFonts w:cstheme="minorHAnsi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48CC5D7" wp14:editId="001F1381">
            <wp:simplePos x="0" y="0"/>
            <wp:positionH relativeFrom="margin">
              <wp:align>right</wp:align>
            </wp:positionH>
            <wp:positionV relativeFrom="paragraph">
              <wp:posOffset>504190</wp:posOffset>
            </wp:positionV>
            <wp:extent cx="5562600" cy="3362325"/>
            <wp:effectExtent l="0" t="0" r="0" b="9525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2C7" w:rsidRPr="00EB24DC">
        <w:rPr>
          <w:rFonts w:cstheme="minorHAnsi"/>
          <w:sz w:val="24"/>
          <w:szCs w:val="24"/>
        </w:rPr>
        <w:t>pojištění vyžadovaná investorem (8 %).</w:t>
      </w:r>
    </w:p>
    <w:p w14:paraId="7325BF1E" w14:textId="228C5ADD" w:rsidR="00E352C7" w:rsidRDefault="00E352C7" w:rsidP="00E352C7"/>
    <w:p w14:paraId="7B2A9AE1" w14:textId="4C97CA03" w:rsidR="001517CB" w:rsidRPr="001517CB" w:rsidRDefault="00E352C7" w:rsidP="001517C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1517CB">
        <w:rPr>
          <w:rFonts w:cstheme="minorHAnsi"/>
          <w:sz w:val="24"/>
          <w:szCs w:val="24"/>
        </w:rPr>
        <w:lastRenderedPageBreak/>
        <w:t>V průměru stavební společnosti nahlašují pojistnou událost u 9 % svých realizovaných zakázek.</w:t>
      </w:r>
      <w:r w:rsidR="001517CB">
        <w:rPr>
          <w:rFonts w:cstheme="minorHAnsi"/>
          <w:sz w:val="24"/>
          <w:szCs w:val="24"/>
        </w:rPr>
        <w:t xml:space="preserve"> </w:t>
      </w:r>
      <w:r w:rsidRPr="001517CB">
        <w:rPr>
          <w:rFonts w:cstheme="minorHAnsi"/>
          <w:sz w:val="24"/>
          <w:szCs w:val="24"/>
        </w:rPr>
        <w:t>Mezi nejčastěji nahlašované</w:t>
      </w:r>
      <w:r w:rsidR="001517CB">
        <w:rPr>
          <w:rFonts w:cstheme="minorHAnsi"/>
          <w:sz w:val="24"/>
          <w:szCs w:val="24"/>
        </w:rPr>
        <w:t xml:space="preserve"> </w:t>
      </w:r>
      <w:r w:rsidRPr="001517CB">
        <w:rPr>
          <w:rFonts w:cstheme="minorHAnsi"/>
          <w:sz w:val="24"/>
          <w:szCs w:val="24"/>
        </w:rPr>
        <w:t>pojistné události patří škody způsobené na majetku třetích osob (52 %). Stavební společnosti nahlašují také poškození majetku</w:t>
      </w:r>
      <w:r w:rsidR="001517CB">
        <w:rPr>
          <w:rFonts w:cstheme="minorHAnsi"/>
          <w:sz w:val="24"/>
          <w:szCs w:val="24"/>
        </w:rPr>
        <w:t xml:space="preserve"> </w:t>
      </w:r>
      <w:r w:rsidRPr="001517CB">
        <w:rPr>
          <w:rFonts w:cstheme="minorHAnsi"/>
          <w:sz w:val="24"/>
          <w:szCs w:val="24"/>
        </w:rPr>
        <w:t>(16 %), poškození strojů (14 %), škody způsobené vadou stavebního materiálu (4 %) a úhradu nákladů zdravotní péče (3 %).</w:t>
      </w:r>
      <w:r w:rsidR="001517CB">
        <w:rPr>
          <w:rFonts w:cstheme="minorHAnsi"/>
          <w:sz w:val="24"/>
          <w:szCs w:val="24"/>
        </w:rPr>
        <w:t xml:space="preserve"> </w:t>
      </w:r>
      <w:r w:rsidRPr="001517CB">
        <w:rPr>
          <w:rFonts w:cstheme="minorHAnsi"/>
          <w:sz w:val="24"/>
          <w:szCs w:val="24"/>
        </w:rPr>
        <w:t>Desetina dotázaných nahlašuje také jiné pojistné události, mezi které patří především krádeže na staveništi (11 %).</w:t>
      </w:r>
      <w:r w:rsidR="001517CB" w:rsidRPr="001517CB">
        <w:rPr>
          <w:rFonts w:cstheme="minorHAnsi"/>
          <w:i/>
          <w:iCs/>
          <w:sz w:val="24"/>
          <w:szCs w:val="24"/>
        </w:rPr>
        <w:t xml:space="preserve"> „Nejčastější p</w:t>
      </w:r>
      <w:r w:rsidR="001517CB">
        <w:rPr>
          <w:rFonts w:cstheme="minorHAnsi"/>
          <w:i/>
          <w:iCs/>
          <w:sz w:val="24"/>
          <w:szCs w:val="24"/>
        </w:rPr>
        <w:t>o</w:t>
      </w:r>
      <w:r w:rsidR="001517CB" w:rsidRPr="001517CB">
        <w:rPr>
          <w:rFonts w:cstheme="minorHAnsi"/>
          <w:i/>
          <w:iCs/>
          <w:sz w:val="24"/>
          <w:szCs w:val="24"/>
        </w:rPr>
        <w:t xml:space="preserve">jistnou událostí je ztráta materiálu na staveništi, respektive odcizení a škody způsobené naši činnosti jak na vlastním majetku, tak na třetích stranách.“ </w:t>
      </w:r>
      <w:r w:rsidR="001517CB" w:rsidRPr="001517CB">
        <w:rPr>
          <w:rFonts w:cstheme="minorHAnsi"/>
          <w:sz w:val="24"/>
          <w:szCs w:val="24"/>
        </w:rPr>
        <w:t xml:space="preserve">popisuje své zkušenosti z praxe  </w:t>
      </w:r>
      <w:r w:rsidR="001517CB" w:rsidRPr="001517CB">
        <w:rPr>
          <w:rFonts w:cstheme="minorHAnsi"/>
          <w:b/>
          <w:bCs/>
          <w:sz w:val="24"/>
          <w:szCs w:val="24"/>
        </w:rPr>
        <w:t xml:space="preserve">Ivo Luňák, jednatel společnosti </w:t>
      </w:r>
      <w:proofErr w:type="spellStart"/>
      <w:r w:rsidR="001517CB" w:rsidRPr="001517CB">
        <w:rPr>
          <w:rFonts w:cstheme="minorHAnsi"/>
          <w:b/>
          <w:bCs/>
          <w:sz w:val="24"/>
          <w:szCs w:val="24"/>
        </w:rPr>
        <w:t>Tyros</w:t>
      </w:r>
      <w:proofErr w:type="spellEnd"/>
      <w:r w:rsidR="001517CB" w:rsidRPr="001517CB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1517CB" w:rsidRPr="001517CB">
        <w:rPr>
          <w:rFonts w:cstheme="minorHAnsi"/>
          <w:b/>
          <w:bCs/>
          <w:sz w:val="24"/>
          <w:szCs w:val="24"/>
        </w:rPr>
        <w:t>Loading</w:t>
      </w:r>
      <w:proofErr w:type="spellEnd"/>
      <w:r w:rsidR="001517CB" w:rsidRPr="001517CB">
        <w:rPr>
          <w:rFonts w:cstheme="minorHAnsi"/>
          <w:b/>
          <w:bCs/>
          <w:sz w:val="24"/>
          <w:szCs w:val="24"/>
        </w:rPr>
        <w:t xml:space="preserve"> Systems CZ s.r.o.</w:t>
      </w:r>
    </w:p>
    <w:p w14:paraId="5AA87797" w14:textId="3546FA6D" w:rsidR="001517CB" w:rsidRDefault="00EB24DC" w:rsidP="001517CB">
      <w:pPr>
        <w:autoSpaceDE w:val="0"/>
        <w:autoSpaceDN w:val="0"/>
        <w:adjustRightInd w:val="0"/>
        <w:spacing w:after="0" w:line="240" w:lineRule="auto"/>
        <w:rPr>
          <w:rFonts w:ascii="SourceSansVariable-Italic" w:hAnsi="SourceSansVariable-Italic" w:cs="SourceSansVariable-Italic"/>
          <w:i/>
          <w:iCs/>
          <w:color w:val="0000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329A63" wp14:editId="7F01F48C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5334000" cy="3190875"/>
            <wp:effectExtent l="0" t="0" r="0" b="9525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FAC19B" w14:textId="3517472A" w:rsidR="001517CB" w:rsidRPr="00EB24DC" w:rsidRDefault="00E352C7" w:rsidP="00EB24D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EB24DC">
        <w:rPr>
          <w:rFonts w:cstheme="minorHAnsi"/>
          <w:sz w:val="24"/>
          <w:szCs w:val="24"/>
        </w:rPr>
        <w:t>S vážnějšími úrazy na pracovišti, které vyžadují hospitalizaci, se setkává 31 % dotázaných. V průměru se u nich takové situace</w:t>
      </w:r>
      <w:r w:rsidR="00EB24DC">
        <w:rPr>
          <w:rFonts w:cstheme="minorHAnsi"/>
          <w:sz w:val="24"/>
          <w:szCs w:val="24"/>
        </w:rPr>
        <w:t xml:space="preserve"> </w:t>
      </w:r>
      <w:r w:rsidRPr="00EB24DC">
        <w:rPr>
          <w:rFonts w:cstheme="minorHAnsi"/>
          <w:sz w:val="24"/>
          <w:szCs w:val="24"/>
        </w:rPr>
        <w:t>vyskytnou 2,3 krát za rok.</w:t>
      </w:r>
      <w:r w:rsidR="001517CB" w:rsidRPr="00EB24DC">
        <w:rPr>
          <w:rFonts w:cstheme="minorHAnsi"/>
          <w:sz w:val="24"/>
          <w:szCs w:val="24"/>
        </w:rPr>
        <w:t xml:space="preserve"> Nejčastější pojistné události z pohledu pojišťovny líčí </w:t>
      </w:r>
      <w:r w:rsidR="001517CB" w:rsidRPr="00EB24DC">
        <w:rPr>
          <w:rFonts w:cstheme="minorHAnsi"/>
          <w:i/>
          <w:iCs/>
          <w:sz w:val="24"/>
          <w:szCs w:val="24"/>
        </w:rPr>
        <w:t xml:space="preserve"> </w:t>
      </w:r>
      <w:r w:rsidR="001517CB" w:rsidRPr="00EB24DC">
        <w:rPr>
          <w:rFonts w:cstheme="minorHAnsi"/>
          <w:b/>
          <w:bCs/>
          <w:sz w:val="24"/>
          <w:szCs w:val="24"/>
        </w:rPr>
        <w:t xml:space="preserve">Libor </w:t>
      </w:r>
      <w:proofErr w:type="spellStart"/>
      <w:r w:rsidR="001517CB" w:rsidRPr="00EB24DC">
        <w:rPr>
          <w:rFonts w:cstheme="minorHAnsi"/>
          <w:b/>
          <w:bCs/>
          <w:sz w:val="24"/>
          <w:szCs w:val="24"/>
        </w:rPr>
        <w:t>Libich</w:t>
      </w:r>
      <w:proofErr w:type="spellEnd"/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b/>
          <w:bCs/>
          <w:color w:val="000000"/>
          <w:sz w:val="24"/>
          <w:szCs w:val="24"/>
        </w:rPr>
        <w:t xml:space="preserve">ředitel, útvar korporátního obchodu společnosti </w:t>
      </w:r>
      <w:proofErr w:type="spellStart"/>
      <w:r w:rsidR="001517CB" w:rsidRPr="00EB24DC">
        <w:rPr>
          <w:rFonts w:cstheme="minorHAnsi"/>
          <w:b/>
          <w:bCs/>
          <w:color w:val="000000"/>
          <w:sz w:val="24"/>
          <w:szCs w:val="24"/>
        </w:rPr>
        <w:t>Generali</w:t>
      </w:r>
      <w:proofErr w:type="spellEnd"/>
      <w:r w:rsidR="001517CB" w:rsidRPr="00EB24DC">
        <w:rPr>
          <w:rFonts w:cstheme="minorHAnsi"/>
          <w:b/>
          <w:bCs/>
          <w:color w:val="000000"/>
          <w:sz w:val="24"/>
          <w:szCs w:val="24"/>
        </w:rPr>
        <w:t xml:space="preserve"> Česká pojišťovna a.s.:</w:t>
      </w:r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i/>
          <w:iCs/>
          <w:sz w:val="24"/>
          <w:szCs w:val="24"/>
        </w:rPr>
        <w:t>„Česká pojišťovna se jako univerzální pojišťovna setkává</w:t>
      </w:r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i/>
          <w:iCs/>
          <w:sz w:val="24"/>
          <w:szCs w:val="24"/>
        </w:rPr>
        <w:t>se všemi druhy pojistných událostí, a to nejen v oblasti stavebnictví.</w:t>
      </w:r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i/>
          <w:iCs/>
          <w:sz w:val="24"/>
          <w:szCs w:val="24"/>
        </w:rPr>
        <w:t>Vzhledem k našemu významnému podílu na pojištění stavebních</w:t>
      </w:r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i/>
          <w:iCs/>
          <w:sz w:val="24"/>
          <w:szCs w:val="24"/>
        </w:rPr>
        <w:t>společností útvar likvidace pojistných událostí řeší a vyplácí škody</w:t>
      </w:r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i/>
          <w:iCs/>
          <w:sz w:val="24"/>
          <w:szCs w:val="24"/>
        </w:rPr>
        <w:t xml:space="preserve">ze stavebního a montážního pojištění (tzv. All </w:t>
      </w:r>
      <w:proofErr w:type="spellStart"/>
      <w:r w:rsidR="001517CB" w:rsidRPr="00EB24DC">
        <w:rPr>
          <w:rFonts w:cstheme="minorHAnsi"/>
          <w:i/>
          <w:iCs/>
          <w:sz w:val="24"/>
          <w:szCs w:val="24"/>
        </w:rPr>
        <w:t>risks</w:t>
      </w:r>
      <w:proofErr w:type="spellEnd"/>
      <w:r w:rsidR="001517CB" w:rsidRPr="00EB24DC">
        <w:rPr>
          <w:rFonts w:cstheme="minorHAnsi"/>
          <w:i/>
          <w:iCs/>
          <w:sz w:val="24"/>
          <w:szCs w:val="24"/>
        </w:rPr>
        <w:t>), z</w:t>
      </w:r>
      <w:r w:rsidR="00EB24DC">
        <w:rPr>
          <w:rFonts w:cstheme="minorHAnsi"/>
          <w:i/>
          <w:iCs/>
          <w:sz w:val="24"/>
          <w:szCs w:val="24"/>
        </w:rPr>
        <w:t> </w:t>
      </w:r>
      <w:r w:rsidR="001517CB" w:rsidRPr="00EB24DC">
        <w:rPr>
          <w:rFonts w:cstheme="minorHAnsi"/>
          <w:i/>
          <w:iCs/>
          <w:sz w:val="24"/>
          <w:szCs w:val="24"/>
        </w:rPr>
        <w:t>pojištění</w:t>
      </w:r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i/>
          <w:iCs/>
          <w:sz w:val="24"/>
          <w:szCs w:val="24"/>
        </w:rPr>
        <w:t>odpovědnosti všech účastníků stavebního procesu, škod z</w:t>
      </w:r>
      <w:r w:rsidR="00EB24DC">
        <w:rPr>
          <w:rFonts w:cstheme="minorHAnsi"/>
          <w:i/>
          <w:iCs/>
          <w:sz w:val="24"/>
          <w:szCs w:val="24"/>
        </w:rPr>
        <w:t> </w:t>
      </w:r>
      <w:r w:rsidR="001517CB" w:rsidRPr="00EB24DC">
        <w:rPr>
          <w:rFonts w:cstheme="minorHAnsi"/>
          <w:i/>
          <w:iCs/>
          <w:sz w:val="24"/>
          <w:szCs w:val="24"/>
        </w:rPr>
        <w:t>profesní</w:t>
      </w:r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i/>
          <w:iCs/>
          <w:sz w:val="24"/>
          <w:szCs w:val="24"/>
        </w:rPr>
        <w:t xml:space="preserve">odpovědnosti projektanta, poškození </w:t>
      </w:r>
      <w:r w:rsidR="001517CB" w:rsidRPr="00EB24DC">
        <w:rPr>
          <w:rFonts w:cstheme="minorHAnsi"/>
          <w:i/>
          <w:iCs/>
          <w:sz w:val="24"/>
          <w:szCs w:val="24"/>
        </w:rPr>
        <w:lastRenderedPageBreak/>
        <w:t>stavebních strojů, odcizení</w:t>
      </w:r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i/>
          <w:iCs/>
          <w:sz w:val="24"/>
          <w:szCs w:val="24"/>
        </w:rPr>
        <w:t>materiálu. Frekvenčně jsou nejčastější škody z odcizení a z</w:t>
      </w:r>
      <w:r w:rsidR="00EB24DC">
        <w:rPr>
          <w:rFonts w:cstheme="minorHAnsi"/>
          <w:i/>
          <w:iCs/>
          <w:sz w:val="24"/>
          <w:szCs w:val="24"/>
        </w:rPr>
        <w:t> </w:t>
      </w:r>
      <w:r w:rsidR="001517CB" w:rsidRPr="00EB24DC">
        <w:rPr>
          <w:rFonts w:cstheme="minorHAnsi"/>
          <w:i/>
          <w:iCs/>
          <w:sz w:val="24"/>
          <w:szCs w:val="24"/>
        </w:rPr>
        <w:t>poškození</w:t>
      </w:r>
      <w:r w:rsidR="00EB24DC">
        <w:rPr>
          <w:rFonts w:cstheme="minorHAnsi"/>
          <w:sz w:val="24"/>
          <w:szCs w:val="24"/>
        </w:rPr>
        <w:t xml:space="preserve"> </w:t>
      </w:r>
      <w:r w:rsidR="001517CB" w:rsidRPr="00EB24DC">
        <w:rPr>
          <w:rFonts w:cstheme="minorHAnsi"/>
          <w:i/>
          <w:iCs/>
          <w:sz w:val="24"/>
          <w:szCs w:val="24"/>
        </w:rPr>
        <w:t>stávajícího majetku, největší škody pak z živelních příčin.“</w:t>
      </w:r>
    </w:p>
    <w:p w14:paraId="3685B489" w14:textId="489F5F92" w:rsidR="00E352C7" w:rsidRDefault="00EB24DC" w:rsidP="00E352C7">
      <w:pPr>
        <w:rPr>
          <w:rFonts w:ascii="SourceSansVariable-Roman" w:hAnsi="SourceSansVariable-Roman" w:cs="SourceSansVariable-Roman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A3AA88B" wp14:editId="2522385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648200" cy="2657475"/>
            <wp:effectExtent l="0" t="0" r="0" b="9525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3D269C" w14:textId="71D4E50A" w:rsidR="00E352C7" w:rsidRPr="00EB24DC" w:rsidRDefault="00EB24DC" w:rsidP="00EB24D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EB24DC">
        <w:rPr>
          <w:rFonts w:cstheme="minorHAnsi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BDE12BA" wp14:editId="0F63B4BC">
            <wp:simplePos x="0" y="0"/>
            <wp:positionH relativeFrom="margin">
              <wp:align>center</wp:align>
            </wp:positionH>
            <wp:positionV relativeFrom="paragraph">
              <wp:posOffset>666115</wp:posOffset>
            </wp:positionV>
            <wp:extent cx="4781550" cy="2847975"/>
            <wp:effectExtent l="0" t="0" r="0" b="9525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52C7" w:rsidRPr="00EB24DC">
        <w:rPr>
          <w:rFonts w:cstheme="minorHAnsi"/>
          <w:sz w:val="24"/>
          <w:szCs w:val="24"/>
        </w:rPr>
        <w:t>O možnosti prevence škod u projektů se zajímá 76 % z dotázaných stavebních společnosti. Zbylých 24 % se o takové možnosti</w:t>
      </w:r>
      <w:r>
        <w:rPr>
          <w:rFonts w:cstheme="minorHAnsi"/>
          <w:sz w:val="24"/>
          <w:szCs w:val="24"/>
        </w:rPr>
        <w:t xml:space="preserve"> </w:t>
      </w:r>
      <w:r w:rsidR="00E352C7" w:rsidRPr="00EB24DC">
        <w:rPr>
          <w:rFonts w:cstheme="minorHAnsi"/>
          <w:sz w:val="24"/>
          <w:szCs w:val="24"/>
        </w:rPr>
        <w:t>nezajímá.</w:t>
      </w:r>
    </w:p>
    <w:p w14:paraId="55B5B6CB" w14:textId="15457A7C" w:rsidR="00E352C7" w:rsidRDefault="00E352C7" w:rsidP="00E352C7"/>
    <w:p w14:paraId="7D824A0B" w14:textId="30E39B1B" w:rsidR="00757E17" w:rsidRPr="00EB24DC" w:rsidRDefault="00EB24DC" w:rsidP="00EB24DC">
      <w:pPr>
        <w:jc w:val="center"/>
        <w:rPr>
          <w:rFonts w:cstheme="minorHAnsi"/>
          <w:b/>
          <w:bCs/>
          <w:color w:val="000000"/>
          <w:sz w:val="32"/>
          <w:szCs w:val="32"/>
        </w:rPr>
      </w:pPr>
      <w:r w:rsidRPr="00EB24DC">
        <w:rPr>
          <w:rFonts w:cstheme="minorHAnsi"/>
          <w:b/>
          <w:bCs/>
          <w:color w:val="000000"/>
          <w:sz w:val="32"/>
          <w:szCs w:val="32"/>
        </w:rPr>
        <w:t>Kvartální analýza českého stavebnictví Q2/2021 je ke stažení na:</w:t>
      </w:r>
    </w:p>
    <w:p w14:paraId="3E873F9E" w14:textId="77777777" w:rsidR="00FD780D" w:rsidRPr="00A16707" w:rsidRDefault="00464638" w:rsidP="00FD780D">
      <w:pPr>
        <w:spacing w:before="240" w:after="240" w:line="240" w:lineRule="auto"/>
        <w:jc w:val="center"/>
        <w:rPr>
          <w:rFonts w:asciiTheme="majorHAnsi" w:eastAsia="Times New Roman" w:hAnsiTheme="majorHAnsi" w:cstheme="majorHAnsi"/>
          <w:color w:val="000000"/>
          <w:sz w:val="32"/>
          <w:szCs w:val="32"/>
          <w:lang w:eastAsia="cs-CZ"/>
        </w:rPr>
      </w:pPr>
      <w:hyperlink r:id="rId10" w:history="1">
        <w:r w:rsidR="00FD780D" w:rsidRPr="00A97D1E">
          <w:rPr>
            <w:rStyle w:val="Hypertextovodkaz"/>
            <w:rFonts w:eastAsia="Times New Roman" w:cstheme="majorHAnsi"/>
            <w:sz w:val="36"/>
            <w:szCs w:val="36"/>
            <w:lang w:eastAsia="cs-CZ"/>
          </w:rPr>
          <w:t>www.ceec.eu</w:t>
        </w:r>
        <w:r w:rsidR="00FD780D" w:rsidRPr="00A97D1E">
          <w:rPr>
            <w:rStyle w:val="Hypertextovodkaz"/>
            <w:rFonts w:asciiTheme="majorHAnsi" w:eastAsia="Times New Roman" w:hAnsiTheme="majorHAnsi" w:cstheme="majorHAnsi"/>
            <w:sz w:val="44"/>
            <w:szCs w:val="44"/>
            <w:lang w:eastAsia="cs-CZ"/>
          </w:rPr>
          <w:br/>
        </w:r>
      </w:hyperlink>
    </w:p>
    <w:p w14:paraId="65A0625E" w14:textId="77777777" w:rsidR="00FD780D" w:rsidRDefault="00FD780D" w:rsidP="00FD780D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lang w:eastAsia="cs-CZ"/>
        </w:rPr>
        <w:lastRenderedPageBreak/>
        <w:t>Kontakt pro média:</w:t>
      </w:r>
      <w:r>
        <w:rPr>
          <w:rFonts w:ascii="Calibri" w:eastAsia="Times New Roman" w:hAnsi="Calibri" w:cs="Calibri"/>
          <w:b/>
          <w:bCs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000000"/>
          <w:lang w:eastAsia="cs-CZ"/>
        </w:rPr>
        <w:t>Ing. Michal Vacek,</w:t>
      </w:r>
      <w:r>
        <w:rPr>
          <w:rFonts w:ascii="Calibri" w:eastAsia="Times New Roman" w:hAnsi="Calibri" w:cs="Calibri"/>
          <w:color w:val="000000"/>
          <w:lang w:eastAsia="cs-CZ"/>
        </w:rPr>
        <w:br/>
        <w:t>ředitel společnosti</w:t>
      </w:r>
      <w:r>
        <w:rPr>
          <w:rFonts w:ascii="Calibri" w:eastAsia="Times New Roman" w:hAnsi="Calibri" w:cs="Calibri"/>
          <w:color w:val="000000"/>
          <w:lang w:eastAsia="cs-CZ"/>
        </w:rPr>
        <w:br/>
        <w:t xml:space="preserve">CEEC </w:t>
      </w:r>
      <w:proofErr w:type="spellStart"/>
      <w:r>
        <w:rPr>
          <w:rFonts w:ascii="Calibri" w:eastAsia="Times New Roman" w:hAnsi="Calibri" w:cs="Calibri"/>
          <w:color w:val="000000"/>
          <w:lang w:eastAsia="cs-CZ"/>
        </w:rPr>
        <w:t>Research</w:t>
      </w:r>
      <w:proofErr w:type="spellEnd"/>
      <w:r>
        <w:rPr>
          <w:rFonts w:ascii="Calibri" w:eastAsia="Times New Roman" w:hAnsi="Calibri" w:cs="Calibri"/>
          <w:color w:val="000000"/>
          <w:lang w:eastAsia="cs-CZ"/>
        </w:rPr>
        <w:br/>
        <w:t>+420 776 023 170</w:t>
      </w:r>
      <w:r>
        <w:rPr>
          <w:rFonts w:ascii="Calibri" w:eastAsia="Times New Roman" w:hAnsi="Calibri" w:cs="Calibri"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1155CC"/>
          <w:u w:val="single"/>
          <w:lang w:eastAsia="cs-CZ"/>
        </w:rPr>
        <w:t>michal.vacek@ceec.eu</w:t>
      </w:r>
    </w:p>
    <w:p w14:paraId="54EAA569" w14:textId="77777777" w:rsidR="00FD780D" w:rsidRPr="00B91CDF" w:rsidRDefault="00FD780D" w:rsidP="00FD780D">
      <w:pPr>
        <w:spacing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 xml:space="preserve">Společnost CEEC </w:t>
      </w:r>
      <w:proofErr w:type="spellStart"/>
      <w:r w:rsidRPr="00B91CDF">
        <w:rPr>
          <w:rFonts w:asciiTheme="majorHAnsi" w:hAnsiTheme="majorHAnsi" w:cstheme="majorHAnsi"/>
        </w:rPr>
        <w:t>Research</w:t>
      </w:r>
      <w:proofErr w:type="spellEnd"/>
      <w:r w:rsidRPr="00B91CDF">
        <w:rPr>
          <w:rFonts w:asciiTheme="majorHAnsi" w:hAnsiTheme="majorHAnsi" w:cstheme="majorHAnsi"/>
        </w:rPr>
        <w:t xml:space="preserve"> je přední analytickou a výzkumnou společností zaměřující se na vývoj vybraných sektorů ekonomiky v zemích střední a východní Evropy. Její studie jsou využívány v současné době více než 17</w:t>
      </w:r>
      <w:r>
        <w:rPr>
          <w:rFonts w:asciiTheme="majorHAnsi" w:hAnsiTheme="majorHAnsi" w:cstheme="majorHAnsi"/>
        </w:rPr>
        <w:t> </w:t>
      </w:r>
      <w:r w:rsidRPr="00B91CDF">
        <w:rPr>
          <w:rFonts w:asciiTheme="majorHAnsi" w:hAnsiTheme="majorHAnsi" w:cstheme="majorHAnsi"/>
        </w:rPr>
        <w:t xml:space="preserve">000 společnostmi. Společnost CEEC </w:t>
      </w:r>
      <w:proofErr w:type="spellStart"/>
      <w:r w:rsidRPr="00B91CDF">
        <w:rPr>
          <w:rFonts w:asciiTheme="majorHAnsi" w:hAnsiTheme="majorHAnsi" w:cstheme="majorHAnsi"/>
        </w:rPr>
        <w:t>Research</w:t>
      </w:r>
      <w:proofErr w:type="spellEnd"/>
      <w:r w:rsidRPr="00B91CDF">
        <w:rPr>
          <w:rFonts w:asciiTheme="majorHAnsi" w:hAnsiTheme="majorHAnsi" w:cstheme="majorHAnsi"/>
        </w:rPr>
        <w:t xml:space="preserve"> vznikla v roce 2005 jako analytická organizace specializující se na zpracování výzkumů a analýz stavebního sektoru, následně se analytické zaměření rozšířilo i na další vybrané sektory ekonomiky, včetně stavebnictví.</w:t>
      </w:r>
    </w:p>
    <w:p w14:paraId="48D89140" w14:textId="77777777" w:rsidR="00FD780D" w:rsidRPr="00B91CDF" w:rsidRDefault="00FD780D" w:rsidP="00FD780D">
      <w:pPr>
        <w:spacing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 xml:space="preserve">CEEC </w:t>
      </w:r>
      <w:proofErr w:type="spellStart"/>
      <w:r w:rsidRPr="00B91CDF">
        <w:rPr>
          <w:rFonts w:asciiTheme="majorHAnsi" w:hAnsiTheme="majorHAnsi" w:cstheme="majorHAnsi"/>
        </w:rPr>
        <w:t>Research</w:t>
      </w:r>
      <w:proofErr w:type="spellEnd"/>
      <w:r w:rsidRPr="00B91CDF">
        <w:rPr>
          <w:rFonts w:asciiTheme="majorHAnsi" w:hAnsiTheme="majorHAnsi" w:cstheme="majorHAnsi"/>
        </w:rPr>
        <w:t xml:space="preserve"> navíc k pravidelným a bezplatným analýzám také organizuje vysoce specializované odborné konference, kterých se účastní generální ředitelé nejvýznamnějších společností, prezidenti klíčových svazů, cechů a komor a rovněž ministři a nejvyšší představitelé státu z vybraných zemí. </w:t>
      </w:r>
    </w:p>
    <w:p w14:paraId="37491180" w14:textId="77777777" w:rsidR="00FD780D" w:rsidRPr="00C00A98" w:rsidRDefault="00FD780D" w:rsidP="00FD780D"/>
    <w:p w14:paraId="4460F09B" w14:textId="77777777" w:rsidR="00FD780D" w:rsidRPr="00E352C7" w:rsidRDefault="00FD780D" w:rsidP="00757E17"/>
    <w:sectPr w:rsidR="00FD780D" w:rsidRPr="00E352C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2F84E6" w14:textId="77777777" w:rsidR="00464638" w:rsidRDefault="00464638" w:rsidP="00FD780D">
      <w:pPr>
        <w:spacing w:after="0" w:line="240" w:lineRule="auto"/>
      </w:pPr>
      <w:r>
        <w:separator/>
      </w:r>
    </w:p>
  </w:endnote>
  <w:endnote w:type="continuationSeparator" w:id="0">
    <w:p w14:paraId="75BF7748" w14:textId="77777777" w:rsidR="00464638" w:rsidRDefault="00464638" w:rsidP="00FD7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SansVariable-Italic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ourceSansVariable-Roman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CEB564" w14:textId="77777777" w:rsidR="00464638" w:rsidRDefault="00464638" w:rsidP="00FD780D">
      <w:pPr>
        <w:spacing w:after="0" w:line="240" w:lineRule="auto"/>
      </w:pPr>
      <w:r>
        <w:separator/>
      </w:r>
    </w:p>
  </w:footnote>
  <w:footnote w:type="continuationSeparator" w:id="0">
    <w:p w14:paraId="0D6C1D26" w14:textId="77777777" w:rsidR="00464638" w:rsidRDefault="00464638" w:rsidP="00FD7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C7501D" w14:textId="7CD91EF3" w:rsidR="00FD780D" w:rsidRDefault="00FD780D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0855B1F" wp14:editId="34DCA0DF">
          <wp:simplePos x="0" y="0"/>
          <wp:positionH relativeFrom="margin">
            <wp:align>left</wp:align>
          </wp:positionH>
          <wp:positionV relativeFrom="paragraph">
            <wp:posOffset>-343535</wp:posOffset>
          </wp:positionV>
          <wp:extent cx="1885950" cy="1012190"/>
          <wp:effectExtent l="0" t="0" r="0" b="0"/>
          <wp:wrapTopAndBottom/>
          <wp:docPr id="5" name="Obrázek 5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kreslení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1012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2C7"/>
    <w:rsid w:val="000C0FDC"/>
    <w:rsid w:val="001517CB"/>
    <w:rsid w:val="00464638"/>
    <w:rsid w:val="005412B2"/>
    <w:rsid w:val="00757E17"/>
    <w:rsid w:val="00AE2B34"/>
    <w:rsid w:val="00AF7CB7"/>
    <w:rsid w:val="00B7200F"/>
    <w:rsid w:val="00BA10E1"/>
    <w:rsid w:val="00C11DD0"/>
    <w:rsid w:val="00E352C7"/>
    <w:rsid w:val="00EB24DC"/>
    <w:rsid w:val="00F76FF6"/>
    <w:rsid w:val="00FD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46081"/>
  <w15:chartTrackingRefBased/>
  <w15:docId w15:val="{2F4C77D6-CCE5-4E67-BB94-D15ADF3BC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7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780D"/>
  </w:style>
  <w:style w:type="paragraph" w:styleId="Zpat">
    <w:name w:val="footer"/>
    <w:basedOn w:val="Normln"/>
    <w:link w:val="ZpatChar"/>
    <w:uiPriority w:val="99"/>
    <w:unhideWhenUsed/>
    <w:rsid w:val="00FD7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780D"/>
  </w:style>
  <w:style w:type="character" w:styleId="Hypertextovodkaz">
    <w:name w:val="Hyperlink"/>
    <w:basedOn w:val="Standardnpsmoodstavce"/>
    <w:uiPriority w:val="99"/>
    <w:unhideWhenUsed/>
    <w:rsid w:val="00FD78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ceec.eu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2021-07-14T06:13:00Z</dcterms:created>
  <dcterms:modified xsi:type="dcterms:W3CDTF">2021-07-14T06:13:00Z</dcterms:modified>
</cp:coreProperties>
</file>