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8EC" w:rsidRDefault="006618EC" w:rsidP="003919E1">
      <w:pPr>
        <w:spacing w:line="360" w:lineRule="auto"/>
        <w:jc w:val="center"/>
        <w:rPr>
          <w:rFonts w:ascii="Arial" w:hAnsi="Arial" w:cs="Arial"/>
          <w:b/>
          <w:bCs/>
          <w:sz w:val="32"/>
          <w:szCs w:val="32"/>
        </w:rPr>
      </w:pPr>
    </w:p>
    <w:p w:rsidR="00CA095C" w:rsidRDefault="001A4C05" w:rsidP="001D3E06">
      <w:pPr>
        <w:spacing w:line="360" w:lineRule="auto"/>
        <w:jc w:val="center"/>
        <w:rPr>
          <w:rFonts w:ascii="Arial" w:hAnsi="Arial" w:cs="Arial"/>
          <w:b/>
          <w:bCs/>
          <w:sz w:val="32"/>
          <w:szCs w:val="32"/>
        </w:rPr>
      </w:pPr>
      <w:r>
        <w:rPr>
          <w:rFonts w:ascii="Arial" w:hAnsi="Arial" w:cs="Arial"/>
          <w:b/>
          <w:bCs/>
          <w:sz w:val="32"/>
          <w:szCs w:val="32"/>
        </w:rPr>
        <w:t xml:space="preserve">Poptávka po retailových nemovitostech </w:t>
      </w:r>
      <w:r w:rsidR="00A4061E">
        <w:rPr>
          <w:rFonts w:ascii="Arial" w:hAnsi="Arial" w:cs="Arial"/>
          <w:b/>
          <w:bCs/>
          <w:sz w:val="32"/>
          <w:szCs w:val="32"/>
        </w:rPr>
        <w:t xml:space="preserve">v Praze </w:t>
      </w:r>
      <w:r>
        <w:rPr>
          <w:rFonts w:ascii="Arial" w:hAnsi="Arial" w:cs="Arial"/>
          <w:b/>
          <w:bCs/>
          <w:sz w:val="32"/>
          <w:szCs w:val="32"/>
        </w:rPr>
        <w:t>roste rychleji než nabídka; táhne ji především růst kupní síly obyvatel</w:t>
      </w:r>
    </w:p>
    <w:p w:rsidR="001D3E06" w:rsidRPr="001779B4" w:rsidRDefault="001D3E06" w:rsidP="00C4769E">
      <w:pPr>
        <w:spacing w:line="360" w:lineRule="auto"/>
        <w:jc w:val="both"/>
        <w:rPr>
          <w:rFonts w:ascii="Arial" w:hAnsi="Arial" w:cs="Arial"/>
          <w:b/>
          <w:bCs/>
          <w:sz w:val="32"/>
          <w:szCs w:val="32"/>
        </w:rPr>
      </w:pPr>
    </w:p>
    <w:p w:rsidR="00B9289E" w:rsidRDefault="001D69D0" w:rsidP="0048778A">
      <w:pPr>
        <w:autoSpaceDE w:val="0"/>
        <w:autoSpaceDN w:val="0"/>
        <w:adjustRightInd w:val="0"/>
        <w:spacing w:line="360" w:lineRule="auto"/>
        <w:jc w:val="both"/>
        <w:outlineLvl w:val="0"/>
        <w:rPr>
          <w:rFonts w:ascii="Arial" w:hAnsi="Arial" w:cs="Arial"/>
          <w:b/>
          <w:bCs/>
        </w:rPr>
      </w:pPr>
      <w:bookmarkStart w:id="0" w:name="_Hlk494692900"/>
      <w:r>
        <w:rPr>
          <w:rFonts w:ascii="Arial" w:hAnsi="Arial" w:cs="Arial"/>
          <w:b/>
          <w:bCs/>
        </w:rPr>
        <w:t xml:space="preserve">Praha </w:t>
      </w:r>
      <w:r w:rsidR="00A4061E">
        <w:rPr>
          <w:rFonts w:ascii="Arial" w:hAnsi="Arial" w:cs="Arial"/>
          <w:b/>
          <w:bCs/>
        </w:rPr>
        <w:t>6. října</w:t>
      </w:r>
      <w:r w:rsidR="00B9289E" w:rsidRPr="001779B4">
        <w:rPr>
          <w:rFonts w:ascii="Arial" w:hAnsi="Arial" w:cs="Arial"/>
          <w:b/>
          <w:bCs/>
        </w:rPr>
        <w:t xml:space="preserve"> </w:t>
      </w:r>
      <w:r w:rsidR="00FD7539" w:rsidRPr="001779B4">
        <w:rPr>
          <w:rFonts w:ascii="Arial" w:hAnsi="Arial" w:cs="Arial"/>
          <w:b/>
          <w:bCs/>
        </w:rPr>
        <w:t>–</w:t>
      </w:r>
      <w:r w:rsidR="00E11CB0">
        <w:rPr>
          <w:rFonts w:ascii="Arial" w:hAnsi="Arial" w:cs="Arial"/>
          <w:b/>
          <w:bCs/>
        </w:rPr>
        <w:t xml:space="preserve"> </w:t>
      </w:r>
      <w:r w:rsidR="00D04143">
        <w:rPr>
          <w:rFonts w:ascii="Arial" w:hAnsi="Arial" w:cs="Arial"/>
          <w:b/>
          <w:bCs/>
        </w:rPr>
        <w:t xml:space="preserve">Nabídka nových retailových nemovitostí poroste v tomto i příštím </w:t>
      </w:r>
      <w:r w:rsidR="00F1789C">
        <w:rPr>
          <w:rFonts w:ascii="Arial" w:hAnsi="Arial" w:cs="Arial"/>
          <w:b/>
          <w:bCs/>
        </w:rPr>
        <w:t>roce</w:t>
      </w:r>
      <w:r w:rsidR="00D04143">
        <w:rPr>
          <w:rFonts w:ascii="Arial" w:hAnsi="Arial" w:cs="Arial"/>
          <w:b/>
          <w:bCs/>
        </w:rPr>
        <w:t xml:space="preserve"> v regionech ČR </w:t>
      </w:r>
      <w:r w:rsidR="00F1789C">
        <w:rPr>
          <w:rFonts w:ascii="Arial" w:hAnsi="Arial" w:cs="Arial"/>
          <w:b/>
          <w:bCs/>
        </w:rPr>
        <w:t xml:space="preserve">více </w:t>
      </w:r>
      <w:r w:rsidR="00D04143">
        <w:rPr>
          <w:rFonts w:ascii="Arial" w:hAnsi="Arial" w:cs="Arial"/>
          <w:b/>
          <w:bCs/>
        </w:rPr>
        <w:t xml:space="preserve">než v hlavním městě. </w:t>
      </w:r>
      <w:r w:rsidR="00F1789C">
        <w:rPr>
          <w:rFonts w:ascii="Arial" w:hAnsi="Arial" w:cs="Arial"/>
          <w:b/>
          <w:bCs/>
        </w:rPr>
        <w:t xml:space="preserve">V Praze přitom růst poptávky převýší nabídku o </w:t>
      </w:r>
      <w:r w:rsidR="00A4061E">
        <w:rPr>
          <w:rFonts w:ascii="Arial" w:hAnsi="Arial" w:cs="Arial"/>
          <w:b/>
          <w:bCs/>
        </w:rPr>
        <w:t xml:space="preserve">přibližně </w:t>
      </w:r>
      <w:r w:rsidR="00F1789C">
        <w:rPr>
          <w:rFonts w:ascii="Arial" w:hAnsi="Arial" w:cs="Arial"/>
          <w:b/>
          <w:bCs/>
        </w:rPr>
        <w:t xml:space="preserve">tři procentní body. Poptávka po retailových nemovitostech je v současnosti tažena především růstem kupní síly obyvatelstva. Developeři hodlají letos také zdražovat pronájmy retailových nemovitostí, a to v průměru o 3,5 procenta. </w:t>
      </w:r>
      <w:r w:rsidR="00856A7B" w:rsidRPr="00CD49B5">
        <w:rPr>
          <w:rFonts w:ascii="Arial" w:hAnsi="Arial" w:cs="Arial"/>
          <w:b/>
          <w:bCs/>
        </w:rPr>
        <w:t>Vyplývá to ze Studie</w:t>
      </w:r>
      <w:r w:rsidR="00856A7B">
        <w:rPr>
          <w:rFonts w:ascii="Arial" w:hAnsi="Arial" w:cs="Arial"/>
          <w:b/>
          <w:bCs/>
        </w:rPr>
        <w:t xml:space="preserve"> developerských společností</w:t>
      </w:r>
      <w:r w:rsidR="00856A7B" w:rsidRPr="00CD49B5">
        <w:rPr>
          <w:rFonts w:ascii="Arial" w:hAnsi="Arial" w:cs="Arial"/>
          <w:b/>
          <w:bCs/>
        </w:rPr>
        <w:t xml:space="preserve"> </w:t>
      </w:r>
      <w:r w:rsidR="008E241F" w:rsidRPr="00CD49B5">
        <w:rPr>
          <w:rFonts w:ascii="Arial" w:hAnsi="Arial" w:cs="Arial"/>
          <w:b/>
          <w:bCs/>
        </w:rPr>
        <w:t>Q</w:t>
      </w:r>
      <w:r w:rsidR="008D0DFB">
        <w:rPr>
          <w:rFonts w:ascii="Arial" w:hAnsi="Arial" w:cs="Arial"/>
          <w:b/>
          <w:bCs/>
        </w:rPr>
        <w:t>3</w:t>
      </w:r>
      <w:r w:rsidR="00562B13" w:rsidRPr="00CD49B5">
        <w:rPr>
          <w:rFonts w:ascii="Arial" w:hAnsi="Arial" w:cs="Arial"/>
          <w:b/>
          <w:bCs/>
        </w:rPr>
        <w:t>/</w:t>
      </w:r>
      <w:r w:rsidR="00153E32">
        <w:rPr>
          <w:rFonts w:ascii="Arial" w:hAnsi="Arial" w:cs="Arial"/>
          <w:b/>
          <w:bCs/>
        </w:rPr>
        <w:t>2017</w:t>
      </w:r>
      <w:r w:rsidR="00277BF7" w:rsidRPr="00CD49B5">
        <w:rPr>
          <w:rFonts w:ascii="Arial" w:hAnsi="Arial" w:cs="Arial"/>
          <w:b/>
          <w:bCs/>
        </w:rPr>
        <w:t xml:space="preserve"> </w:t>
      </w:r>
      <w:r w:rsidR="00B9289E" w:rsidRPr="00CD49B5">
        <w:rPr>
          <w:rFonts w:ascii="Arial" w:hAnsi="Arial" w:cs="Arial"/>
          <w:b/>
          <w:bCs/>
        </w:rPr>
        <w:t>zpracované analytickou společností</w:t>
      </w:r>
      <w:r w:rsidR="009F74DC" w:rsidRPr="00CD49B5">
        <w:rPr>
          <w:rFonts w:ascii="Arial" w:hAnsi="Arial" w:cs="Arial"/>
          <w:b/>
          <w:bCs/>
        </w:rPr>
        <w:t xml:space="preserve"> CEEC </w:t>
      </w:r>
      <w:proofErr w:type="spellStart"/>
      <w:r w:rsidR="00C4769E">
        <w:rPr>
          <w:rFonts w:ascii="Arial" w:hAnsi="Arial" w:cs="Arial"/>
          <w:b/>
          <w:bCs/>
        </w:rPr>
        <w:t>Research</w:t>
      </w:r>
      <w:proofErr w:type="spellEnd"/>
      <w:r w:rsidR="00C4769E">
        <w:rPr>
          <w:rFonts w:ascii="Arial" w:hAnsi="Arial" w:cs="Arial"/>
          <w:b/>
          <w:bCs/>
        </w:rPr>
        <w:t xml:space="preserve"> </w:t>
      </w:r>
      <w:r w:rsidR="00C4769E" w:rsidRPr="00C12294">
        <w:rPr>
          <w:rFonts w:ascii="Arial" w:hAnsi="Arial" w:cs="Arial"/>
          <w:b/>
          <w:bCs/>
        </w:rPr>
        <w:t>ve spolupráci se společností</w:t>
      </w:r>
      <w:r w:rsidR="00C4769E">
        <w:rPr>
          <w:rFonts w:ascii="Arial" w:hAnsi="Arial" w:cs="Arial"/>
          <w:b/>
          <w:bCs/>
        </w:rPr>
        <w:t xml:space="preserve"> KPMG</w:t>
      </w:r>
      <w:r w:rsidR="006618EC">
        <w:rPr>
          <w:rFonts w:ascii="Arial" w:hAnsi="Arial" w:cs="Arial"/>
          <w:b/>
          <w:bCs/>
        </w:rPr>
        <w:t xml:space="preserve"> Česká republika.</w:t>
      </w:r>
    </w:p>
    <w:bookmarkEnd w:id="0"/>
    <w:p w:rsidR="00BE4F89" w:rsidRDefault="00BE4F89" w:rsidP="00BE4F89">
      <w:pPr>
        <w:autoSpaceDE w:val="0"/>
        <w:autoSpaceDN w:val="0"/>
        <w:adjustRightInd w:val="0"/>
        <w:spacing w:line="276" w:lineRule="auto"/>
        <w:jc w:val="both"/>
        <w:rPr>
          <w:rFonts w:ascii="Arial" w:hAnsi="Arial" w:cs="Arial"/>
        </w:rPr>
      </w:pPr>
    </w:p>
    <w:p w:rsidR="004B68BE" w:rsidRDefault="004B68BE" w:rsidP="0074325D">
      <w:pPr>
        <w:autoSpaceDE w:val="0"/>
        <w:autoSpaceDN w:val="0"/>
        <w:adjustRightInd w:val="0"/>
        <w:spacing w:line="276" w:lineRule="auto"/>
        <w:jc w:val="both"/>
        <w:rPr>
          <w:rFonts w:ascii="Arial" w:hAnsi="Arial" w:cs="Arial"/>
          <w:b/>
        </w:rPr>
      </w:pPr>
      <w:r>
        <w:rPr>
          <w:rFonts w:ascii="Arial" w:hAnsi="Arial" w:cs="Arial"/>
        </w:rPr>
        <w:t>Růst nabídk</w:t>
      </w:r>
      <w:r w:rsidR="0073794A">
        <w:rPr>
          <w:rFonts w:ascii="Arial" w:hAnsi="Arial" w:cs="Arial"/>
        </w:rPr>
        <w:t>y developerských společností v oblasti retailových nemovitostí se v letošním roce více projeví v mimopražských regionech, kde</w:t>
      </w:r>
      <w:r w:rsidR="00CC0AF6">
        <w:rPr>
          <w:rFonts w:ascii="Arial" w:hAnsi="Arial" w:cs="Arial"/>
        </w:rPr>
        <w:t xml:space="preserve"> dosáhne hranice 11,0 procenta, zatímco Praha počítá s růstem nabídky na úrovni 8,8 procenta. Pro rok 2018 jsou predikce růstu opatrnější, ale i zde se očekává, že nabídka stoupne více v regionech </w:t>
      </w:r>
      <w:r w:rsidR="00CC0AF6" w:rsidRPr="00BE4F89">
        <w:rPr>
          <w:rFonts w:ascii="Arial" w:hAnsi="Arial" w:cs="Arial"/>
        </w:rPr>
        <w:t>ČR</w:t>
      </w:r>
      <w:r w:rsidR="00CC0AF6">
        <w:rPr>
          <w:rFonts w:ascii="Arial" w:hAnsi="Arial" w:cs="Arial"/>
        </w:rPr>
        <w:t xml:space="preserve"> (růst 9,0 procenta)</w:t>
      </w:r>
      <w:r w:rsidR="00CC0AF6" w:rsidRPr="00BE4F89">
        <w:rPr>
          <w:rFonts w:ascii="Arial" w:hAnsi="Arial" w:cs="Arial"/>
        </w:rPr>
        <w:t xml:space="preserve"> než v</w:t>
      </w:r>
      <w:r w:rsidR="00CC0AF6">
        <w:rPr>
          <w:rFonts w:ascii="Arial" w:hAnsi="Arial" w:cs="Arial"/>
        </w:rPr>
        <w:t> </w:t>
      </w:r>
      <w:r w:rsidR="00CC0AF6" w:rsidRPr="00BE4F89">
        <w:rPr>
          <w:rFonts w:ascii="Arial" w:hAnsi="Arial" w:cs="Arial"/>
        </w:rPr>
        <w:t>Praze</w:t>
      </w:r>
      <w:r w:rsidR="00CC0AF6">
        <w:rPr>
          <w:rFonts w:ascii="Arial" w:hAnsi="Arial" w:cs="Arial"/>
        </w:rPr>
        <w:t xml:space="preserve"> (5,7 procenta). </w:t>
      </w:r>
      <w:r w:rsidR="0074325D" w:rsidRPr="0074325D">
        <w:rPr>
          <w:rFonts w:ascii="Arial" w:hAnsi="Arial" w:cs="Arial"/>
          <w:i/>
        </w:rPr>
        <w:t>„Vybudovaná síť obchodních center v Praze i v celé ČR je poměrně rozsáhlá a developeři hledají atraktivní neobsazená místa velice obtížně. V rámci projektování výtahů a eskalátorů se s poptávkami pro zcela nové retailové projekty na zelené louce setkáváme zřídka. V poslední době ale registrujeme výrazně vyšší aktivitu developerů ve snaze zatraktivnit stávající centra s cílem přilákat další zákazníky a nájemce. Investice plynou zejména do rozšiřování objektů, výrazných přestaveb vstupních hal i koridorů a přístaveb parkovacích domů. Tyto aktivity znamenají příslib oživení a celkového pozitivního vývoje developmentu retailu,“</w:t>
      </w:r>
      <w:r w:rsidR="0074325D">
        <w:rPr>
          <w:rFonts w:ascii="Arial" w:hAnsi="Arial" w:cs="Arial"/>
        </w:rPr>
        <w:t xml:space="preserve"> říká </w:t>
      </w:r>
      <w:r w:rsidR="0074325D" w:rsidRPr="0074325D">
        <w:rPr>
          <w:rFonts w:ascii="Arial" w:hAnsi="Arial" w:cs="Arial"/>
          <w:b/>
        </w:rPr>
        <w:t>Vladimír Steiner, provozní ředitel Schindler CZ, a. s.</w:t>
      </w:r>
    </w:p>
    <w:p w:rsidR="007E6723" w:rsidRDefault="007E6723" w:rsidP="0074325D">
      <w:pPr>
        <w:autoSpaceDE w:val="0"/>
        <w:autoSpaceDN w:val="0"/>
        <w:adjustRightInd w:val="0"/>
        <w:spacing w:line="276" w:lineRule="auto"/>
        <w:jc w:val="both"/>
        <w:rPr>
          <w:rFonts w:ascii="Arial" w:hAnsi="Arial" w:cs="Arial"/>
          <w:b/>
        </w:rPr>
      </w:pPr>
    </w:p>
    <w:p w:rsidR="007E6723" w:rsidRDefault="007E6723" w:rsidP="007E6723">
      <w:pPr>
        <w:autoSpaceDE w:val="0"/>
        <w:autoSpaceDN w:val="0"/>
        <w:adjustRightInd w:val="0"/>
        <w:spacing w:line="276" w:lineRule="auto"/>
        <w:jc w:val="center"/>
        <w:rPr>
          <w:rFonts w:ascii="Arial" w:hAnsi="Arial" w:cs="Arial"/>
        </w:rPr>
      </w:pPr>
      <w:r>
        <w:rPr>
          <w:rFonts w:ascii="Arial" w:hAnsi="Arial" w:cs="Arial"/>
          <w:noProof/>
        </w:rPr>
        <w:lastRenderedPageBreak/>
        <w:drawing>
          <wp:inline distT="0" distB="0" distL="0" distR="0">
            <wp:extent cx="5471160" cy="4090030"/>
            <wp:effectExtent l="0" t="0" r="0" b="635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0001.jpg"/>
                    <pic:cNvPicPr/>
                  </pic:nvPicPr>
                  <pic:blipFill>
                    <a:blip r:embed="rId7">
                      <a:extLst>
                        <a:ext uri="{28A0092B-C50C-407E-A947-70E740481C1C}">
                          <a14:useLocalDpi xmlns:a14="http://schemas.microsoft.com/office/drawing/2010/main" val="0"/>
                        </a:ext>
                      </a:extLst>
                    </a:blip>
                    <a:stretch>
                      <a:fillRect/>
                    </a:stretch>
                  </pic:blipFill>
                  <pic:spPr>
                    <a:xfrm>
                      <a:off x="0" y="0"/>
                      <a:ext cx="5488613" cy="4103077"/>
                    </a:xfrm>
                    <a:prstGeom prst="rect">
                      <a:avLst/>
                    </a:prstGeom>
                  </pic:spPr>
                </pic:pic>
              </a:graphicData>
            </a:graphic>
          </wp:inline>
        </w:drawing>
      </w:r>
    </w:p>
    <w:p w:rsidR="00BE4F89" w:rsidRDefault="00BE4F89" w:rsidP="00BE4F89">
      <w:pPr>
        <w:autoSpaceDE w:val="0"/>
        <w:autoSpaceDN w:val="0"/>
        <w:adjustRightInd w:val="0"/>
        <w:spacing w:line="276" w:lineRule="auto"/>
        <w:jc w:val="both"/>
        <w:rPr>
          <w:rFonts w:ascii="Arial" w:hAnsi="Arial" w:cs="Arial"/>
        </w:rPr>
      </w:pPr>
    </w:p>
    <w:p w:rsidR="004B68BE" w:rsidRDefault="007B0968" w:rsidP="0074325D">
      <w:pPr>
        <w:autoSpaceDE w:val="0"/>
        <w:autoSpaceDN w:val="0"/>
        <w:adjustRightInd w:val="0"/>
        <w:spacing w:line="276" w:lineRule="auto"/>
        <w:jc w:val="both"/>
        <w:rPr>
          <w:rFonts w:ascii="Arial" w:hAnsi="Arial" w:cs="Arial"/>
          <w:b/>
        </w:rPr>
      </w:pPr>
      <w:r>
        <w:rPr>
          <w:rFonts w:ascii="Arial" w:hAnsi="Arial" w:cs="Arial"/>
        </w:rPr>
        <w:t xml:space="preserve">Predikovaný </w:t>
      </w:r>
      <w:r w:rsidR="000F69D3">
        <w:rPr>
          <w:rFonts w:ascii="Arial" w:hAnsi="Arial" w:cs="Arial"/>
        </w:rPr>
        <w:t>růst</w:t>
      </w:r>
      <w:r w:rsidR="004B68BE">
        <w:rPr>
          <w:rFonts w:ascii="Arial" w:hAnsi="Arial" w:cs="Arial"/>
        </w:rPr>
        <w:t xml:space="preserve"> nabídky</w:t>
      </w:r>
      <w:r w:rsidR="00586CFE">
        <w:rPr>
          <w:rFonts w:ascii="Arial" w:hAnsi="Arial" w:cs="Arial"/>
        </w:rPr>
        <w:t xml:space="preserve"> obchodních center</w:t>
      </w:r>
      <w:r w:rsidR="000F69D3">
        <w:rPr>
          <w:rFonts w:ascii="Arial" w:hAnsi="Arial" w:cs="Arial"/>
        </w:rPr>
        <w:t xml:space="preserve"> přitom</w:t>
      </w:r>
      <w:r w:rsidR="004B68BE">
        <w:rPr>
          <w:rFonts w:ascii="Arial" w:hAnsi="Arial" w:cs="Arial"/>
        </w:rPr>
        <w:t xml:space="preserve"> v mimopražských </w:t>
      </w:r>
      <w:r w:rsidR="000F69D3">
        <w:rPr>
          <w:rFonts w:ascii="Arial" w:hAnsi="Arial" w:cs="Arial"/>
        </w:rPr>
        <w:t xml:space="preserve">regionech stačí pouze </w:t>
      </w:r>
      <w:r w:rsidR="004B68BE">
        <w:rPr>
          <w:rFonts w:ascii="Arial" w:hAnsi="Arial" w:cs="Arial"/>
        </w:rPr>
        <w:t>pokrývat</w:t>
      </w:r>
      <w:r w:rsidR="000F69D3">
        <w:rPr>
          <w:rFonts w:ascii="Arial" w:hAnsi="Arial" w:cs="Arial"/>
        </w:rPr>
        <w:t xml:space="preserve"> aktuální zvýšení poptávky. Její růst zde totiž </w:t>
      </w:r>
      <w:r w:rsidR="00586CFE">
        <w:rPr>
          <w:rFonts w:ascii="Arial" w:hAnsi="Arial" w:cs="Arial"/>
        </w:rPr>
        <w:t xml:space="preserve">letos </w:t>
      </w:r>
      <w:r w:rsidR="000F69D3">
        <w:rPr>
          <w:rFonts w:ascii="Arial" w:hAnsi="Arial" w:cs="Arial"/>
        </w:rPr>
        <w:t xml:space="preserve">dosáhne shodné hodnoty 11,0 procenta. V Praze pak poptávka (12,4 procenta) převýší nabídku o </w:t>
      </w:r>
      <w:r w:rsidR="00A4061E">
        <w:rPr>
          <w:rFonts w:ascii="Arial" w:hAnsi="Arial" w:cs="Arial"/>
        </w:rPr>
        <w:t xml:space="preserve">přibližně </w:t>
      </w:r>
      <w:r w:rsidR="000F69D3">
        <w:rPr>
          <w:rFonts w:ascii="Arial" w:hAnsi="Arial" w:cs="Arial"/>
        </w:rPr>
        <w:t>tři procentní body. Ředitelé developerských společností přitom počítají s téměř shodným navýšením poptávky i v dlouhodobém horizontu.</w:t>
      </w:r>
      <w:r w:rsidR="0074325D">
        <w:rPr>
          <w:rFonts w:ascii="Arial" w:hAnsi="Arial" w:cs="Arial"/>
        </w:rPr>
        <w:t xml:space="preserve"> </w:t>
      </w:r>
      <w:r w:rsidR="0074325D" w:rsidRPr="0074325D">
        <w:rPr>
          <w:rFonts w:ascii="Arial" w:hAnsi="Arial" w:cs="Arial"/>
          <w:i/>
        </w:rPr>
        <w:t>„Růst českého maloobchodu v letošním roce bude významně nad průměrem Evropské unie. Děje se tak napříč jednotlivými sektory, což se pozitivně odráží ve výkonnosti obchodních center a zájmu investorů,“</w:t>
      </w:r>
      <w:r w:rsidR="0074325D">
        <w:rPr>
          <w:rFonts w:ascii="Arial" w:hAnsi="Arial" w:cs="Arial"/>
        </w:rPr>
        <w:t xml:space="preserve"> popisuje situaci </w:t>
      </w:r>
      <w:r w:rsidR="0074325D" w:rsidRPr="0074325D">
        <w:rPr>
          <w:rFonts w:ascii="Arial" w:hAnsi="Arial" w:cs="Arial"/>
          <w:b/>
        </w:rPr>
        <w:t>Pavel Kliment Partner odpovědný za služby pro realitní a stavební společnosti KPMG v České republice</w:t>
      </w:r>
    </w:p>
    <w:p w:rsidR="007E6723" w:rsidRDefault="007E6723" w:rsidP="0074325D">
      <w:pPr>
        <w:autoSpaceDE w:val="0"/>
        <w:autoSpaceDN w:val="0"/>
        <w:adjustRightInd w:val="0"/>
        <w:spacing w:line="276" w:lineRule="auto"/>
        <w:jc w:val="both"/>
        <w:rPr>
          <w:rFonts w:ascii="Arial" w:hAnsi="Arial" w:cs="Arial"/>
          <w:b/>
        </w:rPr>
      </w:pPr>
    </w:p>
    <w:p w:rsidR="007E6723" w:rsidRPr="0074325D" w:rsidRDefault="007E6723" w:rsidP="007E6723">
      <w:pPr>
        <w:autoSpaceDE w:val="0"/>
        <w:autoSpaceDN w:val="0"/>
        <w:adjustRightInd w:val="0"/>
        <w:spacing w:line="276" w:lineRule="auto"/>
        <w:jc w:val="center"/>
        <w:rPr>
          <w:rFonts w:ascii="Arial" w:hAnsi="Arial" w:cs="Arial"/>
          <w:b/>
        </w:rPr>
      </w:pPr>
      <w:r>
        <w:rPr>
          <w:rFonts w:ascii="Arial" w:hAnsi="Arial" w:cs="Arial"/>
          <w:b/>
          <w:noProof/>
        </w:rPr>
        <w:lastRenderedPageBreak/>
        <w:drawing>
          <wp:inline distT="0" distB="0" distL="0" distR="0">
            <wp:extent cx="5280660" cy="3866531"/>
            <wp:effectExtent l="0" t="0" r="0" b="63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0002.jpg"/>
                    <pic:cNvPicPr/>
                  </pic:nvPicPr>
                  <pic:blipFill>
                    <a:blip r:embed="rId8">
                      <a:extLst>
                        <a:ext uri="{28A0092B-C50C-407E-A947-70E740481C1C}">
                          <a14:useLocalDpi xmlns:a14="http://schemas.microsoft.com/office/drawing/2010/main" val="0"/>
                        </a:ext>
                      </a:extLst>
                    </a:blip>
                    <a:stretch>
                      <a:fillRect/>
                    </a:stretch>
                  </pic:blipFill>
                  <pic:spPr>
                    <a:xfrm>
                      <a:off x="0" y="0"/>
                      <a:ext cx="5300161" cy="3880810"/>
                    </a:xfrm>
                    <a:prstGeom prst="rect">
                      <a:avLst/>
                    </a:prstGeom>
                  </pic:spPr>
                </pic:pic>
              </a:graphicData>
            </a:graphic>
          </wp:inline>
        </w:drawing>
      </w:r>
    </w:p>
    <w:p w:rsidR="00BC4964" w:rsidRDefault="00BC4964" w:rsidP="00BE4F89">
      <w:pPr>
        <w:autoSpaceDE w:val="0"/>
        <w:autoSpaceDN w:val="0"/>
        <w:adjustRightInd w:val="0"/>
        <w:spacing w:line="276" w:lineRule="auto"/>
        <w:jc w:val="both"/>
        <w:rPr>
          <w:rFonts w:ascii="Arial" w:hAnsi="Arial" w:cs="Arial"/>
        </w:rPr>
      </w:pPr>
    </w:p>
    <w:p w:rsidR="00BC4964" w:rsidRDefault="00BC4964" w:rsidP="00BC4964">
      <w:pPr>
        <w:autoSpaceDE w:val="0"/>
        <w:autoSpaceDN w:val="0"/>
        <w:adjustRightInd w:val="0"/>
        <w:spacing w:line="276" w:lineRule="auto"/>
        <w:jc w:val="both"/>
        <w:rPr>
          <w:rFonts w:ascii="Arial" w:hAnsi="Arial" w:cs="Arial"/>
        </w:rPr>
      </w:pPr>
      <w:r>
        <w:rPr>
          <w:rFonts w:ascii="Arial" w:hAnsi="Arial" w:cs="Arial"/>
        </w:rPr>
        <w:t>Tento významný růst poptávky po retailových nemovitostech bude podle čtyř pětin (80 procent) ředitelů tažen především růstem kupní síly obyvatelstva. Dalším uváděným důvodem navýšení poptávky je pak kapitalizace investičních fondů. Nulový vliv na růst poptávky má podle developerských firem naopak případný p</w:t>
      </w:r>
      <w:r w:rsidRPr="00E92C0F">
        <w:rPr>
          <w:rFonts w:ascii="Arial" w:hAnsi="Arial" w:cs="Arial"/>
        </w:rPr>
        <w:t>říliv dalších</w:t>
      </w:r>
      <w:r>
        <w:rPr>
          <w:rFonts w:ascii="Arial" w:hAnsi="Arial" w:cs="Arial"/>
        </w:rPr>
        <w:t xml:space="preserve"> obchodních řetězců a </w:t>
      </w:r>
      <w:r w:rsidRPr="00E92C0F">
        <w:rPr>
          <w:rFonts w:ascii="Arial" w:hAnsi="Arial" w:cs="Arial"/>
        </w:rPr>
        <w:t>větší poptávka stávajících firem</w:t>
      </w:r>
      <w:r w:rsidR="00CC0AF6">
        <w:rPr>
          <w:rFonts w:ascii="Arial" w:hAnsi="Arial" w:cs="Arial"/>
        </w:rPr>
        <w:t>. Nadpoloviční většina (60 procent) ředitelů developerských firem přitom nepovažuje konkurenční boj mezi developery za ohrožení další výstavby a rozvoje segmentu. Opačný názor mají dvě pětiny (40 procent) developerských firem.</w:t>
      </w:r>
    </w:p>
    <w:p w:rsidR="00CC0AF6" w:rsidRDefault="00CC0AF6" w:rsidP="00BC4964">
      <w:pPr>
        <w:autoSpaceDE w:val="0"/>
        <w:autoSpaceDN w:val="0"/>
        <w:adjustRightInd w:val="0"/>
        <w:spacing w:line="276" w:lineRule="auto"/>
        <w:jc w:val="both"/>
        <w:rPr>
          <w:rFonts w:ascii="Arial" w:hAnsi="Arial" w:cs="Arial"/>
        </w:rPr>
      </w:pPr>
    </w:p>
    <w:p w:rsidR="00BC4964" w:rsidRDefault="00CC0AF6" w:rsidP="00BE4F89">
      <w:pPr>
        <w:autoSpaceDE w:val="0"/>
        <w:autoSpaceDN w:val="0"/>
        <w:adjustRightInd w:val="0"/>
        <w:spacing w:line="276" w:lineRule="auto"/>
        <w:jc w:val="both"/>
        <w:rPr>
          <w:rFonts w:ascii="Arial" w:hAnsi="Arial" w:cs="Arial"/>
        </w:rPr>
      </w:pPr>
      <w:r>
        <w:rPr>
          <w:rFonts w:ascii="Arial" w:hAnsi="Arial" w:cs="Arial"/>
        </w:rPr>
        <w:t>Růst budou v letošním roce také ceny pronájmů obchodních center, které se navýší v průměru o 3,5 procenta. Dvě pětiny (40 procent) developerských firem přitom plánují zdražení v rozmezí od 3 do 5 procent, pětina (20 procent) hovoří o navýšení cen</w:t>
      </w:r>
      <w:r w:rsidR="00586CFE">
        <w:rPr>
          <w:rFonts w:ascii="Arial" w:hAnsi="Arial" w:cs="Arial"/>
        </w:rPr>
        <w:t xml:space="preserve"> pronájmů</w:t>
      </w:r>
      <w:r>
        <w:rPr>
          <w:rFonts w:ascii="Arial" w:hAnsi="Arial" w:cs="Arial"/>
        </w:rPr>
        <w:t xml:space="preserve"> mezi 9 a 10 procenty. V příštím roce pak počítají ředitelé developerských firem se zdražením pronájmů o dalších 3,7 procenta. </w:t>
      </w:r>
    </w:p>
    <w:p w:rsidR="007E6723" w:rsidRDefault="007E6723" w:rsidP="00BE4F89">
      <w:pPr>
        <w:autoSpaceDE w:val="0"/>
        <w:autoSpaceDN w:val="0"/>
        <w:adjustRightInd w:val="0"/>
        <w:spacing w:line="276" w:lineRule="auto"/>
        <w:jc w:val="both"/>
        <w:rPr>
          <w:rFonts w:ascii="Arial" w:hAnsi="Arial" w:cs="Arial"/>
        </w:rPr>
      </w:pPr>
    </w:p>
    <w:p w:rsidR="007E6723" w:rsidRDefault="007E6723" w:rsidP="007E6723">
      <w:pPr>
        <w:autoSpaceDE w:val="0"/>
        <w:autoSpaceDN w:val="0"/>
        <w:adjustRightInd w:val="0"/>
        <w:spacing w:line="276" w:lineRule="auto"/>
        <w:jc w:val="center"/>
        <w:rPr>
          <w:rFonts w:ascii="Arial" w:hAnsi="Arial" w:cs="Arial"/>
        </w:rPr>
      </w:pPr>
      <w:r>
        <w:rPr>
          <w:rFonts w:ascii="Arial" w:hAnsi="Arial" w:cs="Arial"/>
          <w:noProof/>
        </w:rPr>
        <w:lastRenderedPageBreak/>
        <w:drawing>
          <wp:inline distT="0" distB="0" distL="0" distR="0">
            <wp:extent cx="5227320" cy="4128209"/>
            <wp:effectExtent l="0" t="0" r="0" b="5715"/>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0003.jpg"/>
                    <pic:cNvPicPr/>
                  </pic:nvPicPr>
                  <pic:blipFill>
                    <a:blip r:embed="rId9">
                      <a:extLst>
                        <a:ext uri="{28A0092B-C50C-407E-A947-70E740481C1C}">
                          <a14:useLocalDpi xmlns:a14="http://schemas.microsoft.com/office/drawing/2010/main" val="0"/>
                        </a:ext>
                      </a:extLst>
                    </a:blip>
                    <a:stretch>
                      <a:fillRect/>
                    </a:stretch>
                  </pic:blipFill>
                  <pic:spPr>
                    <a:xfrm>
                      <a:off x="0" y="0"/>
                      <a:ext cx="5253268" cy="4148701"/>
                    </a:xfrm>
                    <a:prstGeom prst="rect">
                      <a:avLst/>
                    </a:prstGeom>
                  </pic:spPr>
                </pic:pic>
              </a:graphicData>
            </a:graphic>
          </wp:inline>
        </w:drawing>
      </w:r>
    </w:p>
    <w:p w:rsidR="00E92C0F" w:rsidRDefault="00E92C0F" w:rsidP="00BE4F89">
      <w:pPr>
        <w:autoSpaceDE w:val="0"/>
        <w:autoSpaceDN w:val="0"/>
        <w:adjustRightInd w:val="0"/>
        <w:spacing w:line="276" w:lineRule="auto"/>
        <w:jc w:val="both"/>
        <w:rPr>
          <w:rFonts w:ascii="Arial" w:hAnsi="Arial" w:cs="Arial"/>
        </w:rPr>
      </w:pPr>
    </w:p>
    <w:p w:rsidR="00BE4F89" w:rsidRDefault="00E92C0F" w:rsidP="00BE4F89">
      <w:pPr>
        <w:autoSpaceDE w:val="0"/>
        <w:autoSpaceDN w:val="0"/>
        <w:adjustRightInd w:val="0"/>
        <w:spacing w:line="276" w:lineRule="auto"/>
        <w:jc w:val="both"/>
        <w:rPr>
          <w:rFonts w:ascii="Arial" w:hAnsi="Arial" w:cs="Arial"/>
        </w:rPr>
      </w:pPr>
      <w:r>
        <w:rPr>
          <w:rFonts w:ascii="Arial" w:hAnsi="Arial" w:cs="Arial"/>
        </w:rPr>
        <w:t xml:space="preserve">K největšímu rozvoji obchodních ploch dojde v letošním roce podle predikcí ředitelů developerských společností především v Praze (80 procent). </w:t>
      </w:r>
      <w:r w:rsidR="00BC4964">
        <w:rPr>
          <w:rFonts w:ascii="Arial" w:hAnsi="Arial" w:cs="Arial"/>
        </w:rPr>
        <w:t>P</w:t>
      </w:r>
      <w:r>
        <w:rPr>
          <w:rFonts w:ascii="Arial" w:hAnsi="Arial" w:cs="Arial"/>
        </w:rPr>
        <w:t xml:space="preserve">ro pětinu (20 procent) </w:t>
      </w:r>
      <w:r w:rsidR="00BC4964">
        <w:rPr>
          <w:rFonts w:ascii="Arial" w:hAnsi="Arial" w:cs="Arial"/>
        </w:rPr>
        <w:t>developerů</w:t>
      </w:r>
      <w:r>
        <w:rPr>
          <w:rFonts w:ascii="Arial" w:hAnsi="Arial" w:cs="Arial"/>
        </w:rPr>
        <w:t xml:space="preserve"> </w:t>
      </w:r>
      <w:r w:rsidR="00BC4964">
        <w:rPr>
          <w:rFonts w:ascii="Arial" w:hAnsi="Arial" w:cs="Arial"/>
        </w:rPr>
        <w:t xml:space="preserve">jsou zajímavé </w:t>
      </w:r>
      <w:r>
        <w:rPr>
          <w:rFonts w:ascii="Arial" w:hAnsi="Arial" w:cs="Arial"/>
        </w:rPr>
        <w:t>také krajské metropole. Významný rozvoj obchodních ploch v okresních městech</w:t>
      </w:r>
      <w:r w:rsidR="00BC4964">
        <w:rPr>
          <w:rFonts w:ascii="Arial" w:hAnsi="Arial" w:cs="Arial"/>
        </w:rPr>
        <w:t xml:space="preserve"> pak</w:t>
      </w:r>
      <w:r>
        <w:rPr>
          <w:rFonts w:ascii="Arial" w:hAnsi="Arial" w:cs="Arial"/>
        </w:rPr>
        <w:t xml:space="preserve"> </w:t>
      </w:r>
      <w:r w:rsidR="00FD3EC9">
        <w:rPr>
          <w:rFonts w:ascii="Arial" w:hAnsi="Arial" w:cs="Arial"/>
        </w:rPr>
        <w:t>neočekává žádný z dotázaných ředitelů.</w:t>
      </w:r>
      <w:r w:rsidR="00BC4964">
        <w:rPr>
          <w:rFonts w:ascii="Arial" w:hAnsi="Arial" w:cs="Arial"/>
        </w:rPr>
        <w:t xml:space="preserve"> Stavět se přitom budou v pražském regionu v příštích letech zejména středně velká obchodní centra (80 procent), malá obchodní centra do 20 tisíc m2 budou vznikat podle pětiny (20 procent) developerů. Situace mimo Prahu bude přesně opač</w:t>
      </w:r>
      <w:r w:rsidR="00586CFE">
        <w:rPr>
          <w:rFonts w:ascii="Arial" w:hAnsi="Arial" w:cs="Arial"/>
        </w:rPr>
        <w:t>ná a budou se zde podle předpovědí</w:t>
      </w:r>
      <w:r w:rsidR="00BC4964">
        <w:rPr>
          <w:rFonts w:ascii="Arial" w:hAnsi="Arial" w:cs="Arial"/>
        </w:rPr>
        <w:t xml:space="preserve"> stavět především malá obchodní centra (75 procent) doplněná centry střední velikosti (25 procent). Stavby velkých obchodních center s rozlohou nad 50 tisíc m2 nejsou za současné situace očekávány.   </w:t>
      </w:r>
    </w:p>
    <w:p w:rsidR="00957A8C" w:rsidRDefault="00957A8C" w:rsidP="00BE4F89">
      <w:pPr>
        <w:spacing w:line="360" w:lineRule="auto"/>
        <w:rPr>
          <w:rFonts w:ascii="Arial" w:hAnsi="Arial" w:cs="Arial"/>
          <w:b/>
          <w:bCs/>
        </w:rPr>
      </w:pPr>
    </w:p>
    <w:p w:rsidR="00130ED5" w:rsidRPr="00403DA4" w:rsidRDefault="00130ED5" w:rsidP="00130ED5">
      <w:pPr>
        <w:spacing w:line="360" w:lineRule="auto"/>
        <w:jc w:val="center"/>
        <w:rPr>
          <w:rFonts w:ascii="Arial" w:hAnsi="Arial" w:cs="Arial"/>
          <w:b/>
        </w:rPr>
      </w:pPr>
      <w:r>
        <w:rPr>
          <w:rFonts w:ascii="Arial" w:hAnsi="Arial" w:cs="Arial"/>
          <w:b/>
          <w:bCs/>
        </w:rPr>
        <w:t>Studie developerských společností</w:t>
      </w:r>
      <w:r w:rsidRPr="00CD49B5">
        <w:rPr>
          <w:rFonts w:ascii="Arial" w:hAnsi="Arial" w:cs="Arial"/>
          <w:b/>
        </w:rPr>
        <w:t xml:space="preserve"> </w:t>
      </w:r>
      <w:r w:rsidR="00201BAB">
        <w:rPr>
          <w:rFonts w:ascii="Arial" w:hAnsi="Arial" w:cs="Arial"/>
          <w:b/>
        </w:rPr>
        <w:t>Q3</w:t>
      </w:r>
      <w:r w:rsidR="00153E32">
        <w:rPr>
          <w:rFonts w:ascii="Arial" w:hAnsi="Arial" w:cs="Arial"/>
          <w:b/>
        </w:rPr>
        <w:t>/2017</w:t>
      </w:r>
      <w:r w:rsidR="00201F47">
        <w:rPr>
          <w:rFonts w:ascii="Arial" w:hAnsi="Arial" w:cs="Arial"/>
          <w:b/>
        </w:rPr>
        <w:t xml:space="preserve"> </w:t>
      </w:r>
      <w:r w:rsidR="00A4061E">
        <w:rPr>
          <w:rFonts w:ascii="Arial" w:hAnsi="Arial" w:cs="Arial"/>
          <w:b/>
        </w:rPr>
        <w:t>je publikována na</w:t>
      </w:r>
    </w:p>
    <w:p w:rsidR="00222405" w:rsidRPr="00130ED5" w:rsidRDefault="00A40F9C" w:rsidP="00130ED5">
      <w:pPr>
        <w:spacing w:line="360" w:lineRule="auto"/>
        <w:jc w:val="center"/>
        <w:rPr>
          <w:rFonts w:ascii="Arial" w:hAnsi="Arial" w:cs="Arial"/>
          <w:b/>
        </w:rPr>
      </w:pPr>
      <w:hyperlink r:id="rId10" w:history="1">
        <w:r w:rsidR="00130ED5" w:rsidRPr="00403DA4">
          <w:rPr>
            <w:rStyle w:val="Hypertextovodkaz"/>
            <w:rFonts w:ascii="Arial" w:hAnsi="Arial" w:cs="Arial"/>
            <w:b/>
          </w:rPr>
          <w:t>www.ceec.eu</w:t>
        </w:r>
      </w:hyperlink>
      <w:r w:rsidR="00130ED5" w:rsidRPr="001779B4">
        <w:rPr>
          <w:rFonts w:ascii="Arial" w:hAnsi="Arial" w:cs="Arial"/>
          <w:b/>
        </w:rPr>
        <w:t xml:space="preserve"> </w:t>
      </w:r>
    </w:p>
    <w:p w:rsidR="00644B53" w:rsidRDefault="00644B53" w:rsidP="009D410E">
      <w:pPr>
        <w:jc w:val="both"/>
        <w:rPr>
          <w:rFonts w:ascii="Arial" w:hAnsi="Arial" w:cs="Arial"/>
          <w:b/>
        </w:rPr>
      </w:pPr>
    </w:p>
    <w:p w:rsidR="00644B53" w:rsidRDefault="00644B53" w:rsidP="00644B53">
      <w:pPr>
        <w:rPr>
          <w:rFonts w:ascii="Arial" w:hAnsi="Arial" w:cs="Arial"/>
          <w:b/>
        </w:rPr>
      </w:pPr>
    </w:p>
    <w:p w:rsidR="00C841C0" w:rsidRPr="00EF4DA6" w:rsidRDefault="00B9289E" w:rsidP="00644B53">
      <w:pPr>
        <w:rPr>
          <w:rFonts w:ascii="Arial" w:hAnsi="Arial" w:cs="Arial"/>
          <w:color w:val="000000"/>
        </w:rPr>
      </w:pPr>
      <w:r w:rsidRPr="007A674C">
        <w:rPr>
          <w:rFonts w:ascii="Arial" w:hAnsi="Arial" w:cs="Arial"/>
          <w:b/>
        </w:rPr>
        <w:t>Kontakt pro média:</w:t>
      </w:r>
      <w:r w:rsidRPr="007A674C">
        <w:rPr>
          <w:rFonts w:ascii="Arial" w:hAnsi="Arial" w:cs="Arial"/>
          <w:b/>
          <w:sz w:val="8"/>
          <w:szCs w:val="8"/>
        </w:rPr>
        <w:br/>
      </w:r>
    </w:p>
    <w:p w:rsidR="00B9289E" w:rsidRPr="007A674C" w:rsidRDefault="00153E32" w:rsidP="00644B53">
      <w:pPr>
        <w:rPr>
          <w:rFonts w:ascii="Arial" w:hAnsi="Arial" w:cs="Arial"/>
        </w:rPr>
      </w:pPr>
      <w:r w:rsidRPr="00EF4DA6">
        <w:rPr>
          <w:rFonts w:ascii="Arial" w:hAnsi="Arial" w:cs="Arial"/>
          <w:color w:val="000000"/>
        </w:rPr>
        <w:t>Ing. Jiří Vacek, Ph.D., MIM</w:t>
      </w:r>
      <w:r w:rsidRPr="00EF4DA6">
        <w:rPr>
          <w:rFonts w:ascii="Arial" w:hAnsi="Arial" w:cs="Arial"/>
          <w:color w:val="000000"/>
        </w:rPr>
        <w:br/>
        <w:t>Ředitel společnosti</w:t>
      </w:r>
      <w:r w:rsidRPr="00EF4DA6">
        <w:rPr>
          <w:rFonts w:ascii="Arial" w:hAnsi="Arial" w:cs="Arial"/>
          <w:color w:val="000000"/>
        </w:rPr>
        <w:br/>
        <w:t xml:space="preserve">CEEC </w:t>
      </w:r>
      <w:proofErr w:type="spellStart"/>
      <w:r w:rsidRPr="00EF4DA6">
        <w:rPr>
          <w:rFonts w:ascii="Arial" w:hAnsi="Arial" w:cs="Arial"/>
          <w:color w:val="000000"/>
        </w:rPr>
        <w:t>Research</w:t>
      </w:r>
      <w:proofErr w:type="spellEnd"/>
      <w:r w:rsidRPr="00EF4DA6">
        <w:rPr>
          <w:rFonts w:ascii="Arial" w:hAnsi="Arial" w:cs="Arial"/>
          <w:color w:val="000000"/>
        </w:rPr>
        <w:t xml:space="preserve"> s.r.o.</w:t>
      </w:r>
      <w:r w:rsidRPr="00EF4DA6">
        <w:rPr>
          <w:rFonts w:ascii="Arial" w:hAnsi="Arial" w:cs="Arial"/>
          <w:color w:val="000000"/>
        </w:rPr>
        <w:br/>
        <w:t>E-mail: vacek@ceec.eu</w:t>
      </w:r>
      <w:r w:rsidRPr="00EF4DA6">
        <w:rPr>
          <w:rFonts w:ascii="Arial" w:hAnsi="Arial" w:cs="Arial"/>
          <w:color w:val="000000"/>
        </w:rPr>
        <w:br/>
        <w:t>Tel.: +420 774 325 111</w:t>
      </w:r>
    </w:p>
    <w:p w:rsidR="004B3045" w:rsidRPr="007A674C" w:rsidRDefault="004B3045" w:rsidP="003919E1">
      <w:pPr>
        <w:rPr>
          <w:rFonts w:ascii="Arial" w:hAnsi="Arial" w:cs="Arial"/>
          <w:b/>
          <w:sz w:val="18"/>
          <w:szCs w:val="18"/>
        </w:rPr>
      </w:pPr>
    </w:p>
    <w:p w:rsidR="00B9289E" w:rsidRPr="007A674C" w:rsidRDefault="00B9289E" w:rsidP="003919E1">
      <w:pPr>
        <w:jc w:val="both"/>
        <w:rPr>
          <w:rFonts w:ascii="Arial" w:hAnsi="Arial" w:cs="Arial"/>
          <w:b/>
          <w:sz w:val="18"/>
          <w:szCs w:val="18"/>
        </w:rPr>
      </w:pPr>
    </w:p>
    <w:p w:rsidR="00A26BA8" w:rsidRPr="007A674C" w:rsidRDefault="00A26BA8" w:rsidP="00A26BA8">
      <w:pPr>
        <w:jc w:val="both"/>
        <w:rPr>
          <w:rFonts w:ascii="Arial" w:hAnsi="Arial" w:cs="Arial"/>
          <w:b/>
          <w:sz w:val="18"/>
          <w:szCs w:val="18"/>
        </w:rPr>
      </w:pPr>
    </w:p>
    <w:p w:rsidR="00A26BA8" w:rsidRPr="007A674C" w:rsidRDefault="00A26BA8" w:rsidP="00A26BA8">
      <w:pPr>
        <w:autoSpaceDE w:val="0"/>
        <w:autoSpaceDN w:val="0"/>
        <w:adjustRightInd w:val="0"/>
        <w:jc w:val="both"/>
        <w:rPr>
          <w:rFonts w:ascii="Arial" w:eastAsia="SourceSansPro-Regular" w:hAnsi="Arial" w:cs="Arial"/>
          <w:sz w:val="16"/>
          <w:szCs w:val="16"/>
        </w:rPr>
      </w:pPr>
      <w:r w:rsidRPr="007A674C">
        <w:rPr>
          <w:rFonts w:ascii="Arial" w:eastAsia="SourceSansPro-Regular" w:hAnsi="Arial" w:cs="Arial"/>
          <w:sz w:val="16"/>
          <w:szCs w:val="16"/>
        </w:rPr>
        <w:t xml:space="preserve">Společnost CEEC </w:t>
      </w:r>
      <w:proofErr w:type="spellStart"/>
      <w:r w:rsidRPr="007A674C">
        <w:rPr>
          <w:rFonts w:ascii="Arial" w:eastAsia="SourceSansPro-Regular" w:hAnsi="Arial" w:cs="Arial"/>
          <w:sz w:val="16"/>
          <w:szCs w:val="16"/>
        </w:rPr>
        <w:t>Research</w:t>
      </w:r>
      <w:proofErr w:type="spellEnd"/>
      <w:r w:rsidRPr="007A674C">
        <w:rPr>
          <w:rFonts w:ascii="Arial" w:eastAsia="SourceSansPro-Regular" w:hAnsi="Arial" w:cs="Arial"/>
          <w:sz w:val="16"/>
          <w:szCs w:val="16"/>
        </w:rPr>
        <w:t xml:space="preserve"> je přední analytickou a výzkumnou společností zaměřující se na vývoj vybraných sektorů ekonomiky v zemích střední a východní Evropy. Naše studie jsou využívány v současné době více než 17 000 společnostmi. CEEC </w:t>
      </w:r>
      <w:proofErr w:type="spellStart"/>
      <w:r w:rsidRPr="007A674C">
        <w:rPr>
          <w:rFonts w:ascii="Arial" w:eastAsia="SourceSansPro-Regular" w:hAnsi="Arial" w:cs="Arial"/>
          <w:sz w:val="16"/>
          <w:szCs w:val="16"/>
        </w:rPr>
        <w:t>Research</w:t>
      </w:r>
      <w:proofErr w:type="spellEnd"/>
      <w:r w:rsidRPr="007A674C">
        <w:rPr>
          <w:rFonts w:ascii="Arial" w:eastAsia="SourceSansPro-Regular" w:hAnsi="Arial" w:cs="Arial"/>
          <w:sz w:val="16"/>
          <w:szCs w:val="16"/>
        </w:rPr>
        <w:t xml:space="preserve"> vznikl v roce 2005 jako analytická organizace specializující se na zpracovávání výzkumů a analýz stavebního sektoru, následně se analytické pokrytí rozšířilo i na další vybrané sektory ekonomiky, včetně strojírenství.</w:t>
      </w:r>
    </w:p>
    <w:p w:rsidR="00A26BA8" w:rsidRPr="007A674C" w:rsidRDefault="00A26BA8" w:rsidP="00A26BA8">
      <w:pPr>
        <w:autoSpaceDE w:val="0"/>
        <w:autoSpaceDN w:val="0"/>
        <w:adjustRightInd w:val="0"/>
        <w:jc w:val="both"/>
        <w:rPr>
          <w:rFonts w:ascii="Arial" w:eastAsia="SourceSansPro-Regular" w:hAnsi="Arial" w:cs="Arial"/>
          <w:sz w:val="16"/>
          <w:szCs w:val="16"/>
        </w:rPr>
      </w:pPr>
    </w:p>
    <w:p w:rsidR="00A26BA8" w:rsidRPr="007A674C" w:rsidRDefault="00A26BA8" w:rsidP="00A26BA8">
      <w:pPr>
        <w:autoSpaceDE w:val="0"/>
        <w:autoSpaceDN w:val="0"/>
        <w:adjustRightInd w:val="0"/>
        <w:jc w:val="both"/>
        <w:rPr>
          <w:rFonts w:ascii="Arial" w:eastAsia="SourceSansPro-Regular" w:hAnsi="Arial" w:cs="Arial"/>
          <w:sz w:val="16"/>
          <w:szCs w:val="16"/>
        </w:rPr>
      </w:pPr>
      <w:r w:rsidRPr="007A674C">
        <w:rPr>
          <w:rFonts w:ascii="Arial" w:eastAsia="SourceSansPro-Regular" w:hAnsi="Arial" w:cs="Arial"/>
          <w:sz w:val="16"/>
          <w:szCs w:val="16"/>
        </w:rPr>
        <w:t xml:space="preserve">CEEC </w:t>
      </w:r>
      <w:proofErr w:type="spellStart"/>
      <w:r w:rsidRPr="007A674C">
        <w:rPr>
          <w:rFonts w:ascii="Arial" w:eastAsia="SourceSansPro-Regular" w:hAnsi="Arial" w:cs="Arial"/>
          <w:sz w:val="16"/>
          <w:szCs w:val="16"/>
        </w:rPr>
        <w:t>Research</w:t>
      </w:r>
      <w:proofErr w:type="spellEnd"/>
      <w:r w:rsidRPr="007A674C">
        <w:rPr>
          <w:rFonts w:ascii="Arial" w:eastAsia="SourceSansPro-Regular" w:hAnsi="Arial" w:cs="Arial"/>
          <w:sz w:val="16"/>
          <w:szCs w:val="16"/>
        </w:rPr>
        <w:t xml:space="preserve"> navíc k pravidelným a bezplatným analýzám také organizuje vysoce specializované odborné konference, kterých se účastní generální ředitelé nejvýznamnějších společností, prezidenti klíčových svazů, cechů a komor a rovněž i ministři a nejvyšší představitelé státu z vybraných zemí.</w:t>
      </w:r>
    </w:p>
    <w:p w:rsidR="00A26BA8" w:rsidRPr="007A674C" w:rsidRDefault="00A26BA8" w:rsidP="00A26BA8">
      <w:pPr>
        <w:autoSpaceDE w:val="0"/>
        <w:autoSpaceDN w:val="0"/>
        <w:adjustRightInd w:val="0"/>
        <w:jc w:val="both"/>
        <w:rPr>
          <w:rFonts w:ascii="Arial" w:hAnsi="Arial" w:cs="Arial"/>
          <w:i/>
          <w:sz w:val="16"/>
          <w:szCs w:val="16"/>
        </w:rPr>
      </w:pPr>
    </w:p>
    <w:p w:rsidR="00A26BA8" w:rsidRPr="007A674C" w:rsidRDefault="00A26BA8" w:rsidP="00A26BA8">
      <w:pPr>
        <w:autoSpaceDE w:val="0"/>
        <w:autoSpaceDN w:val="0"/>
        <w:adjustRightInd w:val="0"/>
        <w:jc w:val="both"/>
        <w:rPr>
          <w:rFonts w:ascii="Arial" w:hAnsi="Arial" w:cs="Arial"/>
          <w:i/>
          <w:sz w:val="16"/>
          <w:szCs w:val="16"/>
        </w:rPr>
      </w:pPr>
    </w:p>
    <w:p w:rsidR="00A26BA8" w:rsidRPr="007A674C" w:rsidRDefault="00A26BA8" w:rsidP="00A26BA8">
      <w:pPr>
        <w:jc w:val="both"/>
        <w:rPr>
          <w:rFonts w:ascii="Arial" w:hAnsi="Arial" w:cs="Arial"/>
          <w:i/>
          <w:sz w:val="16"/>
          <w:szCs w:val="16"/>
        </w:rPr>
      </w:pPr>
      <w:r w:rsidRPr="007A674C">
        <w:rPr>
          <w:rFonts w:ascii="Arial" w:hAnsi="Arial" w:cs="Arial"/>
          <w:i/>
          <w:sz w:val="16"/>
          <w:szCs w:val="16"/>
        </w:rPr>
        <w:t xml:space="preserve">Společnost </w:t>
      </w:r>
      <w:r w:rsidRPr="007A674C">
        <w:rPr>
          <w:rFonts w:ascii="Arial" w:hAnsi="Arial" w:cs="Arial"/>
          <w:b/>
          <w:i/>
          <w:sz w:val="16"/>
          <w:szCs w:val="16"/>
        </w:rPr>
        <w:t xml:space="preserve">KPMG Česká republika </w:t>
      </w:r>
      <w:r w:rsidRPr="007A674C">
        <w:rPr>
          <w:rFonts w:ascii="Arial" w:hAnsi="Arial" w:cs="Arial"/>
          <w:i/>
          <w:sz w:val="16"/>
          <w:szCs w:val="16"/>
        </w:rPr>
        <w:t>zahájila svou činnost v roce 1990, kdy byla v Praze otevřena první kancelář. V současné době má 770 zaměstnanců a kanceláře v Praze, Brně, Českých Budějovicích a Ostravě. KPMG Česká republika poskytuje služby v oblasti auditu, daní, poradenství a práva. Z 630 odborných pracovníků je 28 partnerů, 28 statutárních auditorů, 111 certifikovaných účetních a 71 daňových poradců. V KPMG Česká republika působí celkem 22 kvalifikovaných zahraničních odborníků.</w:t>
      </w:r>
    </w:p>
    <w:p w:rsidR="00A26BA8" w:rsidRPr="007A674C" w:rsidRDefault="00A26BA8" w:rsidP="00A26BA8">
      <w:pPr>
        <w:jc w:val="both"/>
        <w:rPr>
          <w:rFonts w:ascii="Arial" w:hAnsi="Arial" w:cs="Arial"/>
          <w:i/>
          <w:sz w:val="16"/>
          <w:szCs w:val="16"/>
        </w:rPr>
      </w:pPr>
    </w:p>
    <w:p w:rsidR="00A26BA8" w:rsidRPr="007A674C" w:rsidRDefault="00A26BA8" w:rsidP="00A26BA8">
      <w:pPr>
        <w:jc w:val="both"/>
        <w:rPr>
          <w:rFonts w:ascii="Arial" w:hAnsi="Arial" w:cs="Arial"/>
          <w:i/>
          <w:sz w:val="16"/>
          <w:szCs w:val="16"/>
        </w:rPr>
      </w:pPr>
      <w:r w:rsidRPr="007A674C">
        <w:rPr>
          <w:rFonts w:ascii="Arial" w:hAnsi="Arial" w:cs="Arial"/>
          <w:b/>
          <w:i/>
          <w:sz w:val="16"/>
          <w:szCs w:val="16"/>
        </w:rPr>
        <w:t>KPMG</w:t>
      </w:r>
      <w:r w:rsidRPr="007A674C">
        <w:rPr>
          <w:rFonts w:ascii="Arial" w:hAnsi="Arial" w:cs="Arial"/>
          <w:i/>
          <w:sz w:val="16"/>
          <w:szCs w:val="16"/>
        </w:rPr>
        <w:t xml:space="preserve"> je celosvětová síť poradenských společností poskytujících služby v oblasti auditu, daní a poradenství. V jejích členských společnostech pracuje více než 155 000 pracovníků v 155 zemích. Nezávislé členské společnosti sítě KPMG jsou přidružené ke KPMG International </w:t>
      </w:r>
      <w:proofErr w:type="spellStart"/>
      <w:r w:rsidRPr="007A674C">
        <w:rPr>
          <w:rFonts w:ascii="Arial" w:hAnsi="Arial" w:cs="Arial"/>
          <w:i/>
          <w:sz w:val="16"/>
          <w:szCs w:val="16"/>
        </w:rPr>
        <w:t>Cooperative</w:t>
      </w:r>
      <w:proofErr w:type="spellEnd"/>
      <w:r w:rsidRPr="007A674C">
        <w:rPr>
          <w:rFonts w:ascii="Arial" w:hAnsi="Arial" w:cs="Arial"/>
          <w:i/>
          <w:sz w:val="16"/>
          <w:szCs w:val="16"/>
        </w:rPr>
        <w:t xml:space="preserve"> („KPMG International“), švýcarské organizační jednotce. Každá členská společnost celosvětové sítě KPMG je právně samostatná a oddělená jednotka, a takto se i označuje.</w:t>
      </w:r>
    </w:p>
    <w:p w:rsidR="00380EF3" w:rsidRPr="007A674C" w:rsidRDefault="00380EF3" w:rsidP="004B3045">
      <w:pPr>
        <w:autoSpaceDE w:val="0"/>
        <w:autoSpaceDN w:val="0"/>
        <w:adjustRightInd w:val="0"/>
        <w:jc w:val="both"/>
        <w:rPr>
          <w:i/>
          <w:sz w:val="20"/>
          <w:szCs w:val="20"/>
        </w:rPr>
      </w:pPr>
      <w:bookmarkStart w:id="1" w:name="_GoBack"/>
      <w:bookmarkEnd w:id="1"/>
    </w:p>
    <w:sectPr w:rsidR="00380EF3" w:rsidRPr="007A674C" w:rsidSect="003541E5">
      <w:headerReference w:type="default" r:id="rId11"/>
      <w:footerReference w:type="default" r:id="rId12"/>
      <w:headerReference w:type="first" r:id="rId13"/>
      <w:pgSz w:w="11906" w:h="16838" w:code="9"/>
      <w:pgMar w:top="2268" w:right="1134" w:bottom="720" w:left="1134" w:header="357" w:footer="198" w:gutter="0"/>
      <w:cols w:space="708" w:equalWidth="0">
        <w:col w:w="9692" w:space="708"/>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0F9C" w:rsidRDefault="00A40F9C" w:rsidP="00FB71F4">
      <w:r>
        <w:separator/>
      </w:r>
    </w:p>
  </w:endnote>
  <w:endnote w:type="continuationSeparator" w:id="0">
    <w:p w:rsidR="00A40F9C" w:rsidRDefault="00A40F9C" w:rsidP="00FB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nmark">
    <w:altName w:val="Symbol"/>
    <w:charset w:val="02"/>
    <w:family w:val="swiss"/>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Reklama">
    <w:altName w:val="Times New Roman"/>
    <w:charset w:val="00"/>
    <w:family w:val="auto"/>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Roman s">
    <w:altName w:val="Times New Roman"/>
    <w:panose1 w:val="00000000000000000000"/>
    <w:charset w:val="00"/>
    <w:family w:val="roman"/>
    <w:notTrueType/>
    <w:pitch w:val="default"/>
    <w:sig w:usb0="00000003" w:usb1="00000000" w:usb2="00000000" w:usb3="00000000" w:csb0="00000001" w:csb1="00000000"/>
  </w:font>
  <w:font w:name="H-Times New Roman">
    <w:altName w:val="Courier New"/>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2AFF" w:usb1="C000247B" w:usb2="00000009" w:usb3="00000000" w:csb0="000001FF" w:csb1="00000000"/>
  </w:font>
  <w:font w:name="SourceSansPro-Regular">
    <w:panose1 w:val="00000000000000000000"/>
    <w:charset w:val="EE"/>
    <w:family w:val="auto"/>
    <w:notTrueType/>
    <w:pitch w:val="default"/>
    <w:sig w:usb0="00000005" w:usb1="00000000" w:usb2="00000000" w:usb3="00000000" w:csb0="00000002"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5B36" w:rsidRDefault="00855B36">
    <w:pPr>
      <w:pStyle w:val="Zhlav"/>
      <w:tabs>
        <w:tab w:val="clear" w:pos="4536"/>
        <w:tab w:val="clear" w:pos="9072"/>
        <w:tab w:val="left" w:pos="5220"/>
        <w:tab w:val="left" w:pos="9540"/>
      </w:tabs>
      <w:ind w:right="-181"/>
      <w:rPr>
        <w:rFonts w:ascii="Arial" w:hAnsi="Arial" w:cs="Arial"/>
      </w:rPr>
    </w:pPr>
    <w:r>
      <w:rPr>
        <w:rStyle w:val="slostrnky"/>
      </w:rPr>
      <w:tab/>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A4061E">
      <w:rPr>
        <w:rFonts w:ascii="Arial" w:hAnsi="Arial" w:cs="Arial"/>
        <w:noProof/>
      </w:rPr>
      <w:t>5</w:t>
    </w:r>
    <w:r>
      <w:rPr>
        <w:rFonts w:ascii="Arial" w:hAnsi="Arial" w:cs="Arial"/>
      </w:rPr>
      <w:fldChar w:fldCharType="end"/>
    </w:r>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0F9C" w:rsidRDefault="00A40F9C" w:rsidP="00FB71F4">
      <w:r>
        <w:separator/>
      </w:r>
    </w:p>
  </w:footnote>
  <w:footnote w:type="continuationSeparator" w:id="0">
    <w:p w:rsidR="00A40F9C" w:rsidRDefault="00A40F9C" w:rsidP="00FB7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5B36" w:rsidRDefault="00B55CBF" w:rsidP="00650A72">
    <w:pPr>
      <w:pStyle w:val="Zhlav"/>
      <w:jc w:val="center"/>
    </w:pPr>
    <w:r>
      <w:rPr>
        <w:noProof/>
        <w:lang w:val="cs-CZ" w:eastAsia="zh-CN" w:bidi="mn-Mong-CN"/>
      </w:rPr>
      <w:drawing>
        <wp:inline distT="0" distB="0" distL="0" distR="0">
          <wp:extent cx="1691005" cy="1104265"/>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1005" cy="1104265"/>
                  </a:xfrm>
                  <a:prstGeom prst="rect">
                    <a:avLst/>
                  </a:prstGeom>
                  <a:noFill/>
                  <a:ln>
                    <a:noFill/>
                  </a:ln>
                </pic:spPr>
              </pic:pic>
            </a:graphicData>
          </a:graphic>
        </wp:inline>
      </w:drawing>
    </w:r>
    <w:r w:rsidR="003541E5">
      <w:rPr>
        <w:lang w:val="cs-CZ"/>
      </w:rPr>
      <w:t xml:space="preserve">                                                                    </w:t>
    </w:r>
    <w:r>
      <w:rPr>
        <w:noProof/>
        <w:lang w:val="cs-CZ" w:eastAsia="zh-CN" w:bidi="mn-Mong-CN"/>
      </w:rPr>
      <w:drawing>
        <wp:inline distT="0" distB="0" distL="0" distR="0">
          <wp:extent cx="1837690" cy="93154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7690" cy="93154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051" w:rsidRDefault="00B55CBF" w:rsidP="00650A72">
    <w:pPr>
      <w:pStyle w:val="Zhlav"/>
      <w:tabs>
        <w:tab w:val="clear" w:pos="9072"/>
        <w:tab w:val="left" w:pos="9030"/>
      </w:tabs>
      <w:jc w:val="center"/>
      <w:rPr>
        <w:lang w:val="cs-CZ"/>
      </w:rPr>
    </w:pPr>
    <w:r>
      <w:rPr>
        <w:noProof/>
        <w:lang w:val="cs-CZ" w:eastAsia="zh-CN" w:bidi="mn-Mong-CN"/>
      </w:rPr>
      <w:drawing>
        <wp:inline distT="0" distB="0" distL="0" distR="0">
          <wp:extent cx="1691005" cy="1104265"/>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1005" cy="1104265"/>
                  </a:xfrm>
                  <a:prstGeom prst="rect">
                    <a:avLst/>
                  </a:prstGeom>
                  <a:noFill/>
                  <a:ln>
                    <a:noFill/>
                  </a:ln>
                </pic:spPr>
              </pic:pic>
            </a:graphicData>
          </a:graphic>
        </wp:inline>
      </w:drawing>
    </w:r>
  </w:p>
  <w:p w:rsidR="00A93051" w:rsidRDefault="00A93051" w:rsidP="004B1CEB">
    <w:pPr>
      <w:pStyle w:val="Zhlav"/>
      <w:tabs>
        <w:tab w:val="clear" w:pos="9072"/>
        <w:tab w:val="left" w:pos="9030"/>
      </w:tabs>
      <w:rPr>
        <w:lang w:val="cs-CZ"/>
      </w:rPr>
    </w:pPr>
  </w:p>
  <w:p w:rsidR="00A93051" w:rsidRPr="00A93051" w:rsidRDefault="00A93051" w:rsidP="00A93051">
    <w:pPr>
      <w:pStyle w:val="Zhlav"/>
      <w:tabs>
        <w:tab w:val="clear" w:pos="9072"/>
        <w:tab w:val="left" w:pos="9030"/>
      </w:tabs>
      <w:jc w:val="center"/>
      <w:rPr>
        <w:sz w:val="60"/>
        <w:szCs w:val="60"/>
        <w:lang w:val="cs-CZ"/>
      </w:rPr>
    </w:pPr>
    <w:r w:rsidRPr="00A93051">
      <w:rPr>
        <w:sz w:val="60"/>
        <w:szCs w:val="60"/>
        <w:lang w:val="cs-CZ"/>
      </w:rPr>
      <w:t>TISKOVÁ ZPRÁVA</w:t>
    </w:r>
  </w:p>
  <w:p w:rsidR="00A93051" w:rsidRDefault="00A93051" w:rsidP="00A93051">
    <w:pPr>
      <w:pStyle w:val="Zhlav"/>
      <w:tabs>
        <w:tab w:val="clear" w:pos="9072"/>
        <w:tab w:val="left" w:pos="9030"/>
      </w:tabs>
      <w:jc w:val="center"/>
      <w:rPr>
        <w:lang w:val="cs-CZ"/>
      </w:rPr>
    </w:pPr>
  </w:p>
  <w:p w:rsidR="00855B36" w:rsidRDefault="00855B36" w:rsidP="004B1CEB">
    <w:pPr>
      <w:pStyle w:val="Zhlav"/>
      <w:tabs>
        <w:tab w:val="clear" w:pos="9072"/>
        <w:tab w:val="left" w:pos="9030"/>
      </w:tabs>
    </w:pPr>
    <w:r>
      <w:t xml:space="preserve">                                     </w:t>
    </w:r>
    <w:r w:rsidR="009B4E1D">
      <w:rPr>
        <w:lang w:val="cs-CZ"/>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0038D"/>
    <w:multiLevelType w:val="hybridMultilevel"/>
    <w:tmpl w:val="8AD483B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2C322AA2"/>
    <w:multiLevelType w:val="hybridMultilevel"/>
    <w:tmpl w:val="17BE4B38"/>
    <w:lvl w:ilvl="0" w:tplc="23A02754">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46F85869"/>
    <w:multiLevelType w:val="hybridMultilevel"/>
    <w:tmpl w:val="EB026DB0"/>
    <w:lvl w:ilvl="0" w:tplc="58623DF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47AA1B66"/>
    <w:multiLevelType w:val="hybridMultilevel"/>
    <w:tmpl w:val="5148C334"/>
    <w:lvl w:ilvl="0" w:tplc="3EE2AF3E">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F845A2E"/>
    <w:multiLevelType w:val="hybridMultilevel"/>
    <w:tmpl w:val="0E089318"/>
    <w:lvl w:ilvl="0" w:tplc="FA02CAA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83F4DB7"/>
    <w:multiLevelType w:val="hybridMultilevel"/>
    <w:tmpl w:val="F3EA1C6E"/>
    <w:lvl w:ilvl="0" w:tplc="04050011">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15:restartNumberingAfterBreak="0">
    <w:nsid w:val="7C952A02"/>
    <w:multiLevelType w:val="singleLevel"/>
    <w:tmpl w:val="D03C1FC2"/>
    <w:lvl w:ilvl="0">
      <w:start w:val="1"/>
      <w:numFmt w:val="bullet"/>
      <w:pStyle w:val="BulletTable"/>
      <w:lvlText w:val=""/>
      <w:lvlJc w:val="left"/>
      <w:pPr>
        <w:tabs>
          <w:tab w:val="num" w:pos="360"/>
        </w:tabs>
        <w:ind w:left="360" w:hanging="360"/>
      </w:pPr>
      <w:rPr>
        <w:rFonts w:ascii="Canmark" w:hAnsi="Canmark" w:hint="default"/>
        <w:sz w:val="24"/>
      </w:rPr>
    </w:lvl>
  </w:abstractNum>
  <w:num w:numId="1">
    <w:abstractNumId w:val="6"/>
  </w:num>
  <w:num w:numId="2">
    <w:abstractNumId w:val="1"/>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F95"/>
    <w:rsid w:val="0000231C"/>
    <w:rsid w:val="000027BE"/>
    <w:rsid w:val="000053F5"/>
    <w:rsid w:val="000136BB"/>
    <w:rsid w:val="000142DB"/>
    <w:rsid w:val="00015577"/>
    <w:rsid w:val="00015D2A"/>
    <w:rsid w:val="00021818"/>
    <w:rsid w:val="00026A04"/>
    <w:rsid w:val="000302F3"/>
    <w:rsid w:val="00032A6E"/>
    <w:rsid w:val="00042B5B"/>
    <w:rsid w:val="00042BEA"/>
    <w:rsid w:val="00043F01"/>
    <w:rsid w:val="000449A3"/>
    <w:rsid w:val="00046312"/>
    <w:rsid w:val="0005151B"/>
    <w:rsid w:val="0005199B"/>
    <w:rsid w:val="00054E15"/>
    <w:rsid w:val="00057E71"/>
    <w:rsid w:val="00060E55"/>
    <w:rsid w:val="0006307C"/>
    <w:rsid w:val="000636A0"/>
    <w:rsid w:val="00063DBC"/>
    <w:rsid w:val="0007435B"/>
    <w:rsid w:val="000756EE"/>
    <w:rsid w:val="00075B93"/>
    <w:rsid w:val="00076C93"/>
    <w:rsid w:val="0007749B"/>
    <w:rsid w:val="000777C4"/>
    <w:rsid w:val="00077F8E"/>
    <w:rsid w:val="00083870"/>
    <w:rsid w:val="00086A46"/>
    <w:rsid w:val="000951E5"/>
    <w:rsid w:val="00096D39"/>
    <w:rsid w:val="000A139B"/>
    <w:rsid w:val="000A3234"/>
    <w:rsid w:val="000A3E6C"/>
    <w:rsid w:val="000A7ECE"/>
    <w:rsid w:val="000B21A0"/>
    <w:rsid w:val="000B7F5E"/>
    <w:rsid w:val="000C0B46"/>
    <w:rsid w:val="000C0E86"/>
    <w:rsid w:val="000C0FA3"/>
    <w:rsid w:val="000C4D89"/>
    <w:rsid w:val="000C6111"/>
    <w:rsid w:val="000C6300"/>
    <w:rsid w:val="000C78E6"/>
    <w:rsid w:val="000D1A34"/>
    <w:rsid w:val="000E10E9"/>
    <w:rsid w:val="000E33A5"/>
    <w:rsid w:val="000E69EA"/>
    <w:rsid w:val="000E7A9B"/>
    <w:rsid w:val="000F12CF"/>
    <w:rsid w:val="000F3243"/>
    <w:rsid w:val="000F4264"/>
    <w:rsid w:val="000F51B9"/>
    <w:rsid w:val="000F5298"/>
    <w:rsid w:val="000F69D3"/>
    <w:rsid w:val="000F724D"/>
    <w:rsid w:val="001016C2"/>
    <w:rsid w:val="001022D1"/>
    <w:rsid w:val="00102727"/>
    <w:rsid w:val="001066E9"/>
    <w:rsid w:val="00107948"/>
    <w:rsid w:val="00107FDD"/>
    <w:rsid w:val="00112CB4"/>
    <w:rsid w:val="00121A7F"/>
    <w:rsid w:val="0012251D"/>
    <w:rsid w:val="00130ED5"/>
    <w:rsid w:val="00132BA1"/>
    <w:rsid w:val="001372BE"/>
    <w:rsid w:val="00140FD8"/>
    <w:rsid w:val="00142AD9"/>
    <w:rsid w:val="00153BC0"/>
    <w:rsid w:val="00153BE8"/>
    <w:rsid w:val="00153E32"/>
    <w:rsid w:val="0015725E"/>
    <w:rsid w:val="001603D8"/>
    <w:rsid w:val="0016246B"/>
    <w:rsid w:val="00172386"/>
    <w:rsid w:val="00172453"/>
    <w:rsid w:val="001734F4"/>
    <w:rsid w:val="001779B4"/>
    <w:rsid w:val="0018649D"/>
    <w:rsid w:val="00190B19"/>
    <w:rsid w:val="0019506F"/>
    <w:rsid w:val="001962E4"/>
    <w:rsid w:val="00196F93"/>
    <w:rsid w:val="001A4C05"/>
    <w:rsid w:val="001A5844"/>
    <w:rsid w:val="001A6DC3"/>
    <w:rsid w:val="001B1814"/>
    <w:rsid w:val="001B205C"/>
    <w:rsid w:val="001B4E0A"/>
    <w:rsid w:val="001C03AD"/>
    <w:rsid w:val="001C04C1"/>
    <w:rsid w:val="001C0902"/>
    <w:rsid w:val="001C1019"/>
    <w:rsid w:val="001C1207"/>
    <w:rsid w:val="001C1BB6"/>
    <w:rsid w:val="001C3BC6"/>
    <w:rsid w:val="001C73EF"/>
    <w:rsid w:val="001D03BA"/>
    <w:rsid w:val="001D2E5D"/>
    <w:rsid w:val="001D3E06"/>
    <w:rsid w:val="001D44AE"/>
    <w:rsid w:val="001D69D0"/>
    <w:rsid w:val="001E0D37"/>
    <w:rsid w:val="001E15C4"/>
    <w:rsid w:val="001E1B15"/>
    <w:rsid w:val="001E3078"/>
    <w:rsid w:val="001E3511"/>
    <w:rsid w:val="001E4369"/>
    <w:rsid w:val="001F1990"/>
    <w:rsid w:val="001F19A2"/>
    <w:rsid w:val="001F2410"/>
    <w:rsid w:val="001F2C8A"/>
    <w:rsid w:val="001F6811"/>
    <w:rsid w:val="00201BAB"/>
    <w:rsid w:val="00201DBF"/>
    <w:rsid w:val="00201F47"/>
    <w:rsid w:val="0020755A"/>
    <w:rsid w:val="0021053E"/>
    <w:rsid w:val="0021236B"/>
    <w:rsid w:val="00221F8D"/>
    <w:rsid w:val="00222405"/>
    <w:rsid w:val="002234AA"/>
    <w:rsid w:val="002248DF"/>
    <w:rsid w:val="00226FBE"/>
    <w:rsid w:val="00227517"/>
    <w:rsid w:val="0023057A"/>
    <w:rsid w:val="002307BA"/>
    <w:rsid w:val="00232084"/>
    <w:rsid w:val="0023304F"/>
    <w:rsid w:val="002437C3"/>
    <w:rsid w:val="00243AFB"/>
    <w:rsid w:val="00247C34"/>
    <w:rsid w:val="00250D95"/>
    <w:rsid w:val="00251D9B"/>
    <w:rsid w:val="00252511"/>
    <w:rsid w:val="0025252B"/>
    <w:rsid w:val="00253F07"/>
    <w:rsid w:val="00260325"/>
    <w:rsid w:val="002638A2"/>
    <w:rsid w:val="00267BAB"/>
    <w:rsid w:val="00270533"/>
    <w:rsid w:val="00270982"/>
    <w:rsid w:val="0027298E"/>
    <w:rsid w:val="00273664"/>
    <w:rsid w:val="0027534F"/>
    <w:rsid w:val="00277BF7"/>
    <w:rsid w:val="00280CE8"/>
    <w:rsid w:val="00283028"/>
    <w:rsid w:val="0029334B"/>
    <w:rsid w:val="00295028"/>
    <w:rsid w:val="00297668"/>
    <w:rsid w:val="00297B84"/>
    <w:rsid w:val="002A285D"/>
    <w:rsid w:val="002A3054"/>
    <w:rsid w:val="002A32F4"/>
    <w:rsid w:val="002A35B5"/>
    <w:rsid w:val="002A4D6C"/>
    <w:rsid w:val="002A7CCF"/>
    <w:rsid w:val="002B487B"/>
    <w:rsid w:val="002C2294"/>
    <w:rsid w:val="002C3828"/>
    <w:rsid w:val="002C4278"/>
    <w:rsid w:val="002D12F7"/>
    <w:rsid w:val="002D3B9A"/>
    <w:rsid w:val="002D4E7A"/>
    <w:rsid w:val="002E2EF8"/>
    <w:rsid w:val="002E4C59"/>
    <w:rsid w:val="002E68B0"/>
    <w:rsid w:val="002E6D4C"/>
    <w:rsid w:val="002E7530"/>
    <w:rsid w:val="002E7584"/>
    <w:rsid w:val="002E7649"/>
    <w:rsid w:val="002F0A3B"/>
    <w:rsid w:val="002F521B"/>
    <w:rsid w:val="002F566B"/>
    <w:rsid w:val="002F7C3B"/>
    <w:rsid w:val="00301C86"/>
    <w:rsid w:val="0030209B"/>
    <w:rsid w:val="003023CD"/>
    <w:rsid w:val="0030547E"/>
    <w:rsid w:val="003112CB"/>
    <w:rsid w:val="0031185E"/>
    <w:rsid w:val="00313462"/>
    <w:rsid w:val="00315DF3"/>
    <w:rsid w:val="00316906"/>
    <w:rsid w:val="00317C86"/>
    <w:rsid w:val="003207AB"/>
    <w:rsid w:val="00321DC9"/>
    <w:rsid w:val="00322B4F"/>
    <w:rsid w:val="003256B2"/>
    <w:rsid w:val="00326031"/>
    <w:rsid w:val="00326AC5"/>
    <w:rsid w:val="00326D94"/>
    <w:rsid w:val="003314ED"/>
    <w:rsid w:val="00331905"/>
    <w:rsid w:val="00331A30"/>
    <w:rsid w:val="00332B7B"/>
    <w:rsid w:val="00334888"/>
    <w:rsid w:val="0033757D"/>
    <w:rsid w:val="0034040A"/>
    <w:rsid w:val="0034095F"/>
    <w:rsid w:val="00340BDB"/>
    <w:rsid w:val="00344FA8"/>
    <w:rsid w:val="00347F32"/>
    <w:rsid w:val="003522A0"/>
    <w:rsid w:val="00353353"/>
    <w:rsid w:val="003541E5"/>
    <w:rsid w:val="00354DD6"/>
    <w:rsid w:val="00356F7C"/>
    <w:rsid w:val="00361913"/>
    <w:rsid w:val="003665EA"/>
    <w:rsid w:val="0036669E"/>
    <w:rsid w:val="00366B33"/>
    <w:rsid w:val="003671BA"/>
    <w:rsid w:val="00372771"/>
    <w:rsid w:val="003745D0"/>
    <w:rsid w:val="00375832"/>
    <w:rsid w:val="00376AF5"/>
    <w:rsid w:val="003776FB"/>
    <w:rsid w:val="00380EF3"/>
    <w:rsid w:val="00382979"/>
    <w:rsid w:val="003831C3"/>
    <w:rsid w:val="00386B60"/>
    <w:rsid w:val="003910DA"/>
    <w:rsid w:val="003919E1"/>
    <w:rsid w:val="0039327D"/>
    <w:rsid w:val="00393F97"/>
    <w:rsid w:val="00394312"/>
    <w:rsid w:val="00395D53"/>
    <w:rsid w:val="003964FC"/>
    <w:rsid w:val="003979B5"/>
    <w:rsid w:val="003A1233"/>
    <w:rsid w:val="003A1865"/>
    <w:rsid w:val="003A1DC1"/>
    <w:rsid w:val="003A4D84"/>
    <w:rsid w:val="003B102A"/>
    <w:rsid w:val="003B2D12"/>
    <w:rsid w:val="003B6EBF"/>
    <w:rsid w:val="003B7A7C"/>
    <w:rsid w:val="003C03C8"/>
    <w:rsid w:val="003C0C25"/>
    <w:rsid w:val="003C3A94"/>
    <w:rsid w:val="003C40D3"/>
    <w:rsid w:val="003C4C54"/>
    <w:rsid w:val="003C5A45"/>
    <w:rsid w:val="003C6B40"/>
    <w:rsid w:val="003C6DF3"/>
    <w:rsid w:val="003D045B"/>
    <w:rsid w:val="003D1241"/>
    <w:rsid w:val="003D17AE"/>
    <w:rsid w:val="003D1D6D"/>
    <w:rsid w:val="003D2585"/>
    <w:rsid w:val="003D2BD4"/>
    <w:rsid w:val="003D51B1"/>
    <w:rsid w:val="003D77AD"/>
    <w:rsid w:val="003E02E2"/>
    <w:rsid w:val="003E52DB"/>
    <w:rsid w:val="003E5CCB"/>
    <w:rsid w:val="003F6CB3"/>
    <w:rsid w:val="003F6F38"/>
    <w:rsid w:val="003F7C2C"/>
    <w:rsid w:val="00402801"/>
    <w:rsid w:val="004077D3"/>
    <w:rsid w:val="00410627"/>
    <w:rsid w:val="00411B31"/>
    <w:rsid w:val="00420BE5"/>
    <w:rsid w:val="00420FB8"/>
    <w:rsid w:val="00423DF9"/>
    <w:rsid w:val="00425588"/>
    <w:rsid w:val="00425B2F"/>
    <w:rsid w:val="00425BFD"/>
    <w:rsid w:val="00427801"/>
    <w:rsid w:val="004346CE"/>
    <w:rsid w:val="004363C4"/>
    <w:rsid w:val="004410C0"/>
    <w:rsid w:val="004456B8"/>
    <w:rsid w:val="00451D6B"/>
    <w:rsid w:val="00454CE2"/>
    <w:rsid w:val="00463BD8"/>
    <w:rsid w:val="00466C13"/>
    <w:rsid w:val="00467917"/>
    <w:rsid w:val="00471C5F"/>
    <w:rsid w:val="00474138"/>
    <w:rsid w:val="00474450"/>
    <w:rsid w:val="00474EA2"/>
    <w:rsid w:val="0047518A"/>
    <w:rsid w:val="00482680"/>
    <w:rsid w:val="0048778A"/>
    <w:rsid w:val="004A3E0D"/>
    <w:rsid w:val="004A4088"/>
    <w:rsid w:val="004A6B87"/>
    <w:rsid w:val="004A7C05"/>
    <w:rsid w:val="004B1CEB"/>
    <w:rsid w:val="004B3045"/>
    <w:rsid w:val="004B3A1C"/>
    <w:rsid w:val="004B3FCC"/>
    <w:rsid w:val="004B68BE"/>
    <w:rsid w:val="004C2663"/>
    <w:rsid w:val="004C2873"/>
    <w:rsid w:val="004C3A60"/>
    <w:rsid w:val="004C6768"/>
    <w:rsid w:val="004C70A1"/>
    <w:rsid w:val="004D330A"/>
    <w:rsid w:val="004D55D2"/>
    <w:rsid w:val="004D77D2"/>
    <w:rsid w:val="004E32C5"/>
    <w:rsid w:val="004E4378"/>
    <w:rsid w:val="004E617D"/>
    <w:rsid w:val="004E715A"/>
    <w:rsid w:val="004F1D56"/>
    <w:rsid w:val="004F1D82"/>
    <w:rsid w:val="004F348F"/>
    <w:rsid w:val="004F42D9"/>
    <w:rsid w:val="004F4B01"/>
    <w:rsid w:val="004F5B9F"/>
    <w:rsid w:val="0050135F"/>
    <w:rsid w:val="00506BBB"/>
    <w:rsid w:val="005118C2"/>
    <w:rsid w:val="00520CA2"/>
    <w:rsid w:val="00521707"/>
    <w:rsid w:val="00523219"/>
    <w:rsid w:val="005258B1"/>
    <w:rsid w:val="005260CA"/>
    <w:rsid w:val="00527B2B"/>
    <w:rsid w:val="00527E45"/>
    <w:rsid w:val="0053061B"/>
    <w:rsid w:val="00532F2C"/>
    <w:rsid w:val="0053514A"/>
    <w:rsid w:val="00540C6B"/>
    <w:rsid w:val="00542FB4"/>
    <w:rsid w:val="005479F0"/>
    <w:rsid w:val="00550AF1"/>
    <w:rsid w:val="00551C00"/>
    <w:rsid w:val="005522FE"/>
    <w:rsid w:val="00552C93"/>
    <w:rsid w:val="00554BE6"/>
    <w:rsid w:val="0055571A"/>
    <w:rsid w:val="005576ED"/>
    <w:rsid w:val="00562B13"/>
    <w:rsid w:val="0056486F"/>
    <w:rsid w:val="0056672C"/>
    <w:rsid w:val="005770B9"/>
    <w:rsid w:val="005773E2"/>
    <w:rsid w:val="005776E9"/>
    <w:rsid w:val="00581422"/>
    <w:rsid w:val="00583A8A"/>
    <w:rsid w:val="00586CFE"/>
    <w:rsid w:val="005905B8"/>
    <w:rsid w:val="00590805"/>
    <w:rsid w:val="00590BF7"/>
    <w:rsid w:val="00595E5D"/>
    <w:rsid w:val="005A286B"/>
    <w:rsid w:val="005A3F36"/>
    <w:rsid w:val="005A42E7"/>
    <w:rsid w:val="005A611D"/>
    <w:rsid w:val="005B2C6E"/>
    <w:rsid w:val="005B3CE4"/>
    <w:rsid w:val="005B4D1E"/>
    <w:rsid w:val="005B5F76"/>
    <w:rsid w:val="005B65EF"/>
    <w:rsid w:val="005B729C"/>
    <w:rsid w:val="005C0DDF"/>
    <w:rsid w:val="005C677B"/>
    <w:rsid w:val="005D069C"/>
    <w:rsid w:val="005D092D"/>
    <w:rsid w:val="005D16F4"/>
    <w:rsid w:val="005D1E18"/>
    <w:rsid w:val="005D4BF6"/>
    <w:rsid w:val="005D625C"/>
    <w:rsid w:val="005E067D"/>
    <w:rsid w:val="005E3EEA"/>
    <w:rsid w:val="005E5848"/>
    <w:rsid w:val="005F112C"/>
    <w:rsid w:val="005F2DB3"/>
    <w:rsid w:val="006025B1"/>
    <w:rsid w:val="00604C33"/>
    <w:rsid w:val="00605358"/>
    <w:rsid w:val="00611AEF"/>
    <w:rsid w:val="00612604"/>
    <w:rsid w:val="0061416F"/>
    <w:rsid w:val="006141EF"/>
    <w:rsid w:val="00615B6D"/>
    <w:rsid w:val="00622ADD"/>
    <w:rsid w:val="00623D21"/>
    <w:rsid w:val="006251C8"/>
    <w:rsid w:val="0062711E"/>
    <w:rsid w:val="00630678"/>
    <w:rsid w:val="006363C7"/>
    <w:rsid w:val="00636B95"/>
    <w:rsid w:val="0064037A"/>
    <w:rsid w:val="00641E19"/>
    <w:rsid w:val="006436B6"/>
    <w:rsid w:val="00644B53"/>
    <w:rsid w:val="00650A72"/>
    <w:rsid w:val="00652029"/>
    <w:rsid w:val="0065589A"/>
    <w:rsid w:val="00656D2B"/>
    <w:rsid w:val="006618EC"/>
    <w:rsid w:val="006667AD"/>
    <w:rsid w:val="00666FA9"/>
    <w:rsid w:val="0066717D"/>
    <w:rsid w:val="00667D28"/>
    <w:rsid w:val="0067058F"/>
    <w:rsid w:val="006712B2"/>
    <w:rsid w:val="00671B2C"/>
    <w:rsid w:val="00671D32"/>
    <w:rsid w:val="006720FF"/>
    <w:rsid w:val="0067693E"/>
    <w:rsid w:val="006779C0"/>
    <w:rsid w:val="00680DE9"/>
    <w:rsid w:val="006810E7"/>
    <w:rsid w:val="00681C30"/>
    <w:rsid w:val="00683589"/>
    <w:rsid w:val="00685506"/>
    <w:rsid w:val="00697175"/>
    <w:rsid w:val="00697A92"/>
    <w:rsid w:val="006A0B0A"/>
    <w:rsid w:val="006A1B28"/>
    <w:rsid w:val="006A1D39"/>
    <w:rsid w:val="006A2267"/>
    <w:rsid w:val="006A2B78"/>
    <w:rsid w:val="006A5E89"/>
    <w:rsid w:val="006A642C"/>
    <w:rsid w:val="006A7DD7"/>
    <w:rsid w:val="006A7FC9"/>
    <w:rsid w:val="006B051D"/>
    <w:rsid w:val="006B0E0A"/>
    <w:rsid w:val="006B3120"/>
    <w:rsid w:val="006B47A0"/>
    <w:rsid w:val="006B6F1D"/>
    <w:rsid w:val="006C19D0"/>
    <w:rsid w:val="006C2FA5"/>
    <w:rsid w:val="006C4320"/>
    <w:rsid w:val="006C477D"/>
    <w:rsid w:val="006D5887"/>
    <w:rsid w:val="006F4371"/>
    <w:rsid w:val="006F4445"/>
    <w:rsid w:val="006F492A"/>
    <w:rsid w:val="006F5DA4"/>
    <w:rsid w:val="006F6432"/>
    <w:rsid w:val="006F70A5"/>
    <w:rsid w:val="006F7DCB"/>
    <w:rsid w:val="00700A18"/>
    <w:rsid w:val="00705920"/>
    <w:rsid w:val="00706965"/>
    <w:rsid w:val="00707B61"/>
    <w:rsid w:val="007120CE"/>
    <w:rsid w:val="0071257E"/>
    <w:rsid w:val="00712848"/>
    <w:rsid w:val="00713B63"/>
    <w:rsid w:val="00716A51"/>
    <w:rsid w:val="00717462"/>
    <w:rsid w:val="00717AF3"/>
    <w:rsid w:val="0072239D"/>
    <w:rsid w:val="007243D7"/>
    <w:rsid w:val="00731FAD"/>
    <w:rsid w:val="00733E71"/>
    <w:rsid w:val="0073794A"/>
    <w:rsid w:val="00741231"/>
    <w:rsid w:val="007418DA"/>
    <w:rsid w:val="0074325D"/>
    <w:rsid w:val="007459CF"/>
    <w:rsid w:val="00745ADE"/>
    <w:rsid w:val="007517D5"/>
    <w:rsid w:val="00753A92"/>
    <w:rsid w:val="00754188"/>
    <w:rsid w:val="007546E8"/>
    <w:rsid w:val="00760004"/>
    <w:rsid w:val="00760A93"/>
    <w:rsid w:val="00763674"/>
    <w:rsid w:val="0076662A"/>
    <w:rsid w:val="00771F9A"/>
    <w:rsid w:val="0077321F"/>
    <w:rsid w:val="00774990"/>
    <w:rsid w:val="007770FC"/>
    <w:rsid w:val="00785F61"/>
    <w:rsid w:val="007868F8"/>
    <w:rsid w:val="00786E5C"/>
    <w:rsid w:val="007977F8"/>
    <w:rsid w:val="007A0EC3"/>
    <w:rsid w:val="007A3FE3"/>
    <w:rsid w:val="007A674C"/>
    <w:rsid w:val="007B0968"/>
    <w:rsid w:val="007B39BA"/>
    <w:rsid w:val="007B44BC"/>
    <w:rsid w:val="007B6207"/>
    <w:rsid w:val="007C2916"/>
    <w:rsid w:val="007C43EA"/>
    <w:rsid w:val="007C7791"/>
    <w:rsid w:val="007D1E55"/>
    <w:rsid w:val="007D3592"/>
    <w:rsid w:val="007D3654"/>
    <w:rsid w:val="007D4CAF"/>
    <w:rsid w:val="007D69AB"/>
    <w:rsid w:val="007D6E06"/>
    <w:rsid w:val="007D6F19"/>
    <w:rsid w:val="007D7C65"/>
    <w:rsid w:val="007E0051"/>
    <w:rsid w:val="007E256A"/>
    <w:rsid w:val="007E2CE7"/>
    <w:rsid w:val="007E6723"/>
    <w:rsid w:val="007F10AC"/>
    <w:rsid w:val="007F3A1A"/>
    <w:rsid w:val="00801291"/>
    <w:rsid w:val="00803B90"/>
    <w:rsid w:val="008043FE"/>
    <w:rsid w:val="00806293"/>
    <w:rsid w:val="00812285"/>
    <w:rsid w:val="008127CD"/>
    <w:rsid w:val="0081645D"/>
    <w:rsid w:val="00822B9D"/>
    <w:rsid w:val="00825E34"/>
    <w:rsid w:val="0083110E"/>
    <w:rsid w:val="0083216D"/>
    <w:rsid w:val="00832494"/>
    <w:rsid w:val="00834844"/>
    <w:rsid w:val="00834E79"/>
    <w:rsid w:val="008373CF"/>
    <w:rsid w:val="00841840"/>
    <w:rsid w:val="0084378C"/>
    <w:rsid w:val="008448FD"/>
    <w:rsid w:val="008457AC"/>
    <w:rsid w:val="00850E0F"/>
    <w:rsid w:val="00855B36"/>
    <w:rsid w:val="00856A7B"/>
    <w:rsid w:val="0086240D"/>
    <w:rsid w:val="00863CB5"/>
    <w:rsid w:val="00864E20"/>
    <w:rsid w:val="00870DCD"/>
    <w:rsid w:val="00872037"/>
    <w:rsid w:val="0087319F"/>
    <w:rsid w:val="0087430B"/>
    <w:rsid w:val="00876847"/>
    <w:rsid w:val="00880E7C"/>
    <w:rsid w:val="008810AD"/>
    <w:rsid w:val="00883272"/>
    <w:rsid w:val="0088698A"/>
    <w:rsid w:val="00890ABF"/>
    <w:rsid w:val="008919C8"/>
    <w:rsid w:val="0089273B"/>
    <w:rsid w:val="00895FF9"/>
    <w:rsid w:val="008A1BCC"/>
    <w:rsid w:val="008A36F9"/>
    <w:rsid w:val="008A3E6F"/>
    <w:rsid w:val="008A5E86"/>
    <w:rsid w:val="008B0C1A"/>
    <w:rsid w:val="008B3361"/>
    <w:rsid w:val="008B3A13"/>
    <w:rsid w:val="008B4A0F"/>
    <w:rsid w:val="008B51EA"/>
    <w:rsid w:val="008B5342"/>
    <w:rsid w:val="008C12CE"/>
    <w:rsid w:val="008C4A08"/>
    <w:rsid w:val="008C627C"/>
    <w:rsid w:val="008D0DFB"/>
    <w:rsid w:val="008D33C3"/>
    <w:rsid w:val="008D3C60"/>
    <w:rsid w:val="008D4077"/>
    <w:rsid w:val="008D5483"/>
    <w:rsid w:val="008D5B6B"/>
    <w:rsid w:val="008D60C0"/>
    <w:rsid w:val="008D7C99"/>
    <w:rsid w:val="008E0531"/>
    <w:rsid w:val="008E2011"/>
    <w:rsid w:val="008E241F"/>
    <w:rsid w:val="008E344F"/>
    <w:rsid w:val="008E5178"/>
    <w:rsid w:val="008E5B64"/>
    <w:rsid w:val="008F19E6"/>
    <w:rsid w:val="008F2300"/>
    <w:rsid w:val="008F450F"/>
    <w:rsid w:val="0090063C"/>
    <w:rsid w:val="00901CD7"/>
    <w:rsid w:val="00905AF8"/>
    <w:rsid w:val="00905CDC"/>
    <w:rsid w:val="009065CF"/>
    <w:rsid w:val="00910901"/>
    <w:rsid w:val="00911B27"/>
    <w:rsid w:val="0091519D"/>
    <w:rsid w:val="00915FEC"/>
    <w:rsid w:val="00921E57"/>
    <w:rsid w:val="00921ECC"/>
    <w:rsid w:val="00924B31"/>
    <w:rsid w:val="00931604"/>
    <w:rsid w:val="00931FA2"/>
    <w:rsid w:val="00933942"/>
    <w:rsid w:val="009343B7"/>
    <w:rsid w:val="00934B4F"/>
    <w:rsid w:val="00936EEE"/>
    <w:rsid w:val="00937F4F"/>
    <w:rsid w:val="00942343"/>
    <w:rsid w:val="00943057"/>
    <w:rsid w:val="00945C23"/>
    <w:rsid w:val="009475E4"/>
    <w:rsid w:val="0095187B"/>
    <w:rsid w:val="00955732"/>
    <w:rsid w:val="00955BDE"/>
    <w:rsid w:val="00955EB9"/>
    <w:rsid w:val="00957A8C"/>
    <w:rsid w:val="00957BAB"/>
    <w:rsid w:val="00960A29"/>
    <w:rsid w:val="00961E44"/>
    <w:rsid w:val="00965560"/>
    <w:rsid w:val="009658F2"/>
    <w:rsid w:val="00965D21"/>
    <w:rsid w:val="00972286"/>
    <w:rsid w:val="00975087"/>
    <w:rsid w:val="009757BA"/>
    <w:rsid w:val="00976A44"/>
    <w:rsid w:val="00976B91"/>
    <w:rsid w:val="00977DC4"/>
    <w:rsid w:val="0098744A"/>
    <w:rsid w:val="0098755C"/>
    <w:rsid w:val="00990DA5"/>
    <w:rsid w:val="00991122"/>
    <w:rsid w:val="00992C16"/>
    <w:rsid w:val="00996ABD"/>
    <w:rsid w:val="009A09C4"/>
    <w:rsid w:val="009A4E6E"/>
    <w:rsid w:val="009A72B4"/>
    <w:rsid w:val="009B0143"/>
    <w:rsid w:val="009B27FA"/>
    <w:rsid w:val="009B4E1D"/>
    <w:rsid w:val="009B6F66"/>
    <w:rsid w:val="009C1654"/>
    <w:rsid w:val="009C4427"/>
    <w:rsid w:val="009C5B1B"/>
    <w:rsid w:val="009C5CD3"/>
    <w:rsid w:val="009C6DF6"/>
    <w:rsid w:val="009D410E"/>
    <w:rsid w:val="009D412C"/>
    <w:rsid w:val="009D5774"/>
    <w:rsid w:val="009E0752"/>
    <w:rsid w:val="009E3986"/>
    <w:rsid w:val="009E3A71"/>
    <w:rsid w:val="009E5BCD"/>
    <w:rsid w:val="009E665F"/>
    <w:rsid w:val="009E73FC"/>
    <w:rsid w:val="009F33C3"/>
    <w:rsid w:val="009F433D"/>
    <w:rsid w:val="009F6B2C"/>
    <w:rsid w:val="009F74DC"/>
    <w:rsid w:val="009F7C69"/>
    <w:rsid w:val="00A069B4"/>
    <w:rsid w:val="00A07D23"/>
    <w:rsid w:val="00A10A6D"/>
    <w:rsid w:val="00A11D14"/>
    <w:rsid w:val="00A12EFF"/>
    <w:rsid w:val="00A1657D"/>
    <w:rsid w:val="00A22190"/>
    <w:rsid w:val="00A25A60"/>
    <w:rsid w:val="00A26BA8"/>
    <w:rsid w:val="00A27267"/>
    <w:rsid w:val="00A27380"/>
    <w:rsid w:val="00A31308"/>
    <w:rsid w:val="00A31686"/>
    <w:rsid w:val="00A4061E"/>
    <w:rsid w:val="00A40DC1"/>
    <w:rsid w:val="00A40F9C"/>
    <w:rsid w:val="00A411F2"/>
    <w:rsid w:val="00A41616"/>
    <w:rsid w:val="00A4257B"/>
    <w:rsid w:val="00A43BAA"/>
    <w:rsid w:val="00A43E9C"/>
    <w:rsid w:val="00A47F85"/>
    <w:rsid w:val="00A50D57"/>
    <w:rsid w:val="00A541CD"/>
    <w:rsid w:val="00A5441C"/>
    <w:rsid w:val="00A547F4"/>
    <w:rsid w:val="00A54979"/>
    <w:rsid w:val="00A55AEA"/>
    <w:rsid w:val="00A5647E"/>
    <w:rsid w:val="00A576B7"/>
    <w:rsid w:val="00A600D0"/>
    <w:rsid w:val="00A609AE"/>
    <w:rsid w:val="00A62D65"/>
    <w:rsid w:val="00A65E1C"/>
    <w:rsid w:val="00A676C5"/>
    <w:rsid w:val="00A75F95"/>
    <w:rsid w:val="00A761C6"/>
    <w:rsid w:val="00A83A27"/>
    <w:rsid w:val="00A85763"/>
    <w:rsid w:val="00A86B60"/>
    <w:rsid w:val="00A90919"/>
    <w:rsid w:val="00A92061"/>
    <w:rsid w:val="00A93051"/>
    <w:rsid w:val="00A9680F"/>
    <w:rsid w:val="00A97FB9"/>
    <w:rsid w:val="00AA1A5E"/>
    <w:rsid w:val="00AA2541"/>
    <w:rsid w:val="00AA3502"/>
    <w:rsid w:val="00AA35C8"/>
    <w:rsid w:val="00AB2D80"/>
    <w:rsid w:val="00AB3C23"/>
    <w:rsid w:val="00AB57A5"/>
    <w:rsid w:val="00AB72CB"/>
    <w:rsid w:val="00AC2581"/>
    <w:rsid w:val="00AC4088"/>
    <w:rsid w:val="00AC59B9"/>
    <w:rsid w:val="00AC5BC8"/>
    <w:rsid w:val="00AC6FD7"/>
    <w:rsid w:val="00AC7C13"/>
    <w:rsid w:val="00AD016F"/>
    <w:rsid w:val="00AD08C4"/>
    <w:rsid w:val="00AD0A1E"/>
    <w:rsid w:val="00AD6DB6"/>
    <w:rsid w:val="00AE3A70"/>
    <w:rsid w:val="00AF127F"/>
    <w:rsid w:val="00AF32E8"/>
    <w:rsid w:val="00B0295A"/>
    <w:rsid w:val="00B03E57"/>
    <w:rsid w:val="00B043AA"/>
    <w:rsid w:val="00B06938"/>
    <w:rsid w:val="00B122D5"/>
    <w:rsid w:val="00B13B41"/>
    <w:rsid w:val="00B160D0"/>
    <w:rsid w:val="00B23CBA"/>
    <w:rsid w:val="00B243EF"/>
    <w:rsid w:val="00B33BB7"/>
    <w:rsid w:val="00B363DC"/>
    <w:rsid w:val="00B37178"/>
    <w:rsid w:val="00B419FD"/>
    <w:rsid w:val="00B42500"/>
    <w:rsid w:val="00B42797"/>
    <w:rsid w:val="00B43436"/>
    <w:rsid w:val="00B4676D"/>
    <w:rsid w:val="00B46B05"/>
    <w:rsid w:val="00B55CBF"/>
    <w:rsid w:val="00B576CD"/>
    <w:rsid w:val="00B62CBA"/>
    <w:rsid w:val="00B62D77"/>
    <w:rsid w:val="00B70FA5"/>
    <w:rsid w:val="00B71332"/>
    <w:rsid w:val="00B71FCB"/>
    <w:rsid w:val="00B742AB"/>
    <w:rsid w:val="00B7446A"/>
    <w:rsid w:val="00B7552A"/>
    <w:rsid w:val="00B75ED6"/>
    <w:rsid w:val="00B77130"/>
    <w:rsid w:val="00B8205C"/>
    <w:rsid w:val="00B843E3"/>
    <w:rsid w:val="00B84EB6"/>
    <w:rsid w:val="00B86471"/>
    <w:rsid w:val="00B8799A"/>
    <w:rsid w:val="00B90EDB"/>
    <w:rsid w:val="00B9160C"/>
    <w:rsid w:val="00B9289E"/>
    <w:rsid w:val="00B953B5"/>
    <w:rsid w:val="00B954D1"/>
    <w:rsid w:val="00BA0FB2"/>
    <w:rsid w:val="00BA26C2"/>
    <w:rsid w:val="00BA4226"/>
    <w:rsid w:val="00BA4A3E"/>
    <w:rsid w:val="00BA4BDB"/>
    <w:rsid w:val="00BA4D4D"/>
    <w:rsid w:val="00BA7EDD"/>
    <w:rsid w:val="00BA7EF2"/>
    <w:rsid w:val="00BB1723"/>
    <w:rsid w:val="00BB4C05"/>
    <w:rsid w:val="00BB5735"/>
    <w:rsid w:val="00BC2A88"/>
    <w:rsid w:val="00BC2BDC"/>
    <w:rsid w:val="00BC4964"/>
    <w:rsid w:val="00BD0535"/>
    <w:rsid w:val="00BD1B18"/>
    <w:rsid w:val="00BD404F"/>
    <w:rsid w:val="00BE105C"/>
    <w:rsid w:val="00BE41C5"/>
    <w:rsid w:val="00BE4F89"/>
    <w:rsid w:val="00BE7A24"/>
    <w:rsid w:val="00BF142D"/>
    <w:rsid w:val="00BF6B57"/>
    <w:rsid w:val="00BF7EAD"/>
    <w:rsid w:val="00C009DC"/>
    <w:rsid w:val="00C060FA"/>
    <w:rsid w:val="00C1314A"/>
    <w:rsid w:val="00C1317C"/>
    <w:rsid w:val="00C17AC7"/>
    <w:rsid w:val="00C21333"/>
    <w:rsid w:val="00C24C34"/>
    <w:rsid w:val="00C24E27"/>
    <w:rsid w:val="00C26259"/>
    <w:rsid w:val="00C318B2"/>
    <w:rsid w:val="00C33D22"/>
    <w:rsid w:val="00C37D32"/>
    <w:rsid w:val="00C431EA"/>
    <w:rsid w:val="00C45836"/>
    <w:rsid w:val="00C4605C"/>
    <w:rsid w:val="00C468D1"/>
    <w:rsid w:val="00C4700E"/>
    <w:rsid w:val="00C4769E"/>
    <w:rsid w:val="00C47CC0"/>
    <w:rsid w:val="00C50F38"/>
    <w:rsid w:val="00C51399"/>
    <w:rsid w:val="00C523F8"/>
    <w:rsid w:val="00C53AA5"/>
    <w:rsid w:val="00C53CD6"/>
    <w:rsid w:val="00C566C6"/>
    <w:rsid w:val="00C5792B"/>
    <w:rsid w:val="00C6224E"/>
    <w:rsid w:val="00C640B5"/>
    <w:rsid w:val="00C64C1B"/>
    <w:rsid w:val="00C66320"/>
    <w:rsid w:val="00C6653B"/>
    <w:rsid w:val="00C67301"/>
    <w:rsid w:val="00C71F0B"/>
    <w:rsid w:val="00C74CAA"/>
    <w:rsid w:val="00C77D09"/>
    <w:rsid w:val="00C841C0"/>
    <w:rsid w:val="00C84711"/>
    <w:rsid w:val="00C850F6"/>
    <w:rsid w:val="00C85A79"/>
    <w:rsid w:val="00C8681F"/>
    <w:rsid w:val="00C869F9"/>
    <w:rsid w:val="00C874EF"/>
    <w:rsid w:val="00C876B2"/>
    <w:rsid w:val="00C91B24"/>
    <w:rsid w:val="00CA095C"/>
    <w:rsid w:val="00CA5A40"/>
    <w:rsid w:val="00CB0C7A"/>
    <w:rsid w:val="00CB7B06"/>
    <w:rsid w:val="00CC0AF6"/>
    <w:rsid w:val="00CC2893"/>
    <w:rsid w:val="00CC2F0C"/>
    <w:rsid w:val="00CC5719"/>
    <w:rsid w:val="00CD252D"/>
    <w:rsid w:val="00CD49B5"/>
    <w:rsid w:val="00CD5E6A"/>
    <w:rsid w:val="00CD6671"/>
    <w:rsid w:val="00CE449C"/>
    <w:rsid w:val="00CE4BAD"/>
    <w:rsid w:val="00CF0B59"/>
    <w:rsid w:val="00CF33A7"/>
    <w:rsid w:val="00CF3FDA"/>
    <w:rsid w:val="00CF40FA"/>
    <w:rsid w:val="00CF501F"/>
    <w:rsid w:val="00CF546C"/>
    <w:rsid w:val="00CF66D1"/>
    <w:rsid w:val="00CF718F"/>
    <w:rsid w:val="00D001F1"/>
    <w:rsid w:val="00D04143"/>
    <w:rsid w:val="00D070B5"/>
    <w:rsid w:val="00D10970"/>
    <w:rsid w:val="00D10CF2"/>
    <w:rsid w:val="00D16736"/>
    <w:rsid w:val="00D16BDF"/>
    <w:rsid w:val="00D21341"/>
    <w:rsid w:val="00D22FDC"/>
    <w:rsid w:val="00D261C8"/>
    <w:rsid w:val="00D26EE0"/>
    <w:rsid w:val="00D27A20"/>
    <w:rsid w:val="00D30803"/>
    <w:rsid w:val="00D31EA2"/>
    <w:rsid w:val="00D32AA2"/>
    <w:rsid w:val="00D32CF1"/>
    <w:rsid w:val="00D425EA"/>
    <w:rsid w:val="00D42B83"/>
    <w:rsid w:val="00D45FF9"/>
    <w:rsid w:val="00D462E1"/>
    <w:rsid w:val="00D4659B"/>
    <w:rsid w:val="00D5278C"/>
    <w:rsid w:val="00D61C1C"/>
    <w:rsid w:val="00D63108"/>
    <w:rsid w:val="00D64EA5"/>
    <w:rsid w:val="00D6555A"/>
    <w:rsid w:val="00D67C94"/>
    <w:rsid w:val="00D72234"/>
    <w:rsid w:val="00D75116"/>
    <w:rsid w:val="00D76213"/>
    <w:rsid w:val="00D77D90"/>
    <w:rsid w:val="00D801BC"/>
    <w:rsid w:val="00D83802"/>
    <w:rsid w:val="00D862DB"/>
    <w:rsid w:val="00D9243F"/>
    <w:rsid w:val="00D942CA"/>
    <w:rsid w:val="00D952AF"/>
    <w:rsid w:val="00D97075"/>
    <w:rsid w:val="00DA2A8A"/>
    <w:rsid w:val="00DA2BB1"/>
    <w:rsid w:val="00DA42A0"/>
    <w:rsid w:val="00DB10E7"/>
    <w:rsid w:val="00DB1941"/>
    <w:rsid w:val="00DB3170"/>
    <w:rsid w:val="00DD0E29"/>
    <w:rsid w:val="00DD166D"/>
    <w:rsid w:val="00DD4114"/>
    <w:rsid w:val="00DD4362"/>
    <w:rsid w:val="00DD66C7"/>
    <w:rsid w:val="00DE7721"/>
    <w:rsid w:val="00DE7812"/>
    <w:rsid w:val="00DF220E"/>
    <w:rsid w:val="00DF3CBD"/>
    <w:rsid w:val="00DF4C95"/>
    <w:rsid w:val="00DF778C"/>
    <w:rsid w:val="00DF7E77"/>
    <w:rsid w:val="00E00069"/>
    <w:rsid w:val="00E003BE"/>
    <w:rsid w:val="00E00E02"/>
    <w:rsid w:val="00E01CC3"/>
    <w:rsid w:val="00E11CB0"/>
    <w:rsid w:val="00E125E2"/>
    <w:rsid w:val="00E13775"/>
    <w:rsid w:val="00E14A0A"/>
    <w:rsid w:val="00E14F94"/>
    <w:rsid w:val="00E15136"/>
    <w:rsid w:val="00E167FD"/>
    <w:rsid w:val="00E206C1"/>
    <w:rsid w:val="00E2558C"/>
    <w:rsid w:val="00E360FC"/>
    <w:rsid w:val="00E36DD1"/>
    <w:rsid w:val="00E4119D"/>
    <w:rsid w:val="00E41D71"/>
    <w:rsid w:val="00E42887"/>
    <w:rsid w:val="00E4440B"/>
    <w:rsid w:val="00E5031E"/>
    <w:rsid w:val="00E51AE1"/>
    <w:rsid w:val="00E5297B"/>
    <w:rsid w:val="00E534BE"/>
    <w:rsid w:val="00E54A1A"/>
    <w:rsid w:val="00E5575F"/>
    <w:rsid w:val="00E56B62"/>
    <w:rsid w:val="00E61D87"/>
    <w:rsid w:val="00E6244D"/>
    <w:rsid w:val="00E63AA7"/>
    <w:rsid w:val="00E7045C"/>
    <w:rsid w:val="00E72BD5"/>
    <w:rsid w:val="00E742C8"/>
    <w:rsid w:val="00E77554"/>
    <w:rsid w:val="00E809E2"/>
    <w:rsid w:val="00E83582"/>
    <w:rsid w:val="00E861F9"/>
    <w:rsid w:val="00E879DC"/>
    <w:rsid w:val="00E92C0F"/>
    <w:rsid w:val="00E9367E"/>
    <w:rsid w:val="00E940B7"/>
    <w:rsid w:val="00E95C72"/>
    <w:rsid w:val="00E97AF2"/>
    <w:rsid w:val="00EA0475"/>
    <w:rsid w:val="00EA25BE"/>
    <w:rsid w:val="00EA32F5"/>
    <w:rsid w:val="00EA36E9"/>
    <w:rsid w:val="00EA5142"/>
    <w:rsid w:val="00EA5696"/>
    <w:rsid w:val="00EA6E2A"/>
    <w:rsid w:val="00EA7520"/>
    <w:rsid w:val="00EB2433"/>
    <w:rsid w:val="00EB5194"/>
    <w:rsid w:val="00EB5374"/>
    <w:rsid w:val="00EB5F15"/>
    <w:rsid w:val="00EB6BAF"/>
    <w:rsid w:val="00EC0A99"/>
    <w:rsid w:val="00EC22AC"/>
    <w:rsid w:val="00EC4D55"/>
    <w:rsid w:val="00EC688B"/>
    <w:rsid w:val="00EC7881"/>
    <w:rsid w:val="00ED0FFB"/>
    <w:rsid w:val="00ED15F5"/>
    <w:rsid w:val="00EE3410"/>
    <w:rsid w:val="00EE7CC3"/>
    <w:rsid w:val="00EF0858"/>
    <w:rsid w:val="00EF4DA6"/>
    <w:rsid w:val="00EF4DF3"/>
    <w:rsid w:val="00EF603C"/>
    <w:rsid w:val="00F01E19"/>
    <w:rsid w:val="00F03732"/>
    <w:rsid w:val="00F04C47"/>
    <w:rsid w:val="00F07E62"/>
    <w:rsid w:val="00F11317"/>
    <w:rsid w:val="00F1138E"/>
    <w:rsid w:val="00F12096"/>
    <w:rsid w:val="00F1679A"/>
    <w:rsid w:val="00F1789C"/>
    <w:rsid w:val="00F21DCD"/>
    <w:rsid w:val="00F247DE"/>
    <w:rsid w:val="00F305E0"/>
    <w:rsid w:val="00F31AF1"/>
    <w:rsid w:val="00F322AB"/>
    <w:rsid w:val="00F4250C"/>
    <w:rsid w:val="00F43FAC"/>
    <w:rsid w:val="00F44230"/>
    <w:rsid w:val="00F44F6F"/>
    <w:rsid w:val="00F46917"/>
    <w:rsid w:val="00F46B3F"/>
    <w:rsid w:val="00F479D1"/>
    <w:rsid w:val="00F50D14"/>
    <w:rsid w:val="00F51151"/>
    <w:rsid w:val="00F5276E"/>
    <w:rsid w:val="00F53EA4"/>
    <w:rsid w:val="00F626A6"/>
    <w:rsid w:val="00F64709"/>
    <w:rsid w:val="00F72042"/>
    <w:rsid w:val="00F7389F"/>
    <w:rsid w:val="00F750FC"/>
    <w:rsid w:val="00F774D7"/>
    <w:rsid w:val="00F77D6A"/>
    <w:rsid w:val="00F8215F"/>
    <w:rsid w:val="00F82D61"/>
    <w:rsid w:val="00F82F4A"/>
    <w:rsid w:val="00F84566"/>
    <w:rsid w:val="00F8518E"/>
    <w:rsid w:val="00F867D2"/>
    <w:rsid w:val="00F90A89"/>
    <w:rsid w:val="00F91B03"/>
    <w:rsid w:val="00F92770"/>
    <w:rsid w:val="00F93566"/>
    <w:rsid w:val="00F966EA"/>
    <w:rsid w:val="00F970B9"/>
    <w:rsid w:val="00FA0277"/>
    <w:rsid w:val="00FA3AE5"/>
    <w:rsid w:val="00FA4029"/>
    <w:rsid w:val="00FA4496"/>
    <w:rsid w:val="00FA7D74"/>
    <w:rsid w:val="00FB0743"/>
    <w:rsid w:val="00FB31A0"/>
    <w:rsid w:val="00FB3846"/>
    <w:rsid w:val="00FB4421"/>
    <w:rsid w:val="00FB5B4C"/>
    <w:rsid w:val="00FB6210"/>
    <w:rsid w:val="00FB71F4"/>
    <w:rsid w:val="00FB763A"/>
    <w:rsid w:val="00FC08D0"/>
    <w:rsid w:val="00FC261B"/>
    <w:rsid w:val="00FC55A9"/>
    <w:rsid w:val="00FC57E2"/>
    <w:rsid w:val="00FC7426"/>
    <w:rsid w:val="00FC772A"/>
    <w:rsid w:val="00FC7C64"/>
    <w:rsid w:val="00FD17EA"/>
    <w:rsid w:val="00FD32BF"/>
    <w:rsid w:val="00FD3EC9"/>
    <w:rsid w:val="00FD73C1"/>
    <w:rsid w:val="00FD7539"/>
    <w:rsid w:val="00FE1F21"/>
    <w:rsid w:val="00FE3562"/>
    <w:rsid w:val="00FE4A48"/>
    <w:rsid w:val="00FE6499"/>
    <w:rsid w:val="00FE70F7"/>
    <w:rsid w:val="00FE7421"/>
    <w:rsid w:val="00FF0FF5"/>
    <w:rsid w:val="00FF1C9B"/>
    <w:rsid w:val="00FF34AA"/>
    <w:rsid w:val="00FF75A6"/>
  </w:rsids>
  <m:mathPr>
    <m:mathFont m:val="Cambria Math"/>
    <m:brkBin m:val="before"/>
    <m:brkBinSub m:val="--"/>
    <m:smallFrac m:val="0"/>
    <m:dispDef/>
    <m:lMargin m:val="0"/>
    <m:rMargin m:val="0"/>
    <m:defJc m:val="centerGroup"/>
    <m:wrapIndent m:val="1440"/>
    <m:intLim m:val="subSup"/>
    <m:naryLim m:val="undOvr"/>
  </m:mathPr>
  <w:themeFontLang w:val="cs-CZ"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1EBEE"/>
  <w15:docId w15:val="{B5CFCF2D-90F3-4C73-9E33-D1D9773F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75F95"/>
    <w:rPr>
      <w:sz w:val="24"/>
      <w:szCs w:val="24"/>
    </w:rPr>
  </w:style>
  <w:style w:type="paragraph" w:styleId="Nadpis1">
    <w:name w:val="heading 1"/>
    <w:basedOn w:val="Normln"/>
    <w:next w:val="Normln"/>
    <w:qFormat/>
    <w:rsid w:val="00A75F95"/>
    <w:pPr>
      <w:keepNext/>
      <w:jc w:val="center"/>
      <w:outlineLvl w:val="0"/>
    </w:pPr>
    <w:rPr>
      <w:rFonts w:ascii="Arial" w:hAnsi="Arial"/>
      <w:b/>
      <w:szCs w:val="20"/>
      <w:lang w:val="en-CA"/>
    </w:rPr>
  </w:style>
  <w:style w:type="paragraph" w:styleId="Nadpis2">
    <w:name w:val="heading 2"/>
    <w:basedOn w:val="Normln"/>
    <w:next w:val="Normln"/>
    <w:qFormat/>
    <w:rsid w:val="00A75F95"/>
    <w:pPr>
      <w:keepNext/>
      <w:outlineLvl w:val="1"/>
    </w:pPr>
    <w:rPr>
      <w:sz w:val="20"/>
      <w:szCs w:val="20"/>
      <w:u w:val="single"/>
    </w:rPr>
  </w:style>
  <w:style w:type="paragraph" w:styleId="Nadpis3">
    <w:name w:val="heading 3"/>
    <w:basedOn w:val="Normln"/>
    <w:next w:val="Normln"/>
    <w:qFormat/>
    <w:rsid w:val="00A75F95"/>
    <w:pPr>
      <w:keepNext/>
      <w:outlineLvl w:val="2"/>
    </w:pPr>
    <w:rPr>
      <w:rFonts w:ascii="Arial" w:hAnsi="Arial" w:cs="Arial"/>
      <w:b/>
      <w:bCs/>
      <w:sz w:val="28"/>
    </w:rPr>
  </w:style>
  <w:style w:type="paragraph" w:styleId="Nadpis4">
    <w:name w:val="heading 4"/>
    <w:basedOn w:val="Normln"/>
    <w:next w:val="Normln"/>
    <w:qFormat/>
    <w:rsid w:val="00A75F95"/>
    <w:pPr>
      <w:keepNext/>
      <w:tabs>
        <w:tab w:val="left" w:pos="3119"/>
        <w:tab w:val="right" w:leader="hyphen" w:pos="9810"/>
      </w:tabs>
      <w:outlineLvl w:val="3"/>
    </w:pPr>
    <w:rPr>
      <w:rFonts w:ascii="Arial" w:hAnsi="Arial" w:cs="Arial"/>
      <w:b/>
      <w:bCs/>
      <w:i/>
      <w:iCs/>
      <w:sz w:val="28"/>
    </w:rPr>
  </w:style>
  <w:style w:type="paragraph" w:styleId="Nadpis5">
    <w:name w:val="heading 5"/>
    <w:basedOn w:val="Normln"/>
    <w:next w:val="Normln"/>
    <w:qFormat/>
    <w:rsid w:val="00A75F95"/>
    <w:pPr>
      <w:keepNext/>
      <w:jc w:val="center"/>
      <w:outlineLvl w:val="4"/>
    </w:pPr>
    <w:rPr>
      <w:b/>
      <w:caps/>
      <w:szCs w:val="20"/>
      <w:lang w:val="en-GB"/>
    </w:rPr>
  </w:style>
  <w:style w:type="paragraph" w:styleId="Nadpis6">
    <w:name w:val="heading 6"/>
    <w:basedOn w:val="Normln"/>
    <w:next w:val="Normln"/>
    <w:qFormat/>
    <w:rsid w:val="00A75F95"/>
    <w:pPr>
      <w:keepNext/>
      <w:outlineLvl w:val="5"/>
    </w:pPr>
    <w:rPr>
      <w:b/>
      <w:caps/>
      <w:szCs w:val="20"/>
      <w:lang w:val="en-GB"/>
    </w:rPr>
  </w:style>
  <w:style w:type="paragraph" w:styleId="Nadpis7">
    <w:name w:val="heading 7"/>
    <w:basedOn w:val="Normln"/>
    <w:next w:val="Normln"/>
    <w:qFormat/>
    <w:rsid w:val="00A75F95"/>
    <w:pPr>
      <w:keepNext/>
      <w:pBdr>
        <w:bottom w:val="single" w:sz="4" w:space="1" w:color="auto"/>
      </w:pBdr>
      <w:outlineLvl w:val="6"/>
    </w:pPr>
    <w:rPr>
      <w:rFonts w:ascii="Reklama" w:hAnsi="Reklama"/>
      <w:sz w:val="28"/>
      <w:szCs w:val="20"/>
      <w:lang w:val="en-GB"/>
    </w:rPr>
  </w:style>
  <w:style w:type="paragraph" w:styleId="Nadpis8">
    <w:name w:val="heading 8"/>
    <w:basedOn w:val="Normln"/>
    <w:next w:val="Normln"/>
    <w:qFormat/>
    <w:rsid w:val="00A75F95"/>
    <w:pPr>
      <w:keepNext/>
      <w:outlineLvl w:val="7"/>
    </w:pPr>
    <w:rPr>
      <w:rFonts w:ascii="Arial" w:hAnsi="Arial" w:cs="Arial"/>
      <w:i/>
      <w:iCs/>
      <w:sz w:val="28"/>
    </w:rPr>
  </w:style>
  <w:style w:type="paragraph" w:styleId="Nadpis9">
    <w:name w:val="heading 9"/>
    <w:basedOn w:val="Normln"/>
    <w:next w:val="Normln"/>
    <w:qFormat/>
    <w:rsid w:val="00A75F95"/>
    <w:pPr>
      <w:keepNext/>
      <w:jc w:val="center"/>
      <w:outlineLvl w:val="8"/>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75F95"/>
    <w:pPr>
      <w:tabs>
        <w:tab w:val="center" w:pos="4536"/>
        <w:tab w:val="right" w:pos="9072"/>
      </w:tabs>
    </w:pPr>
    <w:rPr>
      <w:lang w:val="x-none" w:eastAsia="x-none"/>
    </w:rPr>
  </w:style>
  <w:style w:type="paragraph" w:styleId="Zpat">
    <w:name w:val="footer"/>
    <w:basedOn w:val="Normln"/>
    <w:rsid w:val="00A75F95"/>
    <w:pPr>
      <w:tabs>
        <w:tab w:val="center" w:pos="4536"/>
        <w:tab w:val="right" w:pos="9072"/>
      </w:tabs>
    </w:pPr>
  </w:style>
  <w:style w:type="paragraph" w:styleId="Nzev">
    <w:name w:val="Title"/>
    <w:basedOn w:val="Normln"/>
    <w:qFormat/>
    <w:rsid w:val="00A75F95"/>
    <w:pPr>
      <w:jc w:val="center"/>
    </w:pPr>
    <w:rPr>
      <w:rFonts w:ascii="Arial" w:hAnsi="Arial" w:cs="Arial"/>
      <w:b/>
      <w:caps/>
      <w:sz w:val="28"/>
      <w:szCs w:val="20"/>
    </w:rPr>
  </w:style>
  <w:style w:type="paragraph" w:styleId="Podnadpis">
    <w:name w:val="Subtitle"/>
    <w:basedOn w:val="Normln"/>
    <w:qFormat/>
    <w:rsid w:val="00A75F95"/>
    <w:pPr>
      <w:jc w:val="center"/>
    </w:pPr>
    <w:rPr>
      <w:rFonts w:ascii="Arial" w:hAnsi="Arial" w:cs="Arial"/>
      <w:b/>
      <w:caps/>
      <w:sz w:val="28"/>
      <w:szCs w:val="20"/>
      <w:u w:val="single"/>
    </w:rPr>
  </w:style>
  <w:style w:type="paragraph" w:styleId="Zkladntextodsazen2">
    <w:name w:val="Body Text Indent 2"/>
    <w:basedOn w:val="Normln"/>
    <w:rsid w:val="00A75F95"/>
    <w:pPr>
      <w:tabs>
        <w:tab w:val="left" w:pos="9250"/>
      </w:tabs>
      <w:ind w:left="567" w:hanging="567"/>
    </w:pPr>
    <w:rPr>
      <w:rFonts w:ascii="Arial" w:hAnsi="Arial" w:cs="Arial"/>
      <w:b/>
      <w:sz w:val="28"/>
      <w:szCs w:val="20"/>
    </w:rPr>
  </w:style>
  <w:style w:type="paragraph" w:styleId="Zkladntext">
    <w:name w:val="Body Text"/>
    <w:basedOn w:val="Normln"/>
    <w:rsid w:val="00A75F95"/>
    <w:rPr>
      <w:rFonts w:ascii="Arial Narrow" w:hAnsi="Arial Narrow"/>
      <w:sz w:val="28"/>
    </w:rPr>
  </w:style>
  <w:style w:type="paragraph" w:customStyle="1" w:styleId="Nzev2">
    <w:name w:val="Název2"/>
    <w:basedOn w:val="Obsah1"/>
    <w:autoRedefine/>
    <w:rsid w:val="00652029"/>
    <w:pPr>
      <w:framePr w:hSpace="397" w:wrap="around" w:vAnchor="text" w:hAnchor="margin" w:xAlign="center" w:y="1"/>
      <w:tabs>
        <w:tab w:val="left" w:pos="1260"/>
        <w:tab w:val="center" w:leader="dot" w:pos="9889"/>
      </w:tabs>
      <w:ind w:right="113"/>
      <w:jc w:val="center"/>
    </w:pPr>
    <w:rPr>
      <w:rFonts w:cs="Arial"/>
      <w:b/>
      <w:caps w:val="0"/>
      <w:sz w:val="22"/>
      <w:szCs w:val="22"/>
    </w:rPr>
  </w:style>
  <w:style w:type="paragraph" w:styleId="Obsah1">
    <w:name w:val="toc 1"/>
    <w:basedOn w:val="Normln"/>
    <w:next w:val="Normln"/>
    <w:autoRedefine/>
    <w:semiHidden/>
    <w:rsid w:val="00A75F95"/>
    <w:rPr>
      <w:rFonts w:ascii="Arial" w:hAnsi="Arial"/>
      <w:caps/>
      <w:sz w:val="28"/>
    </w:rPr>
  </w:style>
  <w:style w:type="paragraph" w:styleId="Zkladntext2">
    <w:name w:val="Body Text 2"/>
    <w:basedOn w:val="Normln"/>
    <w:rsid w:val="00A75F95"/>
    <w:pPr>
      <w:pBdr>
        <w:top w:val="single" w:sz="4" w:space="1" w:color="auto"/>
        <w:left w:val="single" w:sz="4" w:space="4" w:color="auto"/>
        <w:bottom w:val="single" w:sz="4" w:space="1" w:color="auto"/>
        <w:right w:val="single" w:sz="4" w:space="4" w:color="auto"/>
      </w:pBdr>
      <w:jc w:val="center"/>
    </w:pPr>
    <w:rPr>
      <w:sz w:val="20"/>
      <w:szCs w:val="20"/>
    </w:rPr>
  </w:style>
  <w:style w:type="paragraph" w:styleId="Zkladntextodsazen3">
    <w:name w:val="Body Text Indent 3"/>
    <w:basedOn w:val="Normln"/>
    <w:rsid w:val="00A75F95"/>
    <w:pPr>
      <w:ind w:left="1440" w:hanging="1080"/>
    </w:pPr>
    <w:rPr>
      <w:rFonts w:ascii="Arial" w:hAnsi="Arial" w:cs="Arial"/>
      <w:i/>
      <w:iCs/>
      <w:sz w:val="28"/>
    </w:rPr>
  </w:style>
  <w:style w:type="character" w:styleId="slostrnky">
    <w:name w:val="page number"/>
    <w:basedOn w:val="Standardnpsmoodstavce"/>
    <w:rsid w:val="00A75F95"/>
  </w:style>
  <w:style w:type="paragraph" w:customStyle="1" w:styleId="Otazka1-9">
    <w:name w:val="Otazka_1-9"/>
    <w:basedOn w:val="Normln"/>
    <w:rsid w:val="00A75F95"/>
    <w:pPr>
      <w:spacing w:line="300" w:lineRule="exact"/>
      <w:ind w:left="284" w:hanging="284"/>
      <w:jc w:val="both"/>
    </w:pPr>
    <w:rPr>
      <w:rFonts w:ascii="Roman s" w:hAnsi="Roman s"/>
      <w:b/>
      <w:szCs w:val="20"/>
      <w:lang w:val="en-GB"/>
    </w:rPr>
  </w:style>
  <w:style w:type="paragraph" w:styleId="Textvbloku">
    <w:name w:val="Block Text"/>
    <w:basedOn w:val="Normln"/>
    <w:rsid w:val="00A75F95"/>
    <w:pPr>
      <w:tabs>
        <w:tab w:val="left" w:pos="567"/>
      </w:tabs>
      <w:ind w:left="567" w:right="-446" w:hanging="567"/>
    </w:pPr>
    <w:rPr>
      <w:rFonts w:ascii="Arial" w:hAnsi="Arial" w:cs="Arial"/>
      <w:b/>
      <w:bCs/>
      <w:szCs w:val="20"/>
    </w:rPr>
  </w:style>
  <w:style w:type="paragraph" w:customStyle="1" w:styleId="TextTMSRMN12Bold">
    <w:name w:val="TextTMSRMN12Bold"/>
    <w:basedOn w:val="Otazka1-9"/>
    <w:rsid w:val="00A75F95"/>
    <w:pPr>
      <w:ind w:left="0" w:firstLine="0"/>
    </w:pPr>
  </w:style>
  <w:style w:type="paragraph" w:styleId="Zkladntext3">
    <w:name w:val="Body Text 3"/>
    <w:basedOn w:val="Normln"/>
    <w:rsid w:val="00A75F95"/>
    <w:rPr>
      <w:caps/>
      <w:szCs w:val="20"/>
      <w:lang w:val="en-GB"/>
    </w:rPr>
  </w:style>
  <w:style w:type="character" w:styleId="Hypertextovodkaz">
    <w:name w:val="Hyperlink"/>
    <w:rsid w:val="00A75F95"/>
    <w:rPr>
      <w:color w:val="0000FF"/>
      <w:u w:val="single"/>
    </w:rPr>
  </w:style>
  <w:style w:type="paragraph" w:styleId="Normlnweb">
    <w:name w:val="Normal (Web)"/>
    <w:basedOn w:val="Normln"/>
    <w:uiPriority w:val="99"/>
    <w:rsid w:val="00A75F95"/>
    <w:pPr>
      <w:spacing w:before="100" w:beforeAutospacing="1" w:after="100" w:afterAutospacing="1"/>
    </w:pPr>
    <w:rPr>
      <w:lang w:val="en-US" w:eastAsia="en-US"/>
    </w:rPr>
  </w:style>
  <w:style w:type="paragraph" w:customStyle="1" w:styleId="Questbody">
    <w:name w:val="Quest body"/>
    <w:basedOn w:val="Normln"/>
    <w:rsid w:val="00A75F95"/>
    <w:rPr>
      <w:rFonts w:ascii="Arial" w:hAnsi="Arial"/>
      <w:noProof/>
      <w:sz w:val="26"/>
      <w:szCs w:val="20"/>
    </w:rPr>
  </w:style>
  <w:style w:type="paragraph" w:customStyle="1" w:styleId="Question">
    <w:name w:val="Question"/>
    <w:basedOn w:val="Normln"/>
    <w:rsid w:val="00A75F95"/>
    <w:pPr>
      <w:ind w:left="720" w:hanging="720"/>
    </w:pPr>
    <w:rPr>
      <w:rFonts w:ascii="Arial" w:hAnsi="Arial"/>
      <w:szCs w:val="20"/>
      <w:lang w:val="en-GB" w:eastAsia="ja-JP"/>
    </w:rPr>
  </w:style>
  <w:style w:type="paragraph" w:customStyle="1" w:styleId="response2">
    <w:name w:val="response2"/>
    <w:basedOn w:val="Normln"/>
    <w:rsid w:val="00A75F95"/>
    <w:pPr>
      <w:keepNext/>
      <w:keepLines/>
      <w:tabs>
        <w:tab w:val="right" w:leader="dot" w:pos="7201"/>
        <w:tab w:val="right" w:leader="dot" w:pos="9361"/>
        <w:tab w:val="right" w:pos="10064"/>
      </w:tabs>
      <w:ind w:left="1440"/>
    </w:pPr>
    <w:rPr>
      <w:rFonts w:ascii="Arial" w:hAnsi="Arial"/>
      <w:szCs w:val="20"/>
      <w:lang w:val="en-GB" w:eastAsia="ja-JP"/>
    </w:rPr>
  </w:style>
  <w:style w:type="paragraph" w:customStyle="1" w:styleId="StandardFragebogen">
    <w:name w:val="Standard Fragebogen"/>
    <w:basedOn w:val="Normln"/>
    <w:rsid w:val="00A75F95"/>
    <w:pPr>
      <w:tabs>
        <w:tab w:val="left" w:pos="709"/>
        <w:tab w:val="left" w:pos="1843"/>
        <w:tab w:val="left" w:pos="3544"/>
        <w:tab w:val="left" w:pos="4536"/>
        <w:tab w:val="left" w:pos="5954"/>
        <w:tab w:val="left" w:pos="7655"/>
        <w:tab w:val="right" w:pos="9072"/>
        <w:tab w:val="right" w:pos="9582"/>
        <w:tab w:val="left" w:pos="9837"/>
      </w:tabs>
      <w:ind w:left="709" w:right="1361" w:hanging="709"/>
    </w:pPr>
    <w:rPr>
      <w:rFonts w:ascii="Arial" w:hAnsi="Arial"/>
      <w:sz w:val="22"/>
      <w:szCs w:val="20"/>
      <w:lang w:val="de-DE" w:eastAsia="de-DE"/>
    </w:rPr>
  </w:style>
  <w:style w:type="paragraph" w:customStyle="1" w:styleId="N8">
    <w:name w:val="N8"/>
    <w:basedOn w:val="Normln"/>
    <w:rsid w:val="00A75F95"/>
    <w:pPr>
      <w:tabs>
        <w:tab w:val="left" w:pos="-360"/>
      </w:tabs>
    </w:pPr>
    <w:rPr>
      <w:rFonts w:ascii="Arial" w:hAnsi="Arial"/>
      <w:sz w:val="16"/>
      <w:szCs w:val="20"/>
      <w:lang w:val="fr-FR"/>
    </w:rPr>
  </w:style>
  <w:style w:type="paragraph" w:customStyle="1" w:styleId="Nzev3">
    <w:name w:val="Název3"/>
    <w:basedOn w:val="Normln"/>
    <w:rsid w:val="00A75F95"/>
    <w:rPr>
      <w:rFonts w:ascii="Arial" w:hAnsi="Arial" w:cs="Arial"/>
      <w:b/>
      <w:bCs/>
      <w:caps/>
      <w:sz w:val="28"/>
      <w:u w:val="single"/>
    </w:rPr>
  </w:style>
  <w:style w:type="paragraph" w:styleId="Zkladntextodsazen">
    <w:name w:val="Body Text Indent"/>
    <w:basedOn w:val="Normln"/>
    <w:rsid w:val="00A75F95"/>
    <w:pPr>
      <w:ind w:left="709" w:hanging="709"/>
    </w:pPr>
    <w:rPr>
      <w:szCs w:val="20"/>
      <w:lang w:val="en-GB"/>
    </w:rPr>
  </w:style>
  <w:style w:type="paragraph" w:customStyle="1" w:styleId="kerdes">
    <w:name w:val="kerdes"/>
    <w:basedOn w:val="Normln"/>
    <w:rsid w:val="00A75F95"/>
    <w:pPr>
      <w:spacing w:before="360"/>
      <w:ind w:left="567" w:hanging="567"/>
    </w:pPr>
    <w:rPr>
      <w:rFonts w:ascii="H-Times New Roman" w:hAnsi="H-Times New Roman"/>
      <w:b/>
      <w:bCs/>
      <w:lang w:val="da-DK" w:eastAsia="en-US"/>
    </w:rPr>
  </w:style>
  <w:style w:type="paragraph" w:customStyle="1" w:styleId="Pulbox">
    <w:name w:val="Pulbox"/>
    <w:basedOn w:val="Normln"/>
    <w:rsid w:val="00A75F95"/>
    <w:pPr>
      <w:pBdr>
        <w:top w:val="single" w:sz="6" w:space="1" w:color="auto"/>
        <w:left w:val="single" w:sz="6" w:space="1" w:color="auto"/>
        <w:bottom w:val="single" w:sz="6" w:space="1" w:color="auto"/>
        <w:right w:val="single" w:sz="6" w:space="1" w:color="auto"/>
      </w:pBdr>
      <w:tabs>
        <w:tab w:val="right" w:pos="8931"/>
      </w:tabs>
      <w:spacing w:line="300" w:lineRule="exact"/>
      <w:ind w:left="4820"/>
    </w:pPr>
    <w:rPr>
      <w:rFonts w:ascii="Courier New" w:hAnsi="Courier New"/>
      <w:szCs w:val="20"/>
      <w:lang w:val="en-GB"/>
    </w:rPr>
  </w:style>
  <w:style w:type="paragraph" w:customStyle="1" w:styleId="Celybox">
    <w:name w:val="Celybox"/>
    <w:basedOn w:val="Normln"/>
    <w:rsid w:val="00A75F95"/>
    <w:pPr>
      <w:pBdr>
        <w:top w:val="single" w:sz="6" w:space="1" w:color="auto"/>
        <w:left w:val="single" w:sz="6" w:space="1" w:color="auto"/>
        <w:bottom w:val="single" w:sz="6" w:space="1" w:color="auto"/>
        <w:right w:val="single" w:sz="6" w:space="1" w:color="auto"/>
      </w:pBdr>
    </w:pPr>
    <w:rPr>
      <w:rFonts w:ascii="Courier New" w:hAnsi="Courier New"/>
      <w:szCs w:val="20"/>
      <w:lang w:val="en-GB"/>
    </w:rPr>
  </w:style>
  <w:style w:type="paragraph" w:customStyle="1" w:styleId="TableText">
    <w:name w:val="Table Text"/>
    <w:rsid w:val="00A75F95"/>
    <w:rPr>
      <w:rFonts w:ascii="Arial" w:hAnsi="Arial"/>
      <w:lang w:val="en-CA"/>
    </w:rPr>
  </w:style>
  <w:style w:type="paragraph" w:customStyle="1" w:styleId="BulletforGrid">
    <w:name w:val="Bullet for Grid"/>
    <w:basedOn w:val="Zkladntext"/>
    <w:rsid w:val="00A75F95"/>
    <w:rPr>
      <w:rFonts w:ascii="Canmark" w:hAnsi="Canmark"/>
      <w:sz w:val="24"/>
      <w:szCs w:val="20"/>
      <w:lang w:val="en-CA"/>
    </w:rPr>
  </w:style>
  <w:style w:type="paragraph" w:customStyle="1" w:styleId="Indent">
    <w:name w:val="Indent"/>
    <w:basedOn w:val="Normln"/>
    <w:rsid w:val="00A75F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snapToGrid w:val="0"/>
      <w:color w:val="000000"/>
      <w:szCs w:val="20"/>
      <w:lang w:val="en-US" w:eastAsia="en-US"/>
    </w:rPr>
  </w:style>
  <w:style w:type="character" w:styleId="Sledovanodkaz">
    <w:name w:val="FollowedHyperlink"/>
    <w:rsid w:val="00A75F95"/>
    <w:rPr>
      <w:color w:val="800080"/>
      <w:u w:val="single"/>
    </w:rPr>
  </w:style>
  <w:style w:type="character" w:styleId="Siln">
    <w:name w:val="Strong"/>
    <w:qFormat/>
    <w:rsid w:val="00A75F95"/>
    <w:rPr>
      <w:b/>
      <w:bCs/>
    </w:rPr>
  </w:style>
  <w:style w:type="character" w:styleId="Zdraznn">
    <w:name w:val="Emphasis"/>
    <w:qFormat/>
    <w:rsid w:val="00A75F95"/>
    <w:rPr>
      <w:i/>
      <w:iCs/>
    </w:rPr>
  </w:style>
  <w:style w:type="paragraph" w:customStyle="1" w:styleId="DefaultParagraphFont1">
    <w:name w:val="Default Paragraph Font1"/>
    <w:next w:val="Normln"/>
    <w:rsid w:val="00A75F95"/>
    <w:pPr>
      <w:widowControl w:val="0"/>
      <w:suppressAutoHyphens/>
      <w:overflowPunct w:val="0"/>
      <w:autoSpaceDE w:val="0"/>
      <w:textAlignment w:val="baseline"/>
    </w:pPr>
    <w:rPr>
      <w:lang w:val="en-US" w:eastAsia="ar-SA"/>
    </w:rPr>
  </w:style>
  <w:style w:type="paragraph" w:customStyle="1" w:styleId="BulletTable">
    <w:name w:val="Bullet Table"/>
    <w:rsid w:val="00A75F95"/>
    <w:pPr>
      <w:numPr>
        <w:numId w:val="1"/>
      </w:numPr>
      <w:spacing w:after="40"/>
    </w:pPr>
    <w:rPr>
      <w:rFonts w:ascii="Arial" w:hAnsi="Arial"/>
      <w:sz w:val="22"/>
      <w:lang w:val="en-CA"/>
    </w:rPr>
  </w:style>
  <w:style w:type="paragraph" w:customStyle="1" w:styleId="CharCharCharCharCharChar">
    <w:name w:val="Char Char Char Char Char Char"/>
    <w:basedOn w:val="Normln"/>
    <w:rsid w:val="00A75F95"/>
    <w:pPr>
      <w:spacing w:after="160" w:line="240" w:lineRule="exact"/>
    </w:pPr>
    <w:rPr>
      <w:rFonts w:ascii="Tahoma" w:hAnsi="Tahoma"/>
      <w:sz w:val="20"/>
      <w:szCs w:val="20"/>
      <w:lang w:val="en-US" w:eastAsia="en-US"/>
    </w:rPr>
  </w:style>
  <w:style w:type="paragraph" w:customStyle="1" w:styleId="Obsahtabulky">
    <w:name w:val="Obsah tabulky"/>
    <w:basedOn w:val="Normln"/>
    <w:rsid w:val="00A75F95"/>
    <w:pPr>
      <w:widowControl w:val="0"/>
      <w:suppressLineNumbers/>
      <w:suppressAutoHyphens/>
    </w:pPr>
    <w:rPr>
      <w:sz w:val="20"/>
      <w:szCs w:val="20"/>
      <w:lang w:val="de-DE" w:eastAsia="ar-SA"/>
    </w:rPr>
  </w:style>
  <w:style w:type="paragraph" w:customStyle="1" w:styleId="Nadpistabulky">
    <w:name w:val="Nadpis tabulky"/>
    <w:basedOn w:val="Obsahtabulky"/>
    <w:rsid w:val="00A75F95"/>
    <w:pPr>
      <w:jc w:val="center"/>
    </w:pPr>
    <w:rPr>
      <w:b/>
      <w:bCs/>
      <w:i/>
      <w:iCs/>
    </w:rPr>
  </w:style>
  <w:style w:type="paragraph" w:styleId="Textbubliny">
    <w:name w:val="Balloon Text"/>
    <w:basedOn w:val="Normln"/>
    <w:semiHidden/>
    <w:rsid w:val="00F46917"/>
    <w:rPr>
      <w:rFonts w:ascii="Tahoma" w:hAnsi="Tahoma" w:cs="Tahoma"/>
      <w:sz w:val="16"/>
      <w:szCs w:val="16"/>
    </w:rPr>
  </w:style>
  <w:style w:type="table" w:styleId="Mkatabulky">
    <w:name w:val="Table Grid"/>
    <w:basedOn w:val="Normlntabulka"/>
    <w:rsid w:val="00F96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ln"/>
    <w:uiPriority w:val="99"/>
    <w:rsid w:val="000F3243"/>
    <w:pPr>
      <w:spacing w:before="100" w:beforeAutospacing="1" w:after="100" w:afterAutospacing="1"/>
    </w:pPr>
    <w:rPr>
      <w:rFonts w:eastAsia="SimSun"/>
      <w:lang w:eastAsia="zh-CN"/>
    </w:rPr>
  </w:style>
  <w:style w:type="character" w:customStyle="1" w:styleId="apple-converted-space">
    <w:name w:val="apple-converted-space"/>
    <w:basedOn w:val="Standardnpsmoodstavce"/>
    <w:rsid w:val="000F3243"/>
  </w:style>
  <w:style w:type="character" w:styleId="Odkaznakoment">
    <w:name w:val="annotation reference"/>
    <w:semiHidden/>
    <w:rsid w:val="00801291"/>
    <w:rPr>
      <w:sz w:val="16"/>
      <w:szCs w:val="16"/>
    </w:rPr>
  </w:style>
  <w:style w:type="paragraph" w:styleId="Textkomente">
    <w:name w:val="annotation text"/>
    <w:basedOn w:val="Normln"/>
    <w:semiHidden/>
    <w:rsid w:val="00801291"/>
    <w:rPr>
      <w:sz w:val="20"/>
      <w:szCs w:val="20"/>
    </w:rPr>
  </w:style>
  <w:style w:type="paragraph" w:styleId="Pedmtkomente">
    <w:name w:val="annotation subject"/>
    <w:basedOn w:val="Textkomente"/>
    <w:next w:val="Textkomente"/>
    <w:semiHidden/>
    <w:rsid w:val="00801291"/>
    <w:rPr>
      <w:b/>
      <w:bCs/>
    </w:rPr>
  </w:style>
  <w:style w:type="character" w:customStyle="1" w:styleId="ZhlavChar">
    <w:name w:val="Záhlaví Char"/>
    <w:link w:val="Zhlav"/>
    <w:uiPriority w:val="99"/>
    <w:rsid w:val="002E7649"/>
    <w:rPr>
      <w:sz w:val="24"/>
      <w:szCs w:val="24"/>
    </w:rPr>
  </w:style>
  <w:style w:type="paragraph" w:styleId="Odstavecseseznamem">
    <w:name w:val="List Paragraph"/>
    <w:basedOn w:val="Normln"/>
    <w:uiPriority w:val="34"/>
    <w:qFormat/>
    <w:rsid w:val="00F11317"/>
    <w:pPr>
      <w:ind w:left="720"/>
    </w:pPr>
    <w:rPr>
      <w:rFonts w:ascii="Calibri" w:eastAsia="Calibri" w:hAnsi="Calibri"/>
      <w:sz w:val="22"/>
      <w:szCs w:val="22"/>
    </w:rPr>
  </w:style>
  <w:style w:type="character" w:customStyle="1" w:styleId="hps">
    <w:name w:val="hps"/>
    <w:rsid w:val="00B92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06409">
      <w:bodyDiv w:val="1"/>
      <w:marLeft w:val="0"/>
      <w:marRight w:val="0"/>
      <w:marTop w:val="0"/>
      <w:marBottom w:val="0"/>
      <w:divBdr>
        <w:top w:val="none" w:sz="0" w:space="0" w:color="auto"/>
        <w:left w:val="none" w:sz="0" w:space="0" w:color="auto"/>
        <w:bottom w:val="none" w:sz="0" w:space="0" w:color="auto"/>
        <w:right w:val="none" w:sz="0" w:space="0" w:color="auto"/>
      </w:divBdr>
    </w:div>
    <w:div w:id="258761227">
      <w:bodyDiv w:val="1"/>
      <w:marLeft w:val="0"/>
      <w:marRight w:val="0"/>
      <w:marTop w:val="0"/>
      <w:marBottom w:val="0"/>
      <w:divBdr>
        <w:top w:val="none" w:sz="0" w:space="0" w:color="auto"/>
        <w:left w:val="none" w:sz="0" w:space="0" w:color="auto"/>
        <w:bottom w:val="none" w:sz="0" w:space="0" w:color="auto"/>
        <w:right w:val="none" w:sz="0" w:space="0" w:color="auto"/>
      </w:divBdr>
    </w:div>
    <w:div w:id="320041758">
      <w:bodyDiv w:val="1"/>
      <w:marLeft w:val="0"/>
      <w:marRight w:val="0"/>
      <w:marTop w:val="0"/>
      <w:marBottom w:val="0"/>
      <w:divBdr>
        <w:top w:val="none" w:sz="0" w:space="0" w:color="auto"/>
        <w:left w:val="none" w:sz="0" w:space="0" w:color="auto"/>
        <w:bottom w:val="none" w:sz="0" w:space="0" w:color="auto"/>
        <w:right w:val="none" w:sz="0" w:space="0" w:color="auto"/>
      </w:divBdr>
    </w:div>
    <w:div w:id="601108661">
      <w:bodyDiv w:val="1"/>
      <w:marLeft w:val="0"/>
      <w:marRight w:val="0"/>
      <w:marTop w:val="0"/>
      <w:marBottom w:val="0"/>
      <w:divBdr>
        <w:top w:val="none" w:sz="0" w:space="0" w:color="auto"/>
        <w:left w:val="none" w:sz="0" w:space="0" w:color="auto"/>
        <w:bottom w:val="none" w:sz="0" w:space="0" w:color="auto"/>
        <w:right w:val="none" w:sz="0" w:space="0" w:color="auto"/>
      </w:divBdr>
    </w:div>
    <w:div w:id="868757828">
      <w:bodyDiv w:val="1"/>
      <w:marLeft w:val="0"/>
      <w:marRight w:val="0"/>
      <w:marTop w:val="0"/>
      <w:marBottom w:val="0"/>
      <w:divBdr>
        <w:top w:val="none" w:sz="0" w:space="0" w:color="auto"/>
        <w:left w:val="none" w:sz="0" w:space="0" w:color="auto"/>
        <w:bottom w:val="none" w:sz="0" w:space="0" w:color="auto"/>
        <w:right w:val="none" w:sz="0" w:space="0" w:color="auto"/>
      </w:divBdr>
    </w:div>
    <w:div w:id="1043022190">
      <w:bodyDiv w:val="1"/>
      <w:marLeft w:val="0"/>
      <w:marRight w:val="0"/>
      <w:marTop w:val="0"/>
      <w:marBottom w:val="0"/>
      <w:divBdr>
        <w:top w:val="none" w:sz="0" w:space="0" w:color="auto"/>
        <w:left w:val="none" w:sz="0" w:space="0" w:color="auto"/>
        <w:bottom w:val="none" w:sz="0" w:space="0" w:color="auto"/>
        <w:right w:val="none" w:sz="0" w:space="0" w:color="auto"/>
      </w:divBdr>
    </w:div>
    <w:div w:id="1245840219">
      <w:bodyDiv w:val="1"/>
      <w:marLeft w:val="0"/>
      <w:marRight w:val="0"/>
      <w:marTop w:val="0"/>
      <w:marBottom w:val="0"/>
      <w:divBdr>
        <w:top w:val="none" w:sz="0" w:space="0" w:color="auto"/>
        <w:left w:val="none" w:sz="0" w:space="0" w:color="auto"/>
        <w:bottom w:val="none" w:sz="0" w:space="0" w:color="auto"/>
        <w:right w:val="none" w:sz="0" w:space="0" w:color="auto"/>
      </w:divBdr>
    </w:div>
    <w:div w:id="1307512625">
      <w:bodyDiv w:val="1"/>
      <w:marLeft w:val="0"/>
      <w:marRight w:val="0"/>
      <w:marTop w:val="0"/>
      <w:marBottom w:val="0"/>
      <w:divBdr>
        <w:top w:val="none" w:sz="0" w:space="0" w:color="auto"/>
        <w:left w:val="none" w:sz="0" w:space="0" w:color="auto"/>
        <w:bottom w:val="none" w:sz="0" w:space="0" w:color="auto"/>
        <w:right w:val="none" w:sz="0" w:space="0" w:color="auto"/>
      </w:divBdr>
    </w:div>
    <w:div w:id="1332299223">
      <w:bodyDiv w:val="1"/>
      <w:marLeft w:val="0"/>
      <w:marRight w:val="0"/>
      <w:marTop w:val="0"/>
      <w:marBottom w:val="0"/>
      <w:divBdr>
        <w:top w:val="none" w:sz="0" w:space="0" w:color="auto"/>
        <w:left w:val="none" w:sz="0" w:space="0" w:color="auto"/>
        <w:bottom w:val="none" w:sz="0" w:space="0" w:color="auto"/>
        <w:right w:val="none" w:sz="0" w:space="0" w:color="auto"/>
      </w:divBdr>
    </w:div>
    <w:div w:id="1381055743">
      <w:bodyDiv w:val="1"/>
      <w:marLeft w:val="0"/>
      <w:marRight w:val="0"/>
      <w:marTop w:val="0"/>
      <w:marBottom w:val="0"/>
      <w:divBdr>
        <w:top w:val="none" w:sz="0" w:space="0" w:color="auto"/>
        <w:left w:val="none" w:sz="0" w:space="0" w:color="auto"/>
        <w:bottom w:val="none" w:sz="0" w:space="0" w:color="auto"/>
        <w:right w:val="none" w:sz="0" w:space="0" w:color="auto"/>
      </w:divBdr>
    </w:div>
    <w:div w:id="1419860286">
      <w:bodyDiv w:val="1"/>
      <w:marLeft w:val="0"/>
      <w:marRight w:val="0"/>
      <w:marTop w:val="0"/>
      <w:marBottom w:val="0"/>
      <w:divBdr>
        <w:top w:val="none" w:sz="0" w:space="0" w:color="auto"/>
        <w:left w:val="none" w:sz="0" w:space="0" w:color="auto"/>
        <w:bottom w:val="none" w:sz="0" w:space="0" w:color="auto"/>
        <w:right w:val="none" w:sz="0" w:space="0" w:color="auto"/>
      </w:divBdr>
    </w:div>
    <w:div w:id="1466924144">
      <w:bodyDiv w:val="1"/>
      <w:marLeft w:val="0"/>
      <w:marRight w:val="0"/>
      <w:marTop w:val="0"/>
      <w:marBottom w:val="0"/>
      <w:divBdr>
        <w:top w:val="none" w:sz="0" w:space="0" w:color="auto"/>
        <w:left w:val="none" w:sz="0" w:space="0" w:color="auto"/>
        <w:bottom w:val="none" w:sz="0" w:space="0" w:color="auto"/>
        <w:right w:val="none" w:sz="0" w:space="0" w:color="auto"/>
      </w:divBdr>
    </w:div>
    <w:div w:id="1502115600">
      <w:bodyDiv w:val="1"/>
      <w:marLeft w:val="0"/>
      <w:marRight w:val="0"/>
      <w:marTop w:val="0"/>
      <w:marBottom w:val="0"/>
      <w:divBdr>
        <w:top w:val="none" w:sz="0" w:space="0" w:color="auto"/>
        <w:left w:val="none" w:sz="0" w:space="0" w:color="auto"/>
        <w:bottom w:val="none" w:sz="0" w:space="0" w:color="auto"/>
        <w:right w:val="none" w:sz="0" w:space="0" w:color="auto"/>
      </w:divBdr>
    </w:div>
    <w:div w:id="1534880613">
      <w:bodyDiv w:val="1"/>
      <w:marLeft w:val="0"/>
      <w:marRight w:val="0"/>
      <w:marTop w:val="0"/>
      <w:marBottom w:val="0"/>
      <w:divBdr>
        <w:top w:val="none" w:sz="0" w:space="0" w:color="auto"/>
        <w:left w:val="none" w:sz="0" w:space="0" w:color="auto"/>
        <w:bottom w:val="none" w:sz="0" w:space="0" w:color="auto"/>
        <w:right w:val="none" w:sz="0" w:space="0" w:color="auto"/>
      </w:divBdr>
    </w:div>
    <w:div w:id="1542011908">
      <w:bodyDiv w:val="1"/>
      <w:marLeft w:val="0"/>
      <w:marRight w:val="0"/>
      <w:marTop w:val="0"/>
      <w:marBottom w:val="0"/>
      <w:divBdr>
        <w:top w:val="none" w:sz="0" w:space="0" w:color="auto"/>
        <w:left w:val="none" w:sz="0" w:space="0" w:color="auto"/>
        <w:bottom w:val="none" w:sz="0" w:space="0" w:color="auto"/>
        <w:right w:val="none" w:sz="0" w:space="0" w:color="auto"/>
      </w:divBdr>
    </w:div>
    <w:div w:id="1583028704">
      <w:bodyDiv w:val="1"/>
      <w:marLeft w:val="0"/>
      <w:marRight w:val="0"/>
      <w:marTop w:val="0"/>
      <w:marBottom w:val="0"/>
      <w:divBdr>
        <w:top w:val="none" w:sz="0" w:space="0" w:color="auto"/>
        <w:left w:val="none" w:sz="0" w:space="0" w:color="auto"/>
        <w:bottom w:val="none" w:sz="0" w:space="0" w:color="auto"/>
        <w:right w:val="none" w:sz="0" w:space="0" w:color="auto"/>
      </w:divBdr>
    </w:div>
    <w:div w:id="1680044041">
      <w:bodyDiv w:val="1"/>
      <w:marLeft w:val="0"/>
      <w:marRight w:val="0"/>
      <w:marTop w:val="0"/>
      <w:marBottom w:val="0"/>
      <w:divBdr>
        <w:top w:val="none" w:sz="0" w:space="0" w:color="auto"/>
        <w:left w:val="none" w:sz="0" w:space="0" w:color="auto"/>
        <w:bottom w:val="none" w:sz="0" w:space="0" w:color="auto"/>
        <w:right w:val="none" w:sz="0" w:space="0" w:color="auto"/>
      </w:divBdr>
    </w:div>
    <w:div w:id="1713069881">
      <w:bodyDiv w:val="1"/>
      <w:marLeft w:val="0"/>
      <w:marRight w:val="0"/>
      <w:marTop w:val="0"/>
      <w:marBottom w:val="0"/>
      <w:divBdr>
        <w:top w:val="none" w:sz="0" w:space="0" w:color="auto"/>
        <w:left w:val="none" w:sz="0" w:space="0" w:color="auto"/>
        <w:bottom w:val="none" w:sz="0" w:space="0" w:color="auto"/>
        <w:right w:val="none" w:sz="0" w:space="0" w:color="auto"/>
      </w:divBdr>
    </w:div>
    <w:div w:id="183922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eec.eu"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898</Words>
  <Characters>5300</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CEEC Research dotaznik</vt:lpstr>
    </vt:vector>
  </TitlesOfParts>
  <Company>CEEC Research</Company>
  <LinksUpToDate>false</LinksUpToDate>
  <CharactersWithSpaces>6186</CharactersWithSpaces>
  <SharedDoc>false</SharedDoc>
  <HLinks>
    <vt:vector size="6" baseType="variant">
      <vt:variant>
        <vt:i4>7733299</vt:i4>
      </vt:variant>
      <vt:variant>
        <vt:i4>0</vt:i4>
      </vt:variant>
      <vt:variant>
        <vt:i4>0</vt:i4>
      </vt:variant>
      <vt:variant>
        <vt:i4>5</vt:i4>
      </vt:variant>
      <vt:variant>
        <vt:lpwstr>http://www.ceec.eu/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CEEC Research dotaznik</dc:title>
  <dc:creator>CEEC Research</dc:creator>
  <cp:lastModifiedBy>Jiří Vacek</cp:lastModifiedBy>
  <cp:revision>11</cp:revision>
  <cp:lastPrinted>2014-08-05T05:59:00Z</cp:lastPrinted>
  <dcterms:created xsi:type="dcterms:W3CDTF">2017-10-05T15:38:00Z</dcterms:created>
  <dcterms:modified xsi:type="dcterms:W3CDTF">2017-10-06T05:31:00Z</dcterms:modified>
</cp:coreProperties>
</file>