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F5D" w:rsidRPr="00AA2C9B" w:rsidRDefault="00E11F5D" w:rsidP="00170C56">
      <w:pPr>
        <w:spacing w:line="360" w:lineRule="auto"/>
        <w:jc w:val="center"/>
        <w:rPr>
          <w:b/>
          <w:bCs/>
          <w:sz w:val="32"/>
          <w:szCs w:val="32"/>
        </w:rPr>
      </w:pPr>
      <w:r>
        <w:rPr>
          <w:b/>
          <w:bCs/>
          <w:sz w:val="32"/>
          <w:szCs w:val="32"/>
        </w:rPr>
        <w:t>Objem vyhlásených verejných investícií zaznamenal v prvých siedmich mesiacoch tohto roka nárast o 66,4 percenta</w:t>
      </w:r>
    </w:p>
    <w:p w:rsidR="00E11F5D" w:rsidRDefault="005C7F82" w:rsidP="00E11F5D">
      <w:pPr>
        <w:spacing w:line="360" w:lineRule="auto"/>
        <w:jc w:val="both"/>
        <w:rPr>
          <w:b/>
          <w:bCs/>
        </w:rPr>
      </w:pPr>
      <w:r>
        <w:rPr>
          <w:b/>
          <w:bCs/>
        </w:rPr>
        <w:t>Bratislava 3</w:t>
      </w:r>
      <w:bookmarkStart w:id="0" w:name="_GoBack"/>
      <w:bookmarkEnd w:id="0"/>
      <w:r w:rsidR="00E11F5D">
        <w:rPr>
          <w:b/>
          <w:bCs/>
        </w:rPr>
        <w:t xml:space="preserve">. októbra 2017 – Od januára do júla tohto roka </w:t>
      </w:r>
      <w:r w:rsidR="00E11F5D" w:rsidRPr="00AA2C9B">
        <w:rPr>
          <w:b/>
          <w:bCs/>
        </w:rPr>
        <w:t>vyhlásili investori celkom 3</w:t>
      </w:r>
      <w:r w:rsidR="00E11F5D">
        <w:rPr>
          <w:b/>
          <w:bCs/>
        </w:rPr>
        <w:t xml:space="preserve"> </w:t>
      </w:r>
      <w:r w:rsidR="00E11F5D" w:rsidRPr="00AA2C9B">
        <w:rPr>
          <w:b/>
          <w:bCs/>
        </w:rPr>
        <w:t>086 verejných obstarávaní v celkovej hodnote 3,94 miliardy EUR. Z hľadiska ich počtu</w:t>
      </w:r>
      <w:r w:rsidR="00E11F5D">
        <w:rPr>
          <w:b/>
          <w:bCs/>
        </w:rPr>
        <w:t xml:space="preserve"> ide, oproti porovnateľnému obdobiu minulého roka, o desatinový pokles, </w:t>
      </w:r>
      <w:r w:rsidR="00E11F5D" w:rsidRPr="00AA2C9B">
        <w:rPr>
          <w:b/>
          <w:bCs/>
        </w:rPr>
        <w:t>avšak objem investícií</w:t>
      </w:r>
      <w:r w:rsidR="00E11F5D">
        <w:rPr>
          <w:b/>
          <w:bCs/>
        </w:rPr>
        <w:t>,</w:t>
      </w:r>
      <w:r w:rsidR="00E11F5D" w:rsidRPr="00AA2C9B">
        <w:rPr>
          <w:b/>
          <w:bCs/>
        </w:rPr>
        <w:t xml:space="preserve"> naopak</w:t>
      </w:r>
      <w:r w:rsidR="00E11F5D">
        <w:rPr>
          <w:b/>
          <w:bCs/>
        </w:rPr>
        <w:t>,</w:t>
      </w:r>
      <w:r w:rsidR="00E11F5D" w:rsidRPr="00AA2C9B">
        <w:rPr>
          <w:b/>
          <w:bCs/>
        </w:rPr>
        <w:t xml:space="preserve"> zaznamenal významný </w:t>
      </w:r>
      <w:r w:rsidR="00E11F5D">
        <w:rPr>
          <w:b/>
          <w:bCs/>
        </w:rPr>
        <w:t>dvojtr</w:t>
      </w:r>
      <w:r w:rsidR="00E11F5D" w:rsidRPr="00AA2C9B">
        <w:rPr>
          <w:b/>
          <w:bCs/>
        </w:rPr>
        <w:t>etinový nárast. Aktivita</w:t>
      </w:r>
      <w:r w:rsidR="00E11F5D">
        <w:rPr>
          <w:b/>
          <w:bCs/>
        </w:rPr>
        <w:t xml:space="preserve"> investorov v ukončovaní vyhlásených obstarávaní však naďalej vykazuje zápornú bilanciu, a to z hľadiska ich počtu aj objemu. </w:t>
      </w:r>
      <w:r w:rsidR="00E11F5D" w:rsidRPr="00AA2C9B">
        <w:rPr>
          <w:b/>
          <w:bCs/>
        </w:rPr>
        <w:t>Vyplýva to z najnovšej analýzy spracovanej analytickou spoločnosťou CEEC Research na základe údajov poskytnutých Úradom pre ver</w:t>
      </w:r>
      <w:r w:rsidR="00E11F5D">
        <w:rPr>
          <w:b/>
          <w:bCs/>
        </w:rPr>
        <w:t>ejné obstarávanie ku koncu júla</w:t>
      </w:r>
      <w:r w:rsidR="00E11F5D" w:rsidRPr="00AA2C9B">
        <w:rPr>
          <w:b/>
          <w:bCs/>
        </w:rPr>
        <w:t xml:space="preserve"> 2017. </w:t>
      </w:r>
    </w:p>
    <w:p w:rsidR="00E11F5D" w:rsidRPr="00AA2C9B" w:rsidRDefault="00E11F5D" w:rsidP="00E253F5">
      <w:pPr>
        <w:spacing w:line="360" w:lineRule="auto"/>
        <w:jc w:val="both"/>
        <w:rPr>
          <w:rStyle w:val="Hypertextovodkaz"/>
          <w:rFonts w:cs="Arial"/>
          <w:color w:val="auto"/>
          <w:u w:val="none"/>
        </w:rPr>
      </w:pPr>
      <w:r>
        <w:rPr>
          <w:rStyle w:val="Hypertextovodkaz"/>
          <w:rFonts w:cs="Arial"/>
          <w:color w:val="auto"/>
          <w:u w:val="none"/>
        </w:rPr>
        <w:t xml:space="preserve">V júli tohto roka </w:t>
      </w:r>
      <w:r w:rsidRPr="00AA2C9B">
        <w:rPr>
          <w:rStyle w:val="Hypertextovodkaz"/>
          <w:rFonts w:cs="Arial"/>
          <w:color w:val="auto"/>
          <w:u w:val="none"/>
        </w:rPr>
        <w:t>vyhlásili verejní obstarávatelia, obstarávatelia a subjekty, ktorým bola poskytnutá dotácia 246 verejných obstarávaní v celkovej hodnote 300 miliónov EUR, čo v medziročnom porovnaní predstavuje</w:t>
      </w:r>
      <w:r>
        <w:rPr>
          <w:rStyle w:val="Hypertextovodkaz"/>
          <w:rFonts w:cs="Arial"/>
          <w:color w:val="auto"/>
          <w:u w:val="none"/>
        </w:rPr>
        <w:t xml:space="preserve"> trojpercentný pokles </w:t>
      </w:r>
      <w:r w:rsidRPr="00AA2C9B">
        <w:rPr>
          <w:rStyle w:val="Hypertextovodkaz"/>
          <w:rFonts w:cs="Arial"/>
          <w:color w:val="auto"/>
          <w:u w:val="none"/>
        </w:rPr>
        <w:t>(2,8</w:t>
      </w:r>
      <w:r w:rsidR="00A86316">
        <w:rPr>
          <w:rStyle w:val="Hypertextovodkaz"/>
          <w:rFonts w:cs="Arial"/>
          <w:color w:val="auto"/>
          <w:u w:val="none"/>
        </w:rPr>
        <w:t xml:space="preserve"> </w:t>
      </w:r>
      <w:r w:rsidRPr="00AA2C9B">
        <w:rPr>
          <w:rStyle w:val="Hypertextovodkaz"/>
          <w:rFonts w:cs="Arial"/>
          <w:color w:val="auto"/>
          <w:u w:val="none"/>
        </w:rPr>
        <w:t>%) počtu vyhlásených obstarávaní a</w:t>
      </w:r>
      <w:r>
        <w:rPr>
          <w:rStyle w:val="Hypertextovodkaz"/>
          <w:rFonts w:cs="Arial"/>
          <w:color w:val="auto"/>
          <w:u w:val="none"/>
        </w:rPr>
        <w:t> </w:t>
      </w:r>
      <w:r w:rsidRPr="00AA2C9B">
        <w:rPr>
          <w:rStyle w:val="Hypertextovodkaz"/>
          <w:rFonts w:cs="Arial"/>
          <w:color w:val="auto"/>
          <w:u w:val="none"/>
        </w:rPr>
        <w:t>zároveň</w:t>
      </w:r>
      <w:r>
        <w:rPr>
          <w:rStyle w:val="Hypertextovodkaz"/>
          <w:rFonts w:cs="Arial"/>
          <w:color w:val="auto"/>
          <w:u w:val="none"/>
        </w:rPr>
        <w:t xml:space="preserve"> polovičný </w:t>
      </w:r>
      <w:r w:rsidRPr="00AA2C9B">
        <w:rPr>
          <w:rStyle w:val="Hypertextovodkaz"/>
          <w:rFonts w:cs="Arial"/>
          <w:color w:val="auto"/>
          <w:u w:val="none"/>
        </w:rPr>
        <w:t>(49,0 %) nárast objemu</w:t>
      </w:r>
      <w:r>
        <w:rPr>
          <w:rStyle w:val="Hypertextovodkaz"/>
          <w:rFonts w:cs="Arial"/>
          <w:color w:val="auto"/>
          <w:u w:val="none"/>
        </w:rPr>
        <w:t xml:space="preserve"> verejných investícií.</w:t>
      </w:r>
    </w:p>
    <w:p w:rsidR="00E253F5" w:rsidRDefault="00E11F5D" w:rsidP="00DC5311">
      <w:pPr>
        <w:spacing w:line="360" w:lineRule="auto"/>
        <w:jc w:val="both"/>
        <w:rPr>
          <w:rStyle w:val="Hypertextovodkaz"/>
          <w:rFonts w:cs="Arial"/>
          <w:b/>
          <w:bCs/>
          <w:color w:val="auto"/>
          <w:u w:val="none"/>
        </w:rPr>
      </w:pPr>
      <w:r>
        <w:rPr>
          <w:rStyle w:val="Hypertextovodkaz"/>
          <w:rFonts w:cs="Arial"/>
          <w:color w:val="auto"/>
          <w:u w:val="none"/>
        </w:rPr>
        <w:t>Od januára do júla</w:t>
      </w:r>
      <w:r w:rsidR="00E253F5" w:rsidRPr="00AA2C9B">
        <w:rPr>
          <w:rStyle w:val="Hypertextovodkaz"/>
          <w:rFonts w:cs="Arial"/>
          <w:color w:val="auto"/>
          <w:u w:val="none"/>
        </w:rPr>
        <w:t xml:space="preserve"> 2017 </w:t>
      </w:r>
      <w:r w:rsidR="00E253F5" w:rsidRPr="00AA2C9B">
        <w:rPr>
          <w:rFonts w:cs="Arial"/>
          <w:color w:val="000000"/>
          <w:szCs w:val="20"/>
          <w:shd w:val="clear" w:color="auto" w:fill="FFFFFF"/>
        </w:rPr>
        <w:t xml:space="preserve">bolo vo </w:t>
      </w:r>
      <w:r w:rsidR="00E253F5" w:rsidRPr="00AA2C9B">
        <w:rPr>
          <w:rStyle w:val="Hypertextovodkaz"/>
          <w:rFonts w:cs="Arial"/>
          <w:color w:val="auto"/>
          <w:u w:val="none"/>
        </w:rPr>
        <w:t>Vestníku verejného ob</w:t>
      </w:r>
      <w:r w:rsidR="00402409" w:rsidRPr="00AA2C9B">
        <w:rPr>
          <w:rStyle w:val="Hypertextovodkaz"/>
          <w:rFonts w:cs="Arial"/>
          <w:color w:val="auto"/>
          <w:u w:val="none"/>
        </w:rPr>
        <w:t>starávania zverejnených celkom 3</w:t>
      </w:r>
      <w:r>
        <w:rPr>
          <w:rStyle w:val="Hypertextovodkaz"/>
          <w:rFonts w:cs="Arial"/>
          <w:color w:val="auto"/>
          <w:u w:val="none"/>
        </w:rPr>
        <w:t xml:space="preserve"> </w:t>
      </w:r>
      <w:r w:rsidR="00402409" w:rsidRPr="00AA2C9B">
        <w:rPr>
          <w:rStyle w:val="Hypertextovodkaz"/>
          <w:rFonts w:cs="Arial"/>
          <w:color w:val="auto"/>
          <w:u w:val="none"/>
        </w:rPr>
        <w:t>086</w:t>
      </w:r>
      <w:r w:rsidR="00E253F5" w:rsidRPr="00AA2C9B">
        <w:rPr>
          <w:rStyle w:val="Hypertextovodkaz"/>
          <w:rFonts w:cs="Arial"/>
          <w:color w:val="auto"/>
          <w:u w:val="none"/>
        </w:rPr>
        <w:t xml:space="preserve"> zákaziek</w:t>
      </w:r>
      <w:r w:rsidR="00402409" w:rsidRPr="00AA2C9B">
        <w:rPr>
          <w:rStyle w:val="Hypertextovodkaz"/>
          <w:rFonts w:cs="Arial"/>
          <w:color w:val="auto"/>
          <w:u w:val="none"/>
        </w:rPr>
        <w:t xml:space="preserve"> v celkovej hodnote 3,94</w:t>
      </w:r>
      <w:r w:rsidR="00E253F5" w:rsidRPr="00AA2C9B">
        <w:rPr>
          <w:rStyle w:val="Hypertextovodkaz"/>
          <w:rFonts w:cs="Arial"/>
          <w:color w:val="auto"/>
          <w:u w:val="none"/>
        </w:rPr>
        <w:t xml:space="preserve"> miliardy EUR. </w:t>
      </w:r>
      <w:r w:rsidR="000B7E0E" w:rsidRPr="00AA2C9B">
        <w:rPr>
          <w:rStyle w:val="Hypertextovodkaz"/>
          <w:rFonts w:cs="Arial"/>
          <w:color w:val="auto"/>
          <w:u w:val="none"/>
        </w:rPr>
        <w:t>O</w:t>
      </w:r>
      <w:r>
        <w:rPr>
          <w:rStyle w:val="Hypertextovodkaz"/>
          <w:rFonts w:cs="Arial"/>
          <w:color w:val="auto"/>
          <w:u w:val="none"/>
        </w:rPr>
        <w:t>proti porovnateľ</w:t>
      </w:r>
      <w:r w:rsidR="00402409" w:rsidRPr="00AA2C9B">
        <w:rPr>
          <w:rStyle w:val="Hypertextovodkaz"/>
          <w:rFonts w:cs="Arial"/>
          <w:color w:val="auto"/>
          <w:u w:val="none"/>
        </w:rPr>
        <w:t>ném</w:t>
      </w:r>
      <w:r>
        <w:rPr>
          <w:rStyle w:val="Hypertextovodkaz"/>
          <w:rFonts w:cs="Arial"/>
          <w:color w:val="auto"/>
          <w:u w:val="none"/>
        </w:rPr>
        <w:t>u obdobiu minulého roka</w:t>
      </w:r>
      <w:r w:rsidR="000B7E0E" w:rsidRPr="00AA2C9B">
        <w:rPr>
          <w:rStyle w:val="Hypertextovodkaz"/>
          <w:rFonts w:cs="Arial"/>
          <w:color w:val="auto"/>
          <w:u w:val="none"/>
        </w:rPr>
        <w:t xml:space="preserve"> to</w:t>
      </w:r>
      <w:r>
        <w:rPr>
          <w:rStyle w:val="Hypertextovodkaz"/>
          <w:rFonts w:cs="Arial"/>
          <w:color w:val="auto"/>
          <w:u w:val="none"/>
        </w:rPr>
        <w:t xml:space="preserve"> síce predstavuje desa</w:t>
      </w:r>
      <w:r w:rsidR="00402409" w:rsidRPr="00AA2C9B">
        <w:rPr>
          <w:rStyle w:val="Hypertextovodkaz"/>
          <w:rFonts w:cs="Arial"/>
          <w:color w:val="auto"/>
          <w:u w:val="none"/>
        </w:rPr>
        <w:t>tinový (12,7</w:t>
      </w:r>
      <w:r w:rsidR="00E253F5" w:rsidRPr="00AA2C9B">
        <w:rPr>
          <w:rStyle w:val="Hypertextovodkaz"/>
          <w:rFonts w:cs="Arial"/>
          <w:color w:val="auto"/>
          <w:u w:val="none"/>
        </w:rPr>
        <w:t xml:space="preserve"> %) pokles počtu vyhlásených verejných obstarávaní, ale zároveň i</w:t>
      </w:r>
      <w:r>
        <w:rPr>
          <w:rStyle w:val="Hypertextovodkaz"/>
          <w:rFonts w:cs="Arial"/>
          <w:color w:val="auto"/>
          <w:u w:val="none"/>
        </w:rPr>
        <w:t>de medziročne o dvojtr</w:t>
      </w:r>
      <w:r w:rsidR="00402409" w:rsidRPr="00AA2C9B">
        <w:rPr>
          <w:rStyle w:val="Hypertextovodkaz"/>
          <w:rFonts w:cs="Arial"/>
          <w:color w:val="auto"/>
          <w:u w:val="none"/>
        </w:rPr>
        <w:t>etinový (66,4</w:t>
      </w:r>
      <w:r w:rsidR="00E253F5" w:rsidRPr="00AA2C9B">
        <w:rPr>
          <w:rStyle w:val="Hypertextovodkaz"/>
          <w:rFonts w:cs="Arial"/>
          <w:color w:val="auto"/>
          <w:u w:val="none"/>
        </w:rPr>
        <w:t xml:space="preserve"> %) nárast objemu </w:t>
      </w:r>
      <w:r w:rsidR="008B1E11" w:rsidRPr="00AA2C9B">
        <w:rPr>
          <w:rStyle w:val="Hypertextovodkaz"/>
          <w:rFonts w:cs="Arial"/>
          <w:color w:val="auto"/>
          <w:u w:val="none"/>
        </w:rPr>
        <w:t>verejných investícií. Toto</w:t>
      </w:r>
      <w:r w:rsidR="00E253F5" w:rsidRPr="00AA2C9B">
        <w:rPr>
          <w:rStyle w:val="Hypertextovodkaz"/>
          <w:rFonts w:cs="Arial"/>
          <w:color w:val="auto"/>
          <w:u w:val="none"/>
        </w:rPr>
        <w:t xml:space="preserve"> porovnanie pritom najviac ovplyvnila zákazka zadávateľa ŽSR z januára 2017 (Modernizácia železničnej trate Devínska Nová Ves – štátna hranica SR/ČR) v celkovej hodnote 305 miliónov EUR. Po modelovom odčítaní tejto zákazky by sme následne dostali medzi</w:t>
      </w:r>
      <w:r w:rsidR="008810D7" w:rsidRPr="00AA2C9B">
        <w:rPr>
          <w:rStyle w:val="Hypertextovodkaz"/>
          <w:rFonts w:cs="Arial"/>
          <w:color w:val="auto"/>
          <w:u w:val="none"/>
        </w:rPr>
        <w:t>ročný rast hodnoty zákaziek o 53</w:t>
      </w:r>
      <w:r w:rsidR="00E253F5" w:rsidRPr="00AA2C9B">
        <w:rPr>
          <w:rStyle w:val="Hypertextovodkaz"/>
          <w:rFonts w:cs="Arial"/>
          <w:color w:val="auto"/>
          <w:u w:val="none"/>
        </w:rPr>
        <w:t xml:space="preserve">,5 %. </w:t>
      </w:r>
      <w:r w:rsidR="002A27B0" w:rsidRPr="00AA2C9B">
        <w:rPr>
          <w:rStyle w:val="Hypertextovodkaz"/>
          <w:rFonts w:cs="Arial"/>
          <w:i/>
          <w:iCs/>
          <w:color w:val="auto"/>
          <w:u w:val="none"/>
        </w:rPr>
        <w:t>„Z hľadiska celospoločenských potrieb, teda toho</w:t>
      </w:r>
      <w:r>
        <w:rPr>
          <w:rStyle w:val="Hypertextovodkaz"/>
          <w:rFonts w:cs="Arial"/>
          <w:i/>
          <w:iCs/>
          <w:color w:val="auto"/>
          <w:u w:val="none"/>
        </w:rPr>
        <w:t>,</w:t>
      </w:r>
      <w:r w:rsidR="002A27B0" w:rsidRPr="00AA2C9B">
        <w:rPr>
          <w:rStyle w:val="Hypertextovodkaz"/>
          <w:rFonts w:cs="Arial"/>
          <w:i/>
          <w:iCs/>
          <w:color w:val="auto"/>
          <w:u w:val="none"/>
        </w:rPr>
        <w:t xml:space="preserve"> aký by mala a mohla mať naša krajina vzhľad a funkčnosť (stav dopravnej infraštruktúry, urbanizmu, rozvoja a riadenia miest a regiónov)</w:t>
      </w:r>
      <w:r w:rsidR="00A86316">
        <w:rPr>
          <w:rStyle w:val="Hypertextovodkaz"/>
          <w:rFonts w:cs="Arial"/>
          <w:i/>
          <w:iCs/>
          <w:color w:val="auto"/>
          <w:u w:val="none"/>
        </w:rPr>
        <w:t>,</w:t>
      </w:r>
      <w:r w:rsidR="002A27B0" w:rsidRPr="00AA2C9B">
        <w:rPr>
          <w:rStyle w:val="Hypertextovodkaz"/>
          <w:rFonts w:cs="Arial"/>
          <w:i/>
          <w:iCs/>
          <w:color w:val="auto"/>
          <w:u w:val="none"/>
        </w:rPr>
        <w:t xml:space="preserve"> je súčasná výstavba určite nedostačujúca. Príčinou však nie je len „nedostatok peňazí“</w:t>
      </w:r>
      <w:r>
        <w:rPr>
          <w:rStyle w:val="Hypertextovodkaz"/>
          <w:rFonts w:cs="Arial"/>
          <w:i/>
          <w:iCs/>
          <w:color w:val="auto"/>
          <w:u w:val="none"/>
        </w:rPr>
        <w:t>,</w:t>
      </w:r>
      <w:r w:rsidR="002A27B0" w:rsidRPr="00AA2C9B">
        <w:rPr>
          <w:rStyle w:val="Hypertextovodkaz"/>
          <w:rFonts w:cs="Arial"/>
          <w:i/>
          <w:iCs/>
          <w:color w:val="auto"/>
          <w:u w:val="none"/>
        </w:rPr>
        <w:t xml:space="preserve"> ale predovšetkým príprava. Stačí obmedziť pohľad na menšie územné celky – mestá a regióny, chýba kvalitné a reálne plánovanie budúcnosti, ich rozvoja, čo by vo veľkej miere bolo prospešné aj pre zmysluplný rozvoj stavebníctva ako takého,“</w:t>
      </w:r>
      <w:r>
        <w:rPr>
          <w:rStyle w:val="Hypertextovodkaz"/>
          <w:rFonts w:cs="Arial"/>
          <w:color w:val="auto"/>
          <w:u w:val="none"/>
        </w:rPr>
        <w:t xml:space="preserve"> hovorí</w:t>
      </w:r>
      <w:r w:rsidR="002A27B0" w:rsidRPr="00AA2C9B">
        <w:rPr>
          <w:rStyle w:val="Hypertextovodkaz"/>
          <w:rFonts w:cs="Arial"/>
          <w:color w:val="auto"/>
          <w:u w:val="none"/>
        </w:rPr>
        <w:t xml:space="preserve"> </w:t>
      </w:r>
      <w:r w:rsidR="002A27B0" w:rsidRPr="00AA2C9B">
        <w:rPr>
          <w:rStyle w:val="Hypertextovodkaz"/>
          <w:rFonts w:cs="Arial"/>
          <w:b/>
          <w:bCs/>
          <w:color w:val="auto"/>
          <w:u w:val="none"/>
        </w:rPr>
        <w:t>Dušan Jasečko, generálny riaditeľ, Keraming a.</w:t>
      </w:r>
      <w:r>
        <w:rPr>
          <w:rStyle w:val="Hypertextovodkaz"/>
          <w:rFonts w:cs="Arial"/>
          <w:b/>
          <w:bCs/>
          <w:color w:val="auto"/>
          <w:u w:val="none"/>
        </w:rPr>
        <w:t xml:space="preserve"> </w:t>
      </w:r>
      <w:r w:rsidR="002A27B0" w:rsidRPr="00AA2C9B">
        <w:rPr>
          <w:rStyle w:val="Hypertextovodkaz"/>
          <w:rFonts w:cs="Arial"/>
          <w:b/>
          <w:bCs/>
          <w:color w:val="auto"/>
          <w:u w:val="none"/>
        </w:rPr>
        <w:t>s.</w:t>
      </w:r>
    </w:p>
    <w:p w:rsidR="00E11F5D" w:rsidRDefault="00E11F5D" w:rsidP="00DC5311">
      <w:pPr>
        <w:spacing w:line="360" w:lineRule="auto"/>
        <w:jc w:val="both"/>
        <w:rPr>
          <w:rStyle w:val="Hypertextovodkaz"/>
          <w:rFonts w:cs="Arial"/>
          <w:b/>
          <w:bCs/>
          <w:color w:val="auto"/>
          <w:u w:val="none"/>
        </w:rPr>
      </w:pPr>
    </w:p>
    <w:p w:rsidR="00E11F5D" w:rsidRDefault="00E11F5D" w:rsidP="00DC5311">
      <w:pPr>
        <w:spacing w:line="360" w:lineRule="auto"/>
        <w:jc w:val="both"/>
        <w:rPr>
          <w:rStyle w:val="Hypertextovodkaz"/>
          <w:rFonts w:cs="Arial"/>
          <w:b/>
          <w:bCs/>
          <w:color w:val="auto"/>
          <w:u w:val="none"/>
        </w:rPr>
      </w:pPr>
    </w:p>
    <w:p w:rsidR="00601270" w:rsidRPr="00AA2C9B" w:rsidRDefault="00601270" w:rsidP="00DC5311">
      <w:pPr>
        <w:spacing w:line="360" w:lineRule="auto"/>
        <w:jc w:val="both"/>
        <w:rPr>
          <w:rFonts w:ascii="Arial" w:eastAsia="Times New Roman" w:hAnsi="Arial" w:cs="Times New Roman"/>
          <w:bCs/>
          <w:sz w:val="20"/>
          <w:szCs w:val="24"/>
          <w:lang w:eastAsia="cs-CZ"/>
        </w:rPr>
      </w:pPr>
      <w:r w:rsidRPr="00AA2C9B">
        <w:rPr>
          <w:rFonts w:ascii="Arial" w:eastAsia="Times New Roman" w:hAnsi="Arial" w:cs="Times New Roman"/>
          <w:b/>
          <w:bCs/>
          <w:sz w:val="20"/>
          <w:szCs w:val="24"/>
          <w:lang w:eastAsia="cs-CZ"/>
        </w:rPr>
        <w:lastRenderedPageBreak/>
        <w:t>Počet a obj</w:t>
      </w:r>
      <w:r w:rsidR="0023390B" w:rsidRPr="00AA2C9B">
        <w:rPr>
          <w:rFonts w:ascii="Arial" w:eastAsia="Times New Roman" w:hAnsi="Arial" w:cs="Times New Roman"/>
          <w:b/>
          <w:bCs/>
          <w:sz w:val="20"/>
          <w:szCs w:val="24"/>
          <w:lang w:eastAsia="cs-CZ"/>
        </w:rPr>
        <w:t>em vyhlásených verejných obstaráva</w:t>
      </w:r>
      <w:r w:rsidR="006B0F91" w:rsidRPr="00AA2C9B">
        <w:rPr>
          <w:rFonts w:ascii="Arial" w:eastAsia="Times New Roman" w:hAnsi="Arial" w:cs="Times New Roman"/>
          <w:b/>
          <w:bCs/>
          <w:sz w:val="20"/>
          <w:szCs w:val="24"/>
          <w:lang w:eastAsia="cs-CZ"/>
        </w:rPr>
        <w:t>ní</w:t>
      </w:r>
      <w:r w:rsidR="006B0F91" w:rsidRPr="00AA2C9B">
        <w:rPr>
          <w:rFonts w:ascii="Arial" w:eastAsia="Times New Roman" w:hAnsi="Arial" w:cs="Times New Roman"/>
          <w:b/>
          <w:bCs/>
          <w:sz w:val="20"/>
          <w:szCs w:val="24"/>
          <w:lang w:eastAsia="cs-CZ"/>
        </w:rPr>
        <w:tab/>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7"/>
        <w:gridCol w:w="1262"/>
        <w:gridCol w:w="799"/>
        <w:gridCol w:w="1434"/>
        <w:gridCol w:w="1263"/>
        <w:gridCol w:w="874"/>
        <w:gridCol w:w="1290"/>
      </w:tblGrid>
      <w:tr w:rsidR="00601270" w:rsidRPr="00AA2C9B" w:rsidTr="005156F7">
        <w:trPr>
          <w:cantSplit/>
          <w:trHeight w:val="284"/>
        </w:trPr>
        <w:tc>
          <w:tcPr>
            <w:tcW w:w="2269" w:type="dxa"/>
            <w:vMerge w:val="restart"/>
            <w:tcBorders>
              <w:top w:val="nil"/>
              <w:left w:val="nil"/>
            </w:tcBorders>
            <w:vAlign w:val="center"/>
          </w:tcPr>
          <w:p w:rsidR="00601270" w:rsidRPr="00AA2C9B" w:rsidRDefault="0023390B"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Zákazky celko</w:t>
            </w:r>
            <w:r w:rsidR="006B0F91" w:rsidRPr="00AA2C9B">
              <w:rPr>
                <w:rFonts w:ascii="Arial" w:eastAsia="Times New Roman" w:hAnsi="Arial" w:cs="Times New Roman"/>
                <w:bCs/>
                <w:sz w:val="18"/>
                <w:szCs w:val="18"/>
                <w:lang w:eastAsia="cs-CZ"/>
              </w:rPr>
              <w:t>m</w:t>
            </w:r>
          </w:p>
        </w:tc>
        <w:tc>
          <w:tcPr>
            <w:tcW w:w="3543" w:type="dxa"/>
            <w:gridSpan w:val="3"/>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Počet</w:t>
            </w:r>
          </w:p>
        </w:tc>
        <w:tc>
          <w:tcPr>
            <w:tcW w:w="3472" w:type="dxa"/>
            <w:gridSpan w:val="3"/>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Objem</w:t>
            </w:r>
          </w:p>
        </w:tc>
      </w:tr>
      <w:tr w:rsidR="00601270" w:rsidRPr="00AA2C9B" w:rsidTr="005156F7">
        <w:trPr>
          <w:cantSplit/>
          <w:trHeight w:val="284"/>
        </w:trPr>
        <w:tc>
          <w:tcPr>
            <w:tcW w:w="2269" w:type="dxa"/>
            <w:vMerge/>
            <w:tcBorders>
              <w:top w:val="nil"/>
              <w:left w:val="nil"/>
            </w:tcBorders>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p>
        </w:tc>
        <w:tc>
          <w:tcPr>
            <w:tcW w:w="1275" w:type="dxa"/>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me</w:t>
            </w:r>
            <w:r w:rsidR="0023390B" w:rsidRPr="00AA2C9B">
              <w:rPr>
                <w:rFonts w:ascii="Arial" w:eastAsia="Times New Roman" w:hAnsi="Arial" w:cs="Times New Roman"/>
                <w:bCs/>
                <w:sz w:val="18"/>
                <w:szCs w:val="18"/>
                <w:lang w:eastAsia="cs-CZ"/>
              </w:rPr>
              <w:t>dziročná zme</w:t>
            </w:r>
            <w:r w:rsidRPr="00AA2C9B">
              <w:rPr>
                <w:rFonts w:ascii="Arial" w:eastAsia="Times New Roman" w:hAnsi="Arial" w:cs="Times New Roman"/>
                <w:bCs/>
                <w:sz w:val="18"/>
                <w:szCs w:val="18"/>
                <w:lang w:eastAsia="cs-CZ"/>
              </w:rPr>
              <w:t>na v %</w:t>
            </w:r>
          </w:p>
        </w:tc>
        <w:tc>
          <w:tcPr>
            <w:tcW w:w="1276" w:type="dxa"/>
            <w:tcBorders>
              <w:bottom w:val="single" w:sz="4" w:space="0" w:color="auto"/>
            </w:tcBorders>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objem v</w:t>
            </w:r>
            <w:r w:rsidR="0023390B" w:rsidRPr="00AA2C9B">
              <w:rPr>
                <w:rFonts w:ascii="Arial" w:eastAsia="Times New Roman" w:hAnsi="Arial" w:cs="Times New Roman"/>
                <w:bCs/>
                <w:sz w:val="18"/>
                <w:szCs w:val="18"/>
                <w:lang w:eastAsia="cs-CZ"/>
              </w:rPr>
              <w:t> </w:t>
            </w:r>
            <w:r w:rsidRPr="00AA2C9B">
              <w:rPr>
                <w:rFonts w:ascii="Arial" w:eastAsia="Times New Roman" w:hAnsi="Arial" w:cs="Times New Roman"/>
                <w:bCs/>
                <w:sz w:val="18"/>
                <w:szCs w:val="18"/>
                <w:lang w:eastAsia="cs-CZ"/>
              </w:rPr>
              <w:t>mil</w:t>
            </w:r>
            <w:r w:rsidR="0023390B" w:rsidRPr="00AA2C9B">
              <w:rPr>
                <w:rFonts w:ascii="Arial" w:eastAsia="Times New Roman" w:hAnsi="Arial" w:cs="Times New Roman"/>
                <w:bCs/>
                <w:sz w:val="18"/>
                <w:szCs w:val="18"/>
                <w:lang w:eastAsia="cs-CZ"/>
              </w:rPr>
              <w:t>.</w:t>
            </w:r>
            <w:r w:rsidRPr="00AA2C9B">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601270" w:rsidRPr="00AA2C9B" w:rsidRDefault="00601270" w:rsidP="00601270">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me</w:t>
            </w:r>
            <w:r w:rsidR="0023390B" w:rsidRPr="00AA2C9B">
              <w:rPr>
                <w:rFonts w:ascii="Arial" w:eastAsia="Times New Roman" w:hAnsi="Arial" w:cs="Times New Roman"/>
                <w:bCs/>
                <w:sz w:val="18"/>
                <w:szCs w:val="18"/>
                <w:lang w:eastAsia="cs-CZ"/>
              </w:rPr>
              <w:t>dziročná zme</w:t>
            </w:r>
            <w:r w:rsidRPr="00AA2C9B">
              <w:rPr>
                <w:rFonts w:ascii="Arial" w:eastAsia="Times New Roman" w:hAnsi="Arial" w:cs="Times New Roman"/>
                <w:bCs/>
                <w:sz w:val="18"/>
                <w:szCs w:val="18"/>
                <w:lang w:eastAsia="cs-CZ"/>
              </w:rPr>
              <w:t>na v %</w:t>
            </w:r>
          </w:p>
        </w:tc>
      </w:tr>
      <w:tr w:rsidR="006B0F91" w:rsidRPr="00AA2C9B" w:rsidTr="005156F7">
        <w:trPr>
          <w:cantSplit/>
          <w:trHeight w:val="284"/>
        </w:trPr>
        <w:tc>
          <w:tcPr>
            <w:tcW w:w="2269" w:type="dxa"/>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2012</w:t>
            </w:r>
          </w:p>
        </w:tc>
        <w:tc>
          <w:tcPr>
            <w:tcW w:w="1275"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8 916</w:t>
            </w:r>
          </w:p>
        </w:tc>
        <w:tc>
          <w:tcPr>
            <w:tcW w:w="815"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p>
        </w:tc>
        <w:tc>
          <w:tcPr>
            <w:tcW w:w="1453"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w:t>
            </w:r>
          </w:p>
        </w:tc>
        <w:tc>
          <w:tcPr>
            <w:tcW w:w="1276"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5 987</w:t>
            </w:r>
          </w:p>
        </w:tc>
        <w:tc>
          <w:tcPr>
            <w:tcW w:w="893"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p>
        </w:tc>
        <w:tc>
          <w:tcPr>
            <w:tcW w:w="1303"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w:t>
            </w:r>
          </w:p>
        </w:tc>
      </w:tr>
      <w:tr w:rsidR="006B0F91" w:rsidRPr="00AA2C9B" w:rsidTr="005156F7">
        <w:trPr>
          <w:cantSplit/>
          <w:trHeight w:val="284"/>
        </w:trPr>
        <w:tc>
          <w:tcPr>
            <w:tcW w:w="2269" w:type="dxa"/>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2013</w:t>
            </w:r>
          </w:p>
        </w:tc>
        <w:tc>
          <w:tcPr>
            <w:tcW w:w="1275"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9 919</w:t>
            </w:r>
          </w:p>
        </w:tc>
        <w:tc>
          <w:tcPr>
            <w:tcW w:w="815"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r w:rsidRPr="00AA2C9B">
              <w:rPr>
                <w:bCs/>
                <w:color w:val="92D050"/>
                <w:sz w:val="24"/>
              </w:rPr>
              <w:sym w:font="Wingdings 3" w:char="F0C7"/>
            </w:r>
          </w:p>
        </w:tc>
        <w:tc>
          <w:tcPr>
            <w:tcW w:w="1453"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+11,2</w:t>
            </w:r>
          </w:p>
        </w:tc>
        <w:tc>
          <w:tcPr>
            <w:tcW w:w="1276"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8 377</w:t>
            </w:r>
          </w:p>
        </w:tc>
        <w:tc>
          <w:tcPr>
            <w:tcW w:w="893"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r w:rsidRPr="00AA2C9B">
              <w:rPr>
                <w:bCs/>
                <w:color w:val="92D050"/>
                <w:sz w:val="24"/>
              </w:rPr>
              <w:sym w:font="Wingdings 3" w:char="F0C7"/>
            </w:r>
          </w:p>
        </w:tc>
        <w:tc>
          <w:tcPr>
            <w:tcW w:w="1303"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+39,9</w:t>
            </w:r>
          </w:p>
        </w:tc>
      </w:tr>
      <w:tr w:rsidR="006B0F91" w:rsidRPr="00AA2C9B" w:rsidTr="005156F7">
        <w:trPr>
          <w:cantSplit/>
          <w:trHeight w:val="284"/>
        </w:trPr>
        <w:tc>
          <w:tcPr>
            <w:tcW w:w="2269" w:type="dxa"/>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2014</w:t>
            </w:r>
          </w:p>
        </w:tc>
        <w:tc>
          <w:tcPr>
            <w:tcW w:w="1275"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8 064</w:t>
            </w:r>
          </w:p>
        </w:tc>
        <w:tc>
          <w:tcPr>
            <w:tcW w:w="815" w:type="dxa"/>
            <w:tcBorders>
              <w:left w:val="single" w:sz="4" w:space="0" w:color="auto"/>
              <w:right w:val="nil"/>
            </w:tcBorders>
            <w:vAlign w:val="center"/>
          </w:tcPr>
          <w:p w:rsidR="006B0F91" w:rsidRPr="00AA2C9B" w:rsidRDefault="006B0F91" w:rsidP="006B0F91">
            <w:pPr>
              <w:spacing w:after="0" w:line="240" w:lineRule="auto"/>
              <w:jc w:val="center"/>
              <w:rPr>
                <w:b/>
                <w:bCs/>
                <w:color w:val="FF0000"/>
                <w:sz w:val="24"/>
              </w:rPr>
            </w:pPr>
            <w:r w:rsidRPr="00AA2C9B">
              <w:rPr>
                <w:b/>
                <w:bCs/>
                <w:color w:val="FF0000"/>
                <w:sz w:val="24"/>
              </w:rPr>
              <w:sym w:font="Wingdings 3" w:char="F0C8"/>
            </w:r>
          </w:p>
        </w:tc>
        <w:tc>
          <w:tcPr>
            <w:tcW w:w="1453"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-18,7</w:t>
            </w:r>
          </w:p>
        </w:tc>
        <w:tc>
          <w:tcPr>
            <w:tcW w:w="1276"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6 621</w:t>
            </w:r>
          </w:p>
        </w:tc>
        <w:tc>
          <w:tcPr>
            <w:tcW w:w="893" w:type="dxa"/>
            <w:tcBorders>
              <w:left w:val="single" w:sz="4" w:space="0" w:color="auto"/>
              <w:right w:val="nil"/>
            </w:tcBorders>
            <w:vAlign w:val="center"/>
          </w:tcPr>
          <w:p w:rsidR="006B0F91" w:rsidRPr="00AA2C9B" w:rsidRDefault="006B0F91" w:rsidP="006B0F91">
            <w:pPr>
              <w:spacing w:after="0" w:line="240" w:lineRule="auto"/>
              <w:jc w:val="center"/>
              <w:rPr>
                <w:b/>
                <w:bCs/>
                <w:color w:val="FF0000"/>
                <w:sz w:val="24"/>
              </w:rPr>
            </w:pPr>
            <w:r w:rsidRPr="00AA2C9B">
              <w:rPr>
                <w:b/>
                <w:bCs/>
                <w:color w:val="FF0000"/>
                <w:sz w:val="24"/>
              </w:rPr>
              <w:sym w:font="Wingdings 3" w:char="F0C8"/>
            </w:r>
          </w:p>
        </w:tc>
        <w:tc>
          <w:tcPr>
            <w:tcW w:w="1303"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-21,0</w:t>
            </w:r>
          </w:p>
        </w:tc>
      </w:tr>
      <w:tr w:rsidR="00136E59" w:rsidRPr="00AA2C9B" w:rsidTr="005156F7">
        <w:trPr>
          <w:cantSplit/>
          <w:trHeight w:val="284"/>
        </w:trPr>
        <w:tc>
          <w:tcPr>
            <w:tcW w:w="2269" w:type="dxa"/>
            <w:vAlign w:val="center"/>
          </w:tcPr>
          <w:p w:rsidR="00136E59" w:rsidRPr="00AA2C9B" w:rsidRDefault="00136E59" w:rsidP="00136E59">
            <w:pPr>
              <w:spacing w:after="0" w:line="240" w:lineRule="auto"/>
              <w:jc w:val="center"/>
              <w:rPr>
                <w:rFonts w:ascii="Arial" w:hAnsi="Arial" w:cs="Arial"/>
                <w:sz w:val="18"/>
                <w:szCs w:val="18"/>
              </w:rPr>
            </w:pPr>
            <w:r w:rsidRPr="00AA2C9B">
              <w:rPr>
                <w:rFonts w:ascii="Arial" w:hAnsi="Arial" w:cs="Arial"/>
                <w:sz w:val="18"/>
                <w:szCs w:val="18"/>
              </w:rPr>
              <w:t>2015</w:t>
            </w:r>
          </w:p>
        </w:tc>
        <w:tc>
          <w:tcPr>
            <w:tcW w:w="1275" w:type="dxa"/>
            <w:tcBorders>
              <w:right w:val="single" w:sz="4" w:space="0" w:color="auto"/>
            </w:tcBorders>
            <w:tcMar>
              <w:right w:w="397" w:type="dxa"/>
            </w:tcMar>
            <w:vAlign w:val="center"/>
          </w:tcPr>
          <w:p w:rsidR="00136E59" w:rsidRPr="00AA2C9B" w:rsidRDefault="00136E59" w:rsidP="00136E59">
            <w:pPr>
              <w:spacing w:after="0" w:line="240" w:lineRule="auto"/>
              <w:jc w:val="right"/>
              <w:rPr>
                <w:rFonts w:ascii="Arial" w:hAnsi="Arial" w:cs="Arial"/>
                <w:sz w:val="18"/>
                <w:szCs w:val="18"/>
              </w:rPr>
            </w:pPr>
            <w:r w:rsidRPr="00AA2C9B">
              <w:rPr>
                <w:rFonts w:ascii="Arial" w:hAnsi="Arial" w:cs="Arial"/>
                <w:sz w:val="18"/>
                <w:szCs w:val="18"/>
              </w:rPr>
              <w:t> 7 331</w:t>
            </w:r>
          </w:p>
        </w:tc>
        <w:tc>
          <w:tcPr>
            <w:tcW w:w="815" w:type="dxa"/>
            <w:tcBorders>
              <w:left w:val="single" w:sz="4" w:space="0" w:color="auto"/>
              <w:right w:val="nil"/>
            </w:tcBorders>
            <w:vAlign w:val="center"/>
          </w:tcPr>
          <w:p w:rsidR="00136E59" w:rsidRPr="00AA2C9B" w:rsidRDefault="00136E59" w:rsidP="00136E59">
            <w:pPr>
              <w:spacing w:after="0" w:line="240" w:lineRule="auto"/>
              <w:jc w:val="center"/>
              <w:rPr>
                <w:b/>
                <w:bCs/>
                <w:color w:val="FF0000"/>
                <w:sz w:val="24"/>
              </w:rPr>
            </w:pPr>
            <w:r w:rsidRPr="00AA2C9B">
              <w:rPr>
                <w:b/>
                <w:bCs/>
                <w:color w:val="FF0000"/>
                <w:sz w:val="24"/>
              </w:rPr>
              <w:sym w:font="Wingdings 3" w:char="F0C8"/>
            </w:r>
          </w:p>
        </w:tc>
        <w:tc>
          <w:tcPr>
            <w:tcW w:w="1453" w:type="dxa"/>
            <w:tcBorders>
              <w:left w:val="nil"/>
              <w:right w:val="single" w:sz="4" w:space="0" w:color="auto"/>
            </w:tcBorders>
            <w:tcMar>
              <w:right w:w="397" w:type="dxa"/>
            </w:tcMar>
            <w:vAlign w:val="center"/>
          </w:tcPr>
          <w:p w:rsidR="00136E59" w:rsidRPr="00AA2C9B" w:rsidRDefault="00136E59" w:rsidP="00136E59">
            <w:pPr>
              <w:spacing w:after="0" w:line="240" w:lineRule="auto"/>
              <w:jc w:val="right"/>
              <w:rPr>
                <w:rFonts w:ascii="Arial" w:hAnsi="Arial" w:cs="Arial"/>
                <w:sz w:val="18"/>
                <w:szCs w:val="18"/>
              </w:rPr>
            </w:pPr>
            <w:r w:rsidRPr="00AA2C9B">
              <w:rPr>
                <w:rFonts w:ascii="Arial" w:hAnsi="Arial" w:cs="Arial"/>
                <w:sz w:val="18"/>
                <w:szCs w:val="18"/>
              </w:rPr>
              <w:t>-9,1</w:t>
            </w:r>
          </w:p>
        </w:tc>
        <w:tc>
          <w:tcPr>
            <w:tcW w:w="1276" w:type="dxa"/>
            <w:tcBorders>
              <w:right w:val="single" w:sz="4" w:space="0" w:color="auto"/>
            </w:tcBorders>
            <w:tcMar>
              <w:right w:w="397" w:type="dxa"/>
            </w:tcMar>
            <w:vAlign w:val="center"/>
          </w:tcPr>
          <w:p w:rsidR="00136E59" w:rsidRPr="00AA2C9B" w:rsidRDefault="00136E59" w:rsidP="00136E59">
            <w:pPr>
              <w:spacing w:after="0" w:line="240" w:lineRule="auto"/>
              <w:jc w:val="right"/>
              <w:rPr>
                <w:rFonts w:ascii="Arial" w:hAnsi="Arial" w:cs="Arial"/>
                <w:sz w:val="18"/>
                <w:szCs w:val="18"/>
              </w:rPr>
            </w:pPr>
            <w:r w:rsidRPr="00AA2C9B">
              <w:rPr>
                <w:rFonts w:ascii="Arial" w:hAnsi="Arial" w:cs="Arial"/>
                <w:sz w:val="18"/>
                <w:szCs w:val="18"/>
              </w:rPr>
              <w:t>7 657</w:t>
            </w:r>
          </w:p>
        </w:tc>
        <w:tc>
          <w:tcPr>
            <w:tcW w:w="893" w:type="dxa"/>
            <w:tcBorders>
              <w:left w:val="single" w:sz="4" w:space="0" w:color="auto"/>
              <w:right w:val="nil"/>
            </w:tcBorders>
            <w:vAlign w:val="center"/>
          </w:tcPr>
          <w:p w:rsidR="00136E59" w:rsidRPr="00AA2C9B" w:rsidRDefault="00136E59" w:rsidP="00136E59">
            <w:pPr>
              <w:spacing w:after="0" w:line="240" w:lineRule="auto"/>
              <w:jc w:val="center"/>
              <w:rPr>
                <w:bCs/>
                <w:color w:val="92D050"/>
                <w:sz w:val="24"/>
              </w:rPr>
            </w:pPr>
            <w:r w:rsidRPr="00AA2C9B">
              <w:rPr>
                <w:bCs/>
                <w:color w:val="92D050"/>
                <w:sz w:val="24"/>
              </w:rPr>
              <w:sym w:font="Wingdings 3" w:char="F0C7"/>
            </w:r>
          </w:p>
        </w:tc>
        <w:tc>
          <w:tcPr>
            <w:tcW w:w="1303" w:type="dxa"/>
            <w:tcBorders>
              <w:left w:val="nil"/>
            </w:tcBorders>
            <w:tcMar>
              <w:right w:w="397" w:type="dxa"/>
            </w:tcMar>
            <w:vAlign w:val="center"/>
          </w:tcPr>
          <w:p w:rsidR="00136E59" w:rsidRPr="00AA2C9B" w:rsidRDefault="00136E59" w:rsidP="00136E59">
            <w:pPr>
              <w:spacing w:after="0" w:line="240" w:lineRule="auto"/>
              <w:jc w:val="right"/>
              <w:rPr>
                <w:rFonts w:ascii="Arial" w:hAnsi="Arial" w:cs="Arial"/>
                <w:sz w:val="18"/>
                <w:szCs w:val="18"/>
              </w:rPr>
            </w:pPr>
            <w:r w:rsidRPr="00AA2C9B">
              <w:rPr>
                <w:rFonts w:ascii="Arial" w:hAnsi="Arial" w:cs="Arial"/>
                <w:sz w:val="18"/>
                <w:szCs w:val="18"/>
              </w:rPr>
              <w:t>+16,9</w:t>
            </w:r>
          </w:p>
        </w:tc>
      </w:tr>
      <w:tr w:rsidR="00E94A84" w:rsidRPr="00AA2C9B" w:rsidTr="005156F7">
        <w:trPr>
          <w:cantSplit/>
          <w:trHeight w:val="284"/>
        </w:trPr>
        <w:tc>
          <w:tcPr>
            <w:tcW w:w="2269" w:type="dxa"/>
            <w:tcBorders>
              <w:top w:val="single" w:sz="4" w:space="0" w:color="auto"/>
              <w:left w:val="single" w:sz="4" w:space="0" w:color="auto"/>
              <w:bottom w:val="single" w:sz="4" w:space="0" w:color="auto"/>
              <w:right w:val="single" w:sz="4" w:space="0" w:color="auto"/>
            </w:tcBorders>
            <w:vAlign w:val="center"/>
          </w:tcPr>
          <w:p w:rsidR="00E94A84" w:rsidRPr="00AA2C9B" w:rsidRDefault="00E94A84" w:rsidP="00E94A84">
            <w:pPr>
              <w:spacing w:after="0" w:line="240" w:lineRule="auto"/>
              <w:jc w:val="center"/>
              <w:rPr>
                <w:rFonts w:ascii="Arial" w:hAnsi="Arial" w:cs="Arial"/>
                <w:sz w:val="18"/>
                <w:szCs w:val="18"/>
              </w:rPr>
            </w:pPr>
            <w:r w:rsidRPr="00AA2C9B">
              <w:rPr>
                <w:rFonts w:ascii="Arial" w:hAnsi="Arial" w:cs="Arial"/>
                <w:sz w:val="18"/>
                <w:szCs w:val="18"/>
              </w:rPr>
              <w:t>2016</w:t>
            </w:r>
          </w:p>
        </w:tc>
        <w:tc>
          <w:tcPr>
            <w:tcW w:w="1275" w:type="dxa"/>
            <w:tcBorders>
              <w:top w:val="single" w:sz="4" w:space="0" w:color="auto"/>
              <w:left w:val="single" w:sz="4" w:space="0" w:color="auto"/>
              <w:bottom w:val="single" w:sz="4" w:space="0" w:color="auto"/>
              <w:right w:val="single" w:sz="4" w:space="0" w:color="auto"/>
            </w:tcBorders>
            <w:tcMar>
              <w:right w:w="397" w:type="dxa"/>
            </w:tcMar>
            <w:vAlign w:val="center"/>
          </w:tcPr>
          <w:p w:rsidR="00E94A84" w:rsidRPr="00AA2C9B" w:rsidRDefault="00E94A84" w:rsidP="00E94A84">
            <w:pPr>
              <w:spacing w:after="0" w:line="240" w:lineRule="auto"/>
              <w:jc w:val="right"/>
              <w:rPr>
                <w:rFonts w:ascii="Arial" w:hAnsi="Arial" w:cs="Arial"/>
                <w:sz w:val="18"/>
                <w:szCs w:val="18"/>
              </w:rPr>
            </w:pPr>
            <w:r w:rsidRPr="00AA2C9B">
              <w:rPr>
                <w:rFonts w:ascii="Arial" w:hAnsi="Arial" w:cs="Arial"/>
                <w:sz w:val="18"/>
                <w:szCs w:val="18"/>
              </w:rPr>
              <w:t>4 870</w:t>
            </w:r>
          </w:p>
        </w:tc>
        <w:tc>
          <w:tcPr>
            <w:tcW w:w="815" w:type="dxa"/>
            <w:tcBorders>
              <w:top w:val="single" w:sz="4" w:space="0" w:color="auto"/>
              <w:left w:val="single" w:sz="4" w:space="0" w:color="auto"/>
              <w:bottom w:val="single" w:sz="4" w:space="0" w:color="auto"/>
              <w:right w:val="nil"/>
            </w:tcBorders>
            <w:vAlign w:val="center"/>
          </w:tcPr>
          <w:p w:rsidR="00E94A84" w:rsidRPr="00AA2C9B" w:rsidRDefault="00E94A84" w:rsidP="00E94A84">
            <w:pPr>
              <w:spacing w:after="0" w:line="240" w:lineRule="auto"/>
              <w:jc w:val="center"/>
              <w:rPr>
                <w:rFonts w:ascii="Arial" w:hAnsi="Arial" w:cs="Arial"/>
                <w:sz w:val="18"/>
                <w:szCs w:val="18"/>
              </w:rPr>
            </w:pPr>
            <w:r w:rsidRPr="00AA2C9B">
              <w:rPr>
                <w:color w:val="FF0000"/>
                <w:sz w:val="24"/>
              </w:rPr>
              <w:sym w:font="Wingdings 3" w:char="F0C8"/>
            </w:r>
          </w:p>
        </w:tc>
        <w:tc>
          <w:tcPr>
            <w:tcW w:w="1453" w:type="dxa"/>
            <w:tcBorders>
              <w:top w:val="single" w:sz="4" w:space="0" w:color="auto"/>
              <w:left w:val="nil"/>
              <w:bottom w:val="single" w:sz="4" w:space="0" w:color="auto"/>
              <w:right w:val="single" w:sz="4" w:space="0" w:color="auto"/>
            </w:tcBorders>
            <w:tcMar>
              <w:right w:w="397" w:type="dxa"/>
            </w:tcMar>
            <w:vAlign w:val="center"/>
          </w:tcPr>
          <w:p w:rsidR="00E94A84" w:rsidRPr="00AA2C9B" w:rsidRDefault="00E94A84" w:rsidP="00E94A84">
            <w:pPr>
              <w:spacing w:after="0" w:line="240" w:lineRule="auto"/>
              <w:jc w:val="right"/>
              <w:rPr>
                <w:rFonts w:ascii="Arial" w:hAnsi="Arial" w:cs="Arial"/>
                <w:sz w:val="18"/>
                <w:szCs w:val="18"/>
              </w:rPr>
            </w:pPr>
            <w:r w:rsidRPr="00AA2C9B">
              <w:rPr>
                <w:rFonts w:ascii="Arial" w:hAnsi="Arial" w:cs="Arial"/>
                <w:sz w:val="18"/>
                <w:szCs w:val="18"/>
              </w:rPr>
              <w:t>-33,6</w:t>
            </w:r>
          </w:p>
        </w:tc>
        <w:tc>
          <w:tcPr>
            <w:tcW w:w="1276" w:type="dxa"/>
            <w:tcBorders>
              <w:top w:val="single" w:sz="4" w:space="0" w:color="auto"/>
              <w:left w:val="single" w:sz="4" w:space="0" w:color="auto"/>
              <w:bottom w:val="single" w:sz="4" w:space="0" w:color="auto"/>
              <w:right w:val="single" w:sz="4" w:space="0" w:color="auto"/>
            </w:tcBorders>
            <w:tcMar>
              <w:right w:w="397" w:type="dxa"/>
            </w:tcMar>
            <w:vAlign w:val="center"/>
          </w:tcPr>
          <w:p w:rsidR="00E94A84" w:rsidRPr="00AA2C9B" w:rsidRDefault="00E94A84" w:rsidP="00E94A84">
            <w:pPr>
              <w:spacing w:after="0" w:line="240" w:lineRule="auto"/>
              <w:jc w:val="right"/>
              <w:rPr>
                <w:rFonts w:ascii="Arial" w:hAnsi="Arial" w:cs="Arial"/>
                <w:sz w:val="18"/>
                <w:szCs w:val="18"/>
              </w:rPr>
            </w:pPr>
            <w:r w:rsidRPr="00AA2C9B">
              <w:rPr>
                <w:rFonts w:ascii="Arial" w:hAnsi="Arial" w:cs="Arial"/>
                <w:sz w:val="18"/>
                <w:szCs w:val="18"/>
              </w:rPr>
              <w:t>4 461</w:t>
            </w:r>
          </w:p>
        </w:tc>
        <w:tc>
          <w:tcPr>
            <w:tcW w:w="893" w:type="dxa"/>
            <w:tcBorders>
              <w:top w:val="single" w:sz="4" w:space="0" w:color="auto"/>
              <w:left w:val="single" w:sz="4" w:space="0" w:color="auto"/>
              <w:bottom w:val="single" w:sz="4" w:space="0" w:color="auto"/>
              <w:right w:val="nil"/>
            </w:tcBorders>
            <w:vAlign w:val="center"/>
          </w:tcPr>
          <w:p w:rsidR="00E94A84" w:rsidRPr="00AA2C9B" w:rsidRDefault="00E94A84" w:rsidP="00E94A84">
            <w:pPr>
              <w:spacing w:after="0" w:line="240" w:lineRule="auto"/>
              <w:jc w:val="center"/>
              <w:rPr>
                <w:color w:val="FF0000"/>
                <w:sz w:val="24"/>
              </w:rPr>
            </w:pPr>
            <w:r w:rsidRPr="00AA2C9B">
              <w:rPr>
                <w:color w:val="FF0000"/>
                <w:sz w:val="24"/>
              </w:rPr>
              <w:sym w:font="Wingdings 3" w:char="F0C8"/>
            </w:r>
          </w:p>
        </w:tc>
        <w:tc>
          <w:tcPr>
            <w:tcW w:w="1303" w:type="dxa"/>
            <w:tcBorders>
              <w:top w:val="single" w:sz="4" w:space="0" w:color="auto"/>
              <w:left w:val="nil"/>
              <w:bottom w:val="single" w:sz="4" w:space="0" w:color="auto"/>
              <w:right w:val="single" w:sz="4" w:space="0" w:color="auto"/>
            </w:tcBorders>
            <w:tcMar>
              <w:right w:w="397" w:type="dxa"/>
            </w:tcMar>
            <w:vAlign w:val="center"/>
          </w:tcPr>
          <w:p w:rsidR="00E94A84" w:rsidRPr="00AA2C9B" w:rsidRDefault="00E94A84" w:rsidP="00E94A84">
            <w:pPr>
              <w:spacing w:after="0" w:line="240" w:lineRule="auto"/>
              <w:jc w:val="right"/>
              <w:rPr>
                <w:rFonts w:ascii="Arial" w:hAnsi="Arial" w:cs="Arial"/>
                <w:sz w:val="18"/>
                <w:szCs w:val="18"/>
              </w:rPr>
            </w:pPr>
            <w:r w:rsidRPr="00AA2C9B">
              <w:rPr>
                <w:rFonts w:ascii="Arial" w:hAnsi="Arial" w:cs="Arial"/>
                <w:sz w:val="18"/>
                <w:szCs w:val="18"/>
              </w:rPr>
              <w:t>-41,7</w:t>
            </w:r>
          </w:p>
        </w:tc>
      </w:tr>
      <w:tr w:rsidR="00B2412B" w:rsidRPr="00AA2C9B" w:rsidTr="005156F7">
        <w:trPr>
          <w:cantSplit/>
          <w:trHeight w:val="284"/>
        </w:trPr>
        <w:tc>
          <w:tcPr>
            <w:tcW w:w="2269" w:type="dxa"/>
            <w:tcBorders>
              <w:top w:val="single" w:sz="4" w:space="0" w:color="auto"/>
              <w:left w:val="single" w:sz="4" w:space="0" w:color="auto"/>
              <w:bottom w:val="single" w:sz="4" w:space="0" w:color="auto"/>
              <w:right w:val="single" w:sz="4" w:space="0" w:color="auto"/>
            </w:tcBorders>
            <w:vAlign w:val="center"/>
          </w:tcPr>
          <w:p w:rsidR="00B2412B" w:rsidRPr="00AA2C9B" w:rsidRDefault="00E11F5D" w:rsidP="00B2412B">
            <w:pPr>
              <w:spacing w:after="0" w:line="240" w:lineRule="auto"/>
              <w:jc w:val="center"/>
              <w:rPr>
                <w:rFonts w:ascii="Arial" w:hAnsi="Arial" w:cs="Arial"/>
                <w:b/>
                <w:bCs/>
                <w:sz w:val="18"/>
                <w:szCs w:val="18"/>
              </w:rPr>
            </w:pPr>
            <w:r>
              <w:rPr>
                <w:rFonts w:ascii="Arial" w:hAnsi="Arial" w:cs="Arial"/>
                <w:b/>
                <w:bCs/>
                <w:sz w:val="18"/>
                <w:szCs w:val="18"/>
              </w:rPr>
              <w:t>Január až júl</w:t>
            </w:r>
            <w:r w:rsidR="00B2412B" w:rsidRPr="00AA2C9B">
              <w:rPr>
                <w:rFonts w:ascii="Arial" w:hAnsi="Arial" w:cs="Arial"/>
                <w:b/>
                <w:bCs/>
                <w:sz w:val="18"/>
                <w:szCs w:val="18"/>
              </w:rPr>
              <w:t xml:space="preserve"> 2017</w:t>
            </w:r>
          </w:p>
        </w:tc>
        <w:tc>
          <w:tcPr>
            <w:tcW w:w="1275" w:type="dxa"/>
            <w:tcBorders>
              <w:top w:val="single" w:sz="4" w:space="0" w:color="auto"/>
              <w:left w:val="single" w:sz="4" w:space="0" w:color="auto"/>
              <w:bottom w:val="single" w:sz="4" w:space="0" w:color="auto"/>
              <w:right w:val="single" w:sz="4" w:space="0" w:color="auto"/>
            </w:tcBorders>
            <w:tcMar>
              <w:right w:w="397" w:type="dxa"/>
            </w:tcMar>
            <w:vAlign w:val="center"/>
          </w:tcPr>
          <w:p w:rsidR="00B2412B" w:rsidRPr="00AA2C9B" w:rsidRDefault="00B2412B" w:rsidP="00B2412B">
            <w:pPr>
              <w:spacing w:after="0" w:line="240" w:lineRule="auto"/>
              <w:jc w:val="right"/>
              <w:rPr>
                <w:rFonts w:ascii="Arial" w:hAnsi="Arial" w:cs="Arial"/>
                <w:b/>
                <w:bCs/>
                <w:sz w:val="18"/>
                <w:szCs w:val="18"/>
              </w:rPr>
            </w:pPr>
            <w:r w:rsidRPr="00AA2C9B">
              <w:rPr>
                <w:rFonts w:ascii="Arial" w:hAnsi="Arial" w:cs="Arial"/>
                <w:b/>
                <w:bCs/>
                <w:sz w:val="18"/>
                <w:szCs w:val="18"/>
              </w:rPr>
              <w:t>3 086</w:t>
            </w:r>
          </w:p>
        </w:tc>
        <w:tc>
          <w:tcPr>
            <w:tcW w:w="815" w:type="dxa"/>
            <w:tcBorders>
              <w:top w:val="single" w:sz="4" w:space="0" w:color="auto"/>
              <w:left w:val="single" w:sz="4" w:space="0" w:color="auto"/>
              <w:bottom w:val="single" w:sz="4" w:space="0" w:color="auto"/>
              <w:right w:val="nil"/>
            </w:tcBorders>
            <w:vAlign w:val="center"/>
          </w:tcPr>
          <w:p w:rsidR="00B2412B" w:rsidRPr="00AA2C9B" w:rsidRDefault="00B2412B" w:rsidP="00B2412B">
            <w:pPr>
              <w:spacing w:after="0" w:line="240" w:lineRule="auto"/>
              <w:jc w:val="center"/>
              <w:rPr>
                <w:rFonts w:ascii="Arial" w:hAnsi="Arial" w:cs="Arial"/>
                <w:b/>
                <w:bCs/>
                <w:sz w:val="18"/>
                <w:szCs w:val="18"/>
              </w:rPr>
            </w:pPr>
            <w:r w:rsidRPr="00AA2C9B">
              <w:rPr>
                <w:color w:val="FF0000"/>
                <w:sz w:val="24"/>
              </w:rPr>
              <w:sym w:font="Wingdings 3" w:char="F0C8"/>
            </w:r>
          </w:p>
        </w:tc>
        <w:tc>
          <w:tcPr>
            <w:tcW w:w="1453" w:type="dxa"/>
            <w:tcBorders>
              <w:top w:val="single" w:sz="4" w:space="0" w:color="auto"/>
              <w:left w:val="nil"/>
              <w:bottom w:val="single" w:sz="4" w:space="0" w:color="auto"/>
              <w:right w:val="single" w:sz="4" w:space="0" w:color="auto"/>
            </w:tcBorders>
            <w:tcMar>
              <w:right w:w="397" w:type="dxa"/>
            </w:tcMar>
            <w:vAlign w:val="center"/>
          </w:tcPr>
          <w:p w:rsidR="00B2412B" w:rsidRPr="00AA2C9B" w:rsidRDefault="00B2412B" w:rsidP="00B2412B">
            <w:pPr>
              <w:spacing w:after="0" w:line="240" w:lineRule="auto"/>
              <w:jc w:val="right"/>
              <w:rPr>
                <w:rFonts w:ascii="Arial" w:hAnsi="Arial" w:cs="Arial"/>
                <w:b/>
                <w:bCs/>
                <w:sz w:val="18"/>
                <w:szCs w:val="18"/>
              </w:rPr>
            </w:pPr>
            <w:r w:rsidRPr="00AA2C9B">
              <w:rPr>
                <w:rFonts w:ascii="Arial" w:hAnsi="Arial" w:cs="Arial"/>
                <w:b/>
                <w:bCs/>
                <w:sz w:val="18"/>
                <w:szCs w:val="18"/>
              </w:rPr>
              <w:t>-12,7</w:t>
            </w:r>
          </w:p>
        </w:tc>
        <w:tc>
          <w:tcPr>
            <w:tcW w:w="1276" w:type="dxa"/>
            <w:tcBorders>
              <w:top w:val="single" w:sz="4" w:space="0" w:color="auto"/>
              <w:left w:val="single" w:sz="4" w:space="0" w:color="auto"/>
              <w:bottom w:val="single" w:sz="4" w:space="0" w:color="auto"/>
              <w:right w:val="single" w:sz="4" w:space="0" w:color="auto"/>
            </w:tcBorders>
            <w:tcMar>
              <w:right w:w="397" w:type="dxa"/>
            </w:tcMar>
            <w:vAlign w:val="center"/>
          </w:tcPr>
          <w:p w:rsidR="00B2412B" w:rsidRPr="00AA2C9B" w:rsidRDefault="00B2412B" w:rsidP="00B2412B">
            <w:pPr>
              <w:spacing w:after="0" w:line="240" w:lineRule="auto"/>
              <w:jc w:val="right"/>
              <w:rPr>
                <w:rFonts w:ascii="Arial" w:hAnsi="Arial" w:cs="Arial"/>
                <w:b/>
                <w:bCs/>
                <w:sz w:val="18"/>
                <w:szCs w:val="18"/>
              </w:rPr>
            </w:pPr>
            <w:r w:rsidRPr="00AA2C9B">
              <w:rPr>
                <w:rFonts w:ascii="Arial" w:hAnsi="Arial" w:cs="Arial"/>
                <w:b/>
                <w:bCs/>
                <w:sz w:val="18"/>
                <w:szCs w:val="18"/>
              </w:rPr>
              <w:t>3 937</w:t>
            </w:r>
          </w:p>
        </w:tc>
        <w:tc>
          <w:tcPr>
            <w:tcW w:w="893" w:type="dxa"/>
            <w:tcBorders>
              <w:top w:val="single" w:sz="4" w:space="0" w:color="auto"/>
              <w:left w:val="single" w:sz="4" w:space="0" w:color="auto"/>
              <w:bottom w:val="single" w:sz="4" w:space="0" w:color="auto"/>
              <w:right w:val="nil"/>
            </w:tcBorders>
            <w:vAlign w:val="center"/>
          </w:tcPr>
          <w:p w:rsidR="00B2412B" w:rsidRPr="00AA2C9B" w:rsidRDefault="00B2412B" w:rsidP="00B2412B">
            <w:pPr>
              <w:spacing w:after="0" w:line="240" w:lineRule="auto"/>
              <w:jc w:val="center"/>
              <w:rPr>
                <w:rFonts w:ascii="Arial" w:hAnsi="Arial" w:cs="Arial"/>
                <w:b/>
                <w:bCs/>
                <w:sz w:val="18"/>
                <w:szCs w:val="18"/>
              </w:rPr>
            </w:pPr>
            <w:r w:rsidRPr="00AA2C9B">
              <w:rPr>
                <w:bCs/>
                <w:color w:val="92D050"/>
                <w:sz w:val="24"/>
              </w:rPr>
              <w:sym w:font="Wingdings 3" w:char="F0C7"/>
            </w:r>
          </w:p>
        </w:tc>
        <w:tc>
          <w:tcPr>
            <w:tcW w:w="1303" w:type="dxa"/>
            <w:tcBorders>
              <w:top w:val="single" w:sz="4" w:space="0" w:color="auto"/>
              <w:left w:val="nil"/>
              <w:bottom w:val="single" w:sz="4" w:space="0" w:color="auto"/>
              <w:right w:val="single" w:sz="4" w:space="0" w:color="auto"/>
            </w:tcBorders>
            <w:tcMar>
              <w:right w:w="397" w:type="dxa"/>
            </w:tcMar>
            <w:vAlign w:val="center"/>
          </w:tcPr>
          <w:p w:rsidR="00B2412B" w:rsidRPr="00AA2C9B" w:rsidRDefault="00B2412B" w:rsidP="00B2412B">
            <w:pPr>
              <w:spacing w:after="0" w:line="240" w:lineRule="auto"/>
              <w:jc w:val="right"/>
              <w:rPr>
                <w:rFonts w:ascii="Arial" w:hAnsi="Arial" w:cs="Arial"/>
                <w:b/>
                <w:bCs/>
                <w:sz w:val="18"/>
                <w:szCs w:val="18"/>
              </w:rPr>
            </w:pPr>
            <w:r w:rsidRPr="00AA2C9B">
              <w:rPr>
                <w:rFonts w:ascii="Arial" w:hAnsi="Arial" w:cs="Arial"/>
                <w:b/>
                <w:bCs/>
                <w:sz w:val="18"/>
                <w:szCs w:val="18"/>
              </w:rPr>
              <w:t>+66,4</w:t>
            </w:r>
          </w:p>
        </w:tc>
      </w:tr>
    </w:tbl>
    <w:p w:rsidR="00601270" w:rsidRPr="00AA2C9B" w:rsidRDefault="00601270" w:rsidP="00601270">
      <w:pPr>
        <w:spacing w:after="0" w:line="240" w:lineRule="auto"/>
        <w:jc w:val="both"/>
        <w:rPr>
          <w:rFonts w:ascii="Arial" w:eastAsia="Times New Roman" w:hAnsi="Arial" w:cs="Times New Roman"/>
          <w:bCs/>
          <w:sz w:val="20"/>
          <w:szCs w:val="24"/>
          <w:lang w:eastAsia="cs-CZ"/>
        </w:rPr>
      </w:pPr>
      <w:r w:rsidRPr="00AA2C9B">
        <w:rPr>
          <w:rFonts w:ascii="Arial" w:eastAsia="Times New Roman" w:hAnsi="Arial" w:cs="Times New Roman"/>
          <w:bCs/>
          <w:sz w:val="16"/>
          <w:szCs w:val="16"/>
          <w:lang w:eastAsia="cs-CZ"/>
        </w:rPr>
        <w:t xml:space="preserve">Zdroj: </w:t>
      </w:r>
      <w:r w:rsidRPr="00AA2C9B">
        <w:rPr>
          <w:rFonts w:ascii="Arial" w:eastAsia="Times New Roman" w:hAnsi="Arial" w:cs="Times New Roman"/>
          <w:sz w:val="16"/>
          <w:szCs w:val="16"/>
          <w:lang w:eastAsia="cs-CZ"/>
        </w:rPr>
        <w:t>Vestník verejného obstarávania</w:t>
      </w:r>
      <w:r w:rsidRPr="00AA2C9B">
        <w:rPr>
          <w:rFonts w:ascii="Arial" w:eastAsia="Times New Roman" w:hAnsi="Arial" w:cs="Times New Roman"/>
          <w:bCs/>
          <w:sz w:val="16"/>
          <w:szCs w:val="16"/>
          <w:lang w:eastAsia="cs-CZ"/>
        </w:rPr>
        <w:t>, výpočty CEEC Research</w:t>
      </w:r>
    </w:p>
    <w:p w:rsidR="001768AF" w:rsidRPr="00AA2C9B" w:rsidRDefault="001768AF" w:rsidP="000321DF">
      <w:pPr>
        <w:spacing w:after="0" w:line="360" w:lineRule="auto"/>
        <w:jc w:val="both"/>
        <w:rPr>
          <w:rStyle w:val="Hypertextovodkaz"/>
          <w:rFonts w:cs="Arial"/>
          <w:color w:val="auto"/>
          <w:u w:val="none"/>
        </w:rPr>
      </w:pPr>
    </w:p>
    <w:p w:rsidR="00FA7C0C" w:rsidRPr="00AA2C9B" w:rsidRDefault="00E11F5D" w:rsidP="00FA7C0C">
      <w:pPr>
        <w:spacing w:after="0" w:line="360" w:lineRule="auto"/>
        <w:jc w:val="both"/>
        <w:rPr>
          <w:rStyle w:val="Hypertextovodkaz"/>
          <w:color w:val="auto"/>
          <w:u w:val="none"/>
        </w:rPr>
      </w:pPr>
      <w:r>
        <w:rPr>
          <w:rStyle w:val="Hypertextovodkaz"/>
          <w:color w:val="auto"/>
          <w:u w:val="none"/>
        </w:rPr>
        <w:t>Za sedem mesiacov</w:t>
      </w:r>
      <w:r w:rsidR="00CA24E7" w:rsidRPr="00AA2C9B">
        <w:rPr>
          <w:rStyle w:val="Hypertextovodkaz"/>
          <w:color w:val="auto"/>
          <w:u w:val="none"/>
        </w:rPr>
        <w:t xml:space="preserve"> tohto roka bolo ukončených </w:t>
      </w:r>
      <w:r w:rsidR="009E3D6E" w:rsidRPr="00AA2C9B">
        <w:rPr>
          <w:rStyle w:val="Hypertextovodkaz"/>
          <w:color w:val="auto"/>
          <w:u w:val="none"/>
        </w:rPr>
        <w:t>a konkrétnym firmám zadaných 1</w:t>
      </w:r>
      <w:r>
        <w:rPr>
          <w:rStyle w:val="Hypertextovodkaz"/>
          <w:color w:val="auto"/>
          <w:u w:val="none"/>
        </w:rPr>
        <w:t xml:space="preserve"> </w:t>
      </w:r>
      <w:r w:rsidR="009E3D6E" w:rsidRPr="00AA2C9B">
        <w:rPr>
          <w:rStyle w:val="Hypertextovodkaz"/>
          <w:color w:val="auto"/>
          <w:u w:val="none"/>
        </w:rPr>
        <w:t>416</w:t>
      </w:r>
      <w:r w:rsidR="00CA24E7" w:rsidRPr="00AA2C9B">
        <w:rPr>
          <w:rStyle w:val="Hypertextovodkaz"/>
          <w:color w:val="auto"/>
          <w:u w:val="none"/>
        </w:rPr>
        <w:t xml:space="preserve"> verejných </w:t>
      </w:r>
      <w:r w:rsidR="009E3D6E" w:rsidRPr="00AA2C9B">
        <w:rPr>
          <w:rStyle w:val="Hypertextovodkaz"/>
          <w:color w:val="auto"/>
          <w:u w:val="none"/>
        </w:rPr>
        <w:t>obstarávaní v celkovej hodnote 2,08</w:t>
      </w:r>
      <w:r w:rsidR="00CA24E7" w:rsidRPr="00AA2C9B">
        <w:rPr>
          <w:rStyle w:val="Hypertextovodkaz"/>
          <w:color w:val="auto"/>
          <w:u w:val="none"/>
        </w:rPr>
        <w:t xml:space="preserve"> miliardy EUR, čo v m</w:t>
      </w:r>
      <w:r w:rsidR="009E3D6E" w:rsidRPr="00AA2C9B">
        <w:rPr>
          <w:rStyle w:val="Hypertextovodkaz"/>
          <w:color w:val="auto"/>
          <w:u w:val="none"/>
        </w:rPr>
        <w:t xml:space="preserve">edziročnom porovnaní predstavuje </w:t>
      </w:r>
      <w:r w:rsidR="00FA7C0C" w:rsidRPr="00AA2C9B">
        <w:rPr>
          <w:rStyle w:val="Hypertextovodkaz"/>
          <w:color w:val="auto"/>
          <w:u w:val="none"/>
        </w:rPr>
        <w:t xml:space="preserve">jednak </w:t>
      </w:r>
      <w:r>
        <w:rPr>
          <w:rStyle w:val="Hypertextovodkaz"/>
          <w:color w:val="auto"/>
          <w:u w:val="none"/>
        </w:rPr>
        <w:t>polovičný</w:t>
      </w:r>
      <w:r w:rsidR="00CA24E7" w:rsidRPr="00AA2C9B">
        <w:rPr>
          <w:rStyle w:val="Hypertextovodkaz"/>
          <w:color w:val="auto"/>
          <w:u w:val="none"/>
        </w:rPr>
        <w:t xml:space="preserve"> (68,3 </w:t>
      </w:r>
      <w:r w:rsidR="00CA24E7" w:rsidRPr="00AA2C9B">
        <w:rPr>
          <w:rStyle w:val="Hypertextovodkaz"/>
          <w:rFonts w:cs="Arial"/>
          <w:color w:val="auto"/>
          <w:u w:val="none"/>
        </w:rPr>
        <w:t>%) pokles počtu a</w:t>
      </w:r>
      <w:r w:rsidR="00FA7C0C" w:rsidRPr="00AA2C9B">
        <w:rPr>
          <w:rStyle w:val="Hypertextovodkaz"/>
          <w:rFonts w:cs="Arial"/>
          <w:color w:val="auto"/>
          <w:u w:val="none"/>
        </w:rPr>
        <w:t xml:space="preserve"> zároveň </w:t>
      </w:r>
      <w:r>
        <w:rPr>
          <w:rStyle w:val="Hypertextovodkaz"/>
          <w:rFonts w:cs="Arial"/>
          <w:color w:val="auto"/>
          <w:u w:val="none"/>
        </w:rPr>
        <w:t>pä</w:t>
      </w:r>
      <w:r w:rsidR="00F22B7C" w:rsidRPr="00AA2C9B">
        <w:rPr>
          <w:rStyle w:val="Hypertextovodkaz"/>
          <w:rFonts w:cs="Arial"/>
          <w:color w:val="auto"/>
          <w:u w:val="none"/>
        </w:rPr>
        <w:t>tinový (17</w:t>
      </w:r>
      <w:r w:rsidR="00CA24E7" w:rsidRPr="00AA2C9B">
        <w:rPr>
          <w:rStyle w:val="Hypertextovodkaz"/>
          <w:rFonts w:cs="Arial"/>
          <w:color w:val="auto"/>
          <w:u w:val="none"/>
        </w:rPr>
        <w:t>,7 %) p</w:t>
      </w:r>
      <w:r w:rsidR="00FA7C0C" w:rsidRPr="00AA2C9B">
        <w:rPr>
          <w:rStyle w:val="Hypertextovodkaz"/>
          <w:rFonts w:cs="Arial"/>
          <w:color w:val="auto"/>
          <w:u w:val="none"/>
        </w:rPr>
        <w:t xml:space="preserve">okles objemu zadaných zákaziek. </w:t>
      </w:r>
      <w:r w:rsidR="00CA24E7" w:rsidRPr="00AA2C9B">
        <w:rPr>
          <w:rStyle w:val="Hypertextovodkaz"/>
          <w:color w:val="auto"/>
          <w:u w:val="none"/>
        </w:rPr>
        <w:t>Niektoré verejné obstarávania stále prebiehajú, a preto treba očakávať, že v ďalších mesiacoch dôjde ešte k aktualizácii a upresneniu dát.</w:t>
      </w:r>
      <w:r w:rsidR="00FA7C0C" w:rsidRPr="00AA2C9B">
        <w:rPr>
          <w:rStyle w:val="Hypertextovodkaz"/>
          <w:color w:val="auto"/>
          <w:u w:val="none"/>
        </w:rPr>
        <w:t xml:space="preserve"> </w:t>
      </w:r>
      <w:r w:rsidR="00FA7C0C" w:rsidRPr="00AA2C9B">
        <w:rPr>
          <w:rStyle w:val="Hypertextovodkaz"/>
          <w:i/>
          <w:iCs/>
          <w:color w:val="auto"/>
          <w:u w:val="none"/>
        </w:rPr>
        <w:t xml:space="preserve">„Aktuálna výstavba na Slovensku je dostačujúca len v segmente pozemných stavieb, čo je zásluha privátneho sektora. V segmente inžinierskych stavieb rozhodne nie je dostačujúca. V minulom a tomto roku boli odovzdané viaceré úseky diaľnic a rýchlostných komunikácií, ale nenadväzuje na ne výstavba nových úsekov. Čo je ešte horšie, žiadne úseky diaľnic či rýchlostných komunikácií nie sú pripravené a s výnimkou úseku R3 Tvrdošín – Nižná nad Oravou nie je možné ani vypísať súťaž. Chýba projektová dokumentácia, výkupy pozemkov aj príslušné povolenia. U železníc je situácia </w:t>
      </w:r>
      <w:r>
        <w:rPr>
          <w:rStyle w:val="Hypertextovodkaz"/>
          <w:i/>
          <w:iCs/>
          <w:color w:val="auto"/>
          <w:u w:val="none"/>
        </w:rPr>
        <w:t>obdobná, okrem úseku Poprad – Lu</w:t>
      </w:r>
      <w:r w:rsidR="00FA7C0C" w:rsidRPr="00AA2C9B">
        <w:rPr>
          <w:rStyle w:val="Hypertextovodkaz"/>
          <w:i/>
          <w:iCs/>
          <w:color w:val="auto"/>
          <w:u w:val="none"/>
        </w:rPr>
        <w:t>čivná nie je pripravený žiadny úsek.  S veľkými obavami sledujeme aj vývoj projektu PPP D4/R7 v Bratislave, jednak z dôvodu sklzu v zabezpečení stavebných povolení, neriešením úpravy diaľnice D1 v križovaní s D4, ale aj neštandardným postupom koncesionára pri výbere zhotoviteľov na realizáciu stavby,“</w:t>
      </w:r>
      <w:r w:rsidR="00FA7C0C" w:rsidRPr="00AA2C9B">
        <w:rPr>
          <w:rStyle w:val="Hypertextovodkaz"/>
          <w:color w:val="auto"/>
          <w:u w:val="none"/>
        </w:rPr>
        <w:t xml:space="preserve"> </w:t>
      </w:r>
      <w:r>
        <w:rPr>
          <w:rStyle w:val="Hypertextovodkaz"/>
          <w:color w:val="auto"/>
          <w:u w:val="none"/>
        </w:rPr>
        <w:t>popisuje situá</w:t>
      </w:r>
      <w:r w:rsidR="00FA7C0C" w:rsidRPr="00AA2C9B">
        <w:rPr>
          <w:rStyle w:val="Hypertextovodkaz"/>
          <w:color w:val="auto"/>
          <w:u w:val="none"/>
        </w:rPr>
        <w:t>ci</w:t>
      </w:r>
      <w:r>
        <w:rPr>
          <w:rStyle w:val="Hypertextovodkaz"/>
          <w:color w:val="auto"/>
          <w:u w:val="none"/>
        </w:rPr>
        <w:t>u</w:t>
      </w:r>
      <w:r w:rsidR="00FA7C0C" w:rsidRPr="00AA2C9B">
        <w:rPr>
          <w:rStyle w:val="Hypertextovodkaz"/>
          <w:color w:val="auto"/>
          <w:u w:val="none"/>
        </w:rPr>
        <w:t xml:space="preserve"> </w:t>
      </w:r>
      <w:r w:rsidR="00FA7C0C" w:rsidRPr="00AA2C9B">
        <w:rPr>
          <w:rStyle w:val="Hypertextovodkaz"/>
          <w:b/>
          <w:bCs/>
          <w:color w:val="auto"/>
          <w:u w:val="none"/>
        </w:rPr>
        <w:t>Ján Záhradník, obchodný riaditeľ, Doprastav, a. s.</w:t>
      </w:r>
      <w:r w:rsidR="00FA7C0C" w:rsidRPr="00AA2C9B">
        <w:rPr>
          <w:rStyle w:val="Hypertextovodkaz"/>
          <w:color w:val="auto"/>
          <w:u w:val="none"/>
        </w:rPr>
        <w:t xml:space="preserve"> </w:t>
      </w:r>
      <w:r w:rsidR="00FA7C0C" w:rsidRPr="00AA2C9B">
        <w:rPr>
          <w:rStyle w:val="Hypertextovodkaz"/>
          <w:i/>
          <w:iCs/>
          <w:color w:val="auto"/>
          <w:u w:val="none"/>
        </w:rPr>
        <w:t xml:space="preserve">„Po kríze, ktorú sme ešte prednedávnom v slovenskom stavebníctve prekonali a ktorá kvôli extrémne nízkym a podhodnoteným cenám priniesla firmám množstvo problémov, sme dúfali, že stavebná výroba sa začne rovnomerne vyvíjať. Štát ako hlavný investor v oblasti veľkých infraštruktúrnych stavieb spustil viacero projektov, avšak po voľbách sme boli opäť svedkami toho, že rozbehnutý proces sa zastavil. Dnes získavame informácie, že pripravenosť diaľničných a železničných stavieb je na veľmi nízkej úrovni a že chýbajú projekty, ktoré by kontinuálne nahradili tie, ktoré sa práve dokončujú. Obávam sa, že vzhľadom na tieto fakty sa dá predpokladať, že stavebná výroba sa na Slovensku opäť zníži a firmy budú zápasiť o každú zákazku. Pre ich zamestnancov i subdodávateľské firmy to bude znamenať menej práce a straty tak zaznamenáme všetci. Už viackrát sme preto apelovali </w:t>
      </w:r>
      <w:r w:rsidR="00FA7C0C" w:rsidRPr="00AA2C9B">
        <w:rPr>
          <w:rStyle w:val="Hypertextovodkaz"/>
          <w:i/>
          <w:iCs/>
          <w:color w:val="auto"/>
          <w:u w:val="none"/>
        </w:rPr>
        <w:lastRenderedPageBreak/>
        <w:t>na štát, aby prijal harmonogram prác, ktorý by nebol závislý od politickej vôle jednotlivých úradníkov, ale bol by záväzný pre každú vládu. Ak si nechceme zopakovať situáciu spred piatich rokov, je naozaj najvyšší čas takýto plán prijať,“</w:t>
      </w:r>
      <w:r w:rsidR="00FA7C0C" w:rsidRPr="00AA2C9B">
        <w:rPr>
          <w:rStyle w:val="Hypertextovodkaz"/>
          <w:color w:val="auto"/>
          <w:u w:val="none"/>
        </w:rPr>
        <w:t xml:space="preserve"> </w:t>
      </w:r>
      <w:r w:rsidR="00A86316">
        <w:rPr>
          <w:rStyle w:val="Hypertextovodkaz"/>
          <w:b/>
          <w:bCs/>
          <w:color w:val="auto"/>
          <w:u w:val="none"/>
        </w:rPr>
        <w:t>dodáva</w:t>
      </w:r>
      <w:r w:rsidR="00FA7C0C" w:rsidRPr="00AA2C9B">
        <w:rPr>
          <w:rStyle w:val="Hypertextovodkaz"/>
          <w:b/>
          <w:bCs/>
          <w:color w:val="auto"/>
          <w:u w:val="none"/>
        </w:rPr>
        <w:t xml:space="preserve"> Marián Moravčík, Generálny riaditeľ, VÁHOSTAV - SK, a. s.</w:t>
      </w:r>
    </w:p>
    <w:p w:rsidR="00C7622D" w:rsidRPr="00AA2C9B" w:rsidRDefault="00C7622D" w:rsidP="000321DF">
      <w:pPr>
        <w:spacing w:after="0" w:line="360" w:lineRule="auto"/>
        <w:jc w:val="both"/>
        <w:rPr>
          <w:rStyle w:val="Hypertextovodkaz"/>
          <w:rFonts w:cs="Arial"/>
          <w:color w:val="auto"/>
          <w:u w:val="none"/>
        </w:rPr>
      </w:pPr>
    </w:p>
    <w:p w:rsidR="00D077D7" w:rsidRPr="00AA2C9B" w:rsidRDefault="00D077D7" w:rsidP="00D077D7">
      <w:pPr>
        <w:spacing w:after="0" w:line="240" w:lineRule="auto"/>
        <w:jc w:val="both"/>
        <w:rPr>
          <w:rFonts w:ascii="Arial" w:eastAsia="Times New Roman" w:hAnsi="Arial" w:cs="Times New Roman"/>
          <w:bCs/>
          <w:sz w:val="20"/>
          <w:szCs w:val="24"/>
          <w:lang w:eastAsia="cs-CZ"/>
        </w:rPr>
      </w:pPr>
      <w:r w:rsidRPr="00AA2C9B">
        <w:rPr>
          <w:rFonts w:ascii="Arial" w:eastAsia="Times New Roman" w:hAnsi="Arial" w:cs="Times New Roman"/>
          <w:b/>
          <w:bCs/>
          <w:sz w:val="20"/>
          <w:szCs w:val="24"/>
          <w:lang w:eastAsia="cs-CZ"/>
        </w:rPr>
        <w:t>Počet a ob</w:t>
      </w:r>
      <w:r w:rsidR="0023390B" w:rsidRPr="00AA2C9B">
        <w:rPr>
          <w:rFonts w:ascii="Arial" w:eastAsia="Times New Roman" w:hAnsi="Arial" w:cs="Times New Roman"/>
          <w:b/>
          <w:bCs/>
          <w:sz w:val="20"/>
          <w:szCs w:val="24"/>
          <w:lang w:eastAsia="cs-CZ"/>
        </w:rPr>
        <w:t>jem ukončených verejných obstaráva</w:t>
      </w:r>
      <w:r w:rsidR="006B0F91" w:rsidRPr="00AA2C9B">
        <w:rPr>
          <w:rFonts w:ascii="Arial" w:eastAsia="Times New Roman" w:hAnsi="Arial" w:cs="Times New Roman"/>
          <w:b/>
          <w:bCs/>
          <w:sz w:val="20"/>
          <w:szCs w:val="24"/>
          <w:lang w:eastAsia="cs-CZ"/>
        </w:rPr>
        <w:t>ní</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
        <w:gridCol w:w="2081"/>
        <w:gridCol w:w="1263"/>
        <w:gridCol w:w="809"/>
        <w:gridCol w:w="1421"/>
        <w:gridCol w:w="1264"/>
        <w:gridCol w:w="897"/>
        <w:gridCol w:w="1267"/>
      </w:tblGrid>
      <w:tr w:rsidR="00D077D7" w:rsidRPr="00AA2C9B" w:rsidTr="00283D79">
        <w:trPr>
          <w:gridBefore w:val="1"/>
          <w:wBefore w:w="349" w:type="dxa"/>
          <w:cantSplit/>
          <w:trHeight w:val="284"/>
        </w:trPr>
        <w:tc>
          <w:tcPr>
            <w:tcW w:w="2081" w:type="dxa"/>
            <w:vMerge w:val="restart"/>
            <w:tcBorders>
              <w:top w:val="nil"/>
              <w:left w:val="nil"/>
            </w:tcBorders>
            <w:vAlign w:val="center"/>
          </w:tcPr>
          <w:p w:rsidR="00D077D7" w:rsidRPr="00AA2C9B" w:rsidRDefault="0023390B"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Zákazky celko</w:t>
            </w:r>
            <w:r w:rsidR="006B0F91" w:rsidRPr="00AA2C9B">
              <w:rPr>
                <w:rFonts w:ascii="Arial" w:eastAsia="Times New Roman" w:hAnsi="Arial" w:cs="Times New Roman"/>
                <w:bCs/>
                <w:sz w:val="18"/>
                <w:szCs w:val="18"/>
                <w:lang w:eastAsia="cs-CZ"/>
              </w:rPr>
              <w:t>m</w:t>
            </w:r>
          </w:p>
        </w:tc>
        <w:tc>
          <w:tcPr>
            <w:tcW w:w="3493" w:type="dxa"/>
            <w:gridSpan w:val="3"/>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Počet</w:t>
            </w:r>
          </w:p>
        </w:tc>
        <w:tc>
          <w:tcPr>
            <w:tcW w:w="3428" w:type="dxa"/>
            <w:gridSpan w:val="3"/>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Objem</w:t>
            </w:r>
          </w:p>
        </w:tc>
      </w:tr>
      <w:tr w:rsidR="00D077D7" w:rsidRPr="00AA2C9B" w:rsidTr="00283D79">
        <w:trPr>
          <w:gridBefore w:val="1"/>
          <w:wBefore w:w="349" w:type="dxa"/>
          <w:cantSplit/>
          <w:trHeight w:val="284"/>
        </w:trPr>
        <w:tc>
          <w:tcPr>
            <w:tcW w:w="2081" w:type="dxa"/>
            <w:vMerge/>
            <w:tcBorders>
              <w:top w:val="nil"/>
              <w:left w:val="nil"/>
            </w:tcBorders>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p>
        </w:tc>
        <w:tc>
          <w:tcPr>
            <w:tcW w:w="1263" w:type="dxa"/>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počet</w:t>
            </w:r>
          </w:p>
        </w:tc>
        <w:tc>
          <w:tcPr>
            <w:tcW w:w="2230" w:type="dxa"/>
            <w:gridSpan w:val="2"/>
            <w:tcBorders>
              <w:bottom w:val="single" w:sz="4" w:space="0" w:color="auto"/>
            </w:tcBorders>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me</w:t>
            </w:r>
            <w:r w:rsidR="0023390B" w:rsidRPr="00AA2C9B">
              <w:rPr>
                <w:rFonts w:ascii="Arial" w:eastAsia="Times New Roman" w:hAnsi="Arial" w:cs="Times New Roman"/>
                <w:bCs/>
                <w:sz w:val="18"/>
                <w:szCs w:val="18"/>
                <w:lang w:eastAsia="cs-CZ"/>
              </w:rPr>
              <w:t>dziročná zme</w:t>
            </w:r>
            <w:r w:rsidRPr="00AA2C9B">
              <w:rPr>
                <w:rFonts w:ascii="Arial" w:eastAsia="Times New Roman" w:hAnsi="Arial" w:cs="Times New Roman"/>
                <w:bCs/>
                <w:sz w:val="18"/>
                <w:szCs w:val="18"/>
                <w:lang w:eastAsia="cs-CZ"/>
              </w:rPr>
              <w:t>na v %</w:t>
            </w:r>
          </w:p>
        </w:tc>
        <w:tc>
          <w:tcPr>
            <w:tcW w:w="1264" w:type="dxa"/>
            <w:tcBorders>
              <w:bottom w:val="single" w:sz="4" w:space="0" w:color="auto"/>
            </w:tcBorders>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objem v</w:t>
            </w:r>
            <w:r w:rsidR="0023390B" w:rsidRPr="00AA2C9B">
              <w:rPr>
                <w:rFonts w:ascii="Arial" w:eastAsia="Times New Roman" w:hAnsi="Arial" w:cs="Times New Roman"/>
                <w:bCs/>
                <w:sz w:val="18"/>
                <w:szCs w:val="18"/>
                <w:lang w:eastAsia="cs-CZ"/>
              </w:rPr>
              <w:t> </w:t>
            </w:r>
            <w:r w:rsidRPr="00AA2C9B">
              <w:rPr>
                <w:rFonts w:ascii="Arial" w:eastAsia="Times New Roman" w:hAnsi="Arial" w:cs="Times New Roman"/>
                <w:bCs/>
                <w:sz w:val="18"/>
                <w:szCs w:val="18"/>
                <w:lang w:eastAsia="cs-CZ"/>
              </w:rPr>
              <w:t>mil</w:t>
            </w:r>
            <w:r w:rsidR="0023390B" w:rsidRPr="00AA2C9B">
              <w:rPr>
                <w:rFonts w:ascii="Arial" w:eastAsia="Times New Roman" w:hAnsi="Arial" w:cs="Times New Roman"/>
                <w:bCs/>
                <w:sz w:val="18"/>
                <w:szCs w:val="18"/>
                <w:lang w:eastAsia="cs-CZ"/>
              </w:rPr>
              <w:t>.</w:t>
            </w:r>
            <w:r w:rsidRPr="00AA2C9B">
              <w:rPr>
                <w:rFonts w:ascii="Arial" w:eastAsia="Times New Roman" w:hAnsi="Arial" w:cs="Times New Roman"/>
                <w:bCs/>
                <w:sz w:val="18"/>
                <w:szCs w:val="18"/>
                <w:lang w:eastAsia="cs-CZ"/>
              </w:rPr>
              <w:t xml:space="preserve"> EUR</w:t>
            </w:r>
          </w:p>
        </w:tc>
        <w:tc>
          <w:tcPr>
            <w:tcW w:w="2164" w:type="dxa"/>
            <w:gridSpan w:val="2"/>
            <w:tcBorders>
              <w:bottom w:val="single" w:sz="4" w:space="0" w:color="auto"/>
            </w:tcBorders>
            <w:vAlign w:val="center"/>
          </w:tcPr>
          <w:p w:rsidR="00D077D7" w:rsidRPr="00AA2C9B" w:rsidRDefault="00D077D7" w:rsidP="00D077D7">
            <w:pPr>
              <w:spacing w:after="0" w:line="240" w:lineRule="auto"/>
              <w:jc w:val="center"/>
              <w:rPr>
                <w:rFonts w:ascii="Arial" w:eastAsia="Times New Roman" w:hAnsi="Arial" w:cs="Times New Roman"/>
                <w:bCs/>
                <w:sz w:val="18"/>
                <w:szCs w:val="18"/>
                <w:lang w:eastAsia="cs-CZ"/>
              </w:rPr>
            </w:pPr>
            <w:r w:rsidRPr="00AA2C9B">
              <w:rPr>
                <w:rFonts w:ascii="Arial" w:eastAsia="Times New Roman" w:hAnsi="Arial" w:cs="Times New Roman"/>
                <w:bCs/>
                <w:sz w:val="18"/>
                <w:szCs w:val="18"/>
                <w:lang w:eastAsia="cs-CZ"/>
              </w:rPr>
              <w:t>me</w:t>
            </w:r>
            <w:r w:rsidR="0023390B" w:rsidRPr="00AA2C9B">
              <w:rPr>
                <w:rFonts w:ascii="Arial" w:eastAsia="Times New Roman" w:hAnsi="Arial" w:cs="Times New Roman"/>
                <w:bCs/>
                <w:sz w:val="18"/>
                <w:szCs w:val="18"/>
                <w:lang w:eastAsia="cs-CZ"/>
              </w:rPr>
              <w:t>dziročná zme</w:t>
            </w:r>
            <w:r w:rsidRPr="00AA2C9B">
              <w:rPr>
                <w:rFonts w:ascii="Arial" w:eastAsia="Times New Roman" w:hAnsi="Arial" w:cs="Times New Roman"/>
                <w:bCs/>
                <w:sz w:val="18"/>
                <w:szCs w:val="18"/>
                <w:lang w:eastAsia="cs-CZ"/>
              </w:rPr>
              <w:t>na v %</w:t>
            </w:r>
          </w:p>
        </w:tc>
      </w:tr>
      <w:tr w:rsidR="006B0F91" w:rsidRPr="00AA2C9B" w:rsidTr="00283D79">
        <w:trPr>
          <w:cantSplit/>
          <w:trHeight w:val="284"/>
        </w:trPr>
        <w:tc>
          <w:tcPr>
            <w:tcW w:w="2430" w:type="dxa"/>
            <w:gridSpan w:val="2"/>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2012</w:t>
            </w:r>
          </w:p>
        </w:tc>
        <w:tc>
          <w:tcPr>
            <w:tcW w:w="1263"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7 997</w:t>
            </w:r>
          </w:p>
        </w:tc>
        <w:tc>
          <w:tcPr>
            <w:tcW w:w="809"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p>
        </w:tc>
        <w:tc>
          <w:tcPr>
            <w:tcW w:w="1421"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w:t>
            </w:r>
          </w:p>
        </w:tc>
        <w:tc>
          <w:tcPr>
            <w:tcW w:w="1264" w:type="dxa"/>
            <w:tcBorders>
              <w:left w:val="single" w:sz="4" w:space="0" w:color="auto"/>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4 231</w:t>
            </w:r>
          </w:p>
        </w:tc>
        <w:tc>
          <w:tcPr>
            <w:tcW w:w="897"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p>
        </w:tc>
        <w:tc>
          <w:tcPr>
            <w:tcW w:w="1267"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w:t>
            </w:r>
          </w:p>
        </w:tc>
      </w:tr>
      <w:tr w:rsidR="006B0F91" w:rsidRPr="00AA2C9B" w:rsidTr="00283D79">
        <w:trPr>
          <w:cantSplit/>
          <w:trHeight w:val="284"/>
        </w:trPr>
        <w:tc>
          <w:tcPr>
            <w:tcW w:w="2430" w:type="dxa"/>
            <w:gridSpan w:val="2"/>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2013</w:t>
            </w:r>
          </w:p>
        </w:tc>
        <w:tc>
          <w:tcPr>
            <w:tcW w:w="1263"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8 615</w:t>
            </w:r>
          </w:p>
        </w:tc>
        <w:tc>
          <w:tcPr>
            <w:tcW w:w="809" w:type="dxa"/>
            <w:tcBorders>
              <w:left w:val="single" w:sz="4" w:space="0" w:color="auto"/>
              <w:right w:val="nil"/>
            </w:tcBorders>
            <w:vAlign w:val="center"/>
          </w:tcPr>
          <w:p w:rsidR="006B0F91" w:rsidRPr="00AA2C9B" w:rsidRDefault="006B0F91" w:rsidP="006B0F91">
            <w:pPr>
              <w:spacing w:after="0" w:line="240" w:lineRule="auto"/>
              <w:jc w:val="center"/>
              <w:rPr>
                <w:rFonts w:ascii="Arial" w:hAnsi="Arial" w:cs="Arial"/>
                <w:sz w:val="18"/>
                <w:szCs w:val="18"/>
              </w:rPr>
            </w:pPr>
            <w:r w:rsidRPr="00AA2C9B">
              <w:rPr>
                <w:bCs/>
                <w:color w:val="92D050"/>
                <w:sz w:val="24"/>
              </w:rPr>
              <w:sym w:font="Wingdings 3" w:char="F0C7"/>
            </w:r>
          </w:p>
        </w:tc>
        <w:tc>
          <w:tcPr>
            <w:tcW w:w="1421"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+7,7</w:t>
            </w:r>
          </w:p>
        </w:tc>
        <w:tc>
          <w:tcPr>
            <w:tcW w:w="1264" w:type="dxa"/>
            <w:tcBorders>
              <w:left w:val="single" w:sz="4" w:space="0" w:color="auto"/>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6 407</w:t>
            </w:r>
          </w:p>
        </w:tc>
        <w:tc>
          <w:tcPr>
            <w:tcW w:w="897" w:type="dxa"/>
            <w:tcBorders>
              <w:left w:val="single" w:sz="4" w:space="0" w:color="auto"/>
              <w:right w:val="nil"/>
            </w:tcBorders>
            <w:vAlign w:val="center"/>
          </w:tcPr>
          <w:p w:rsidR="006B0F91" w:rsidRPr="00AA2C9B" w:rsidRDefault="006B0F91" w:rsidP="006B0F91">
            <w:pPr>
              <w:spacing w:after="0" w:line="240" w:lineRule="auto"/>
              <w:jc w:val="center"/>
              <w:rPr>
                <w:bCs/>
                <w:color w:val="92D050"/>
                <w:sz w:val="24"/>
              </w:rPr>
            </w:pPr>
            <w:r w:rsidRPr="00AA2C9B">
              <w:rPr>
                <w:bCs/>
                <w:color w:val="92D050"/>
                <w:sz w:val="24"/>
              </w:rPr>
              <w:sym w:font="Wingdings 3" w:char="F0C7"/>
            </w:r>
          </w:p>
        </w:tc>
        <w:tc>
          <w:tcPr>
            <w:tcW w:w="1267"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+51,4</w:t>
            </w:r>
          </w:p>
        </w:tc>
      </w:tr>
      <w:tr w:rsidR="006B0F91" w:rsidRPr="00AA2C9B" w:rsidTr="00283D79">
        <w:trPr>
          <w:cantSplit/>
          <w:trHeight w:val="284"/>
        </w:trPr>
        <w:tc>
          <w:tcPr>
            <w:tcW w:w="2430" w:type="dxa"/>
            <w:gridSpan w:val="2"/>
            <w:vAlign w:val="center"/>
          </w:tcPr>
          <w:p w:rsidR="006B0F91" w:rsidRPr="00AA2C9B" w:rsidRDefault="006B0F91" w:rsidP="006B0F91">
            <w:pPr>
              <w:spacing w:after="0" w:line="240" w:lineRule="auto"/>
              <w:jc w:val="center"/>
              <w:rPr>
                <w:rFonts w:ascii="Arial" w:hAnsi="Arial" w:cs="Arial"/>
                <w:sz w:val="18"/>
                <w:szCs w:val="18"/>
              </w:rPr>
            </w:pPr>
            <w:r w:rsidRPr="00AA2C9B">
              <w:rPr>
                <w:rFonts w:ascii="Arial" w:hAnsi="Arial" w:cs="Arial"/>
                <w:sz w:val="18"/>
                <w:szCs w:val="18"/>
              </w:rPr>
              <w:t>2014</w:t>
            </w:r>
          </w:p>
        </w:tc>
        <w:tc>
          <w:tcPr>
            <w:tcW w:w="1263" w:type="dxa"/>
            <w:tcBorders>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5 964</w:t>
            </w:r>
          </w:p>
        </w:tc>
        <w:tc>
          <w:tcPr>
            <w:tcW w:w="809" w:type="dxa"/>
            <w:tcBorders>
              <w:left w:val="single" w:sz="4" w:space="0" w:color="auto"/>
              <w:right w:val="nil"/>
            </w:tcBorders>
            <w:vAlign w:val="center"/>
          </w:tcPr>
          <w:p w:rsidR="006B0F91" w:rsidRPr="00AA2C9B" w:rsidRDefault="006B0F91" w:rsidP="006B0F91">
            <w:pPr>
              <w:spacing w:after="0" w:line="240" w:lineRule="auto"/>
              <w:jc w:val="center"/>
              <w:rPr>
                <w:b/>
                <w:bCs/>
                <w:color w:val="FF0000"/>
                <w:sz w:val="24"/>
              </w:rPr>
            </w:pPr>
            <w:r w:rsidRPr="00AA2C9B">
              <w:rPr>
                <w:b/>
                <w:bCs/>
                <w:color w:val="FF0000"/>
                <w:sz w:val="24"/>
              </w:rPr>
              <w:sym w:font="Wingdings 3" w:char="F0C8"/>
            </w:r>
          </w:p>
        </w:tc>
        <w:tc>
          <w:tcPr>
            <w:tcW w:w="1421" w:type="dxa"/>
            <w:tcBorders>
              <w:left w:val="nil"/>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-30,8</w:t>
            </w:r>
          </w:p>
        </w:tc>
        <w:tc>
          <w:tcPr>
            <w:tcW w:w="1264" w:type="dxa"/>
            <w:tcBorders>
              <w:left w:val="single" w:sz="4" w:space="0" w:color="auto"/>
              <w:right w:val="single" w:sz="4" w:space="0" w:color="auto"/>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6 503</w:t>
            </w:r>
          </w:p>
        </w:tc>
        <w:tc>
          <w:tcPr>
            <w:tcW w:w="897" w:type="dxa"/>
            <w:tcBorders>
              <w:left w:val="single" w:sz="4" w:space="0" w:color="auto"/>
              <w:right w:val="nil"/>
            </w:tcBorders>
            <w:vAlign w:val="center"/>
          </w:tcPr>
          <w:p w:rsidR="006B0F91" w:rsidRPr="00AA2C9B" w:rsidRDefault="006B0F91" w:rsidP="006B0F91">
            <w:pPr>
              <w:spacing w:after="0" w:line="240" w:lineRule="auto"/>
              <w:jc w:val="center"/>
              <w:rPr>
                <w:bCs/>
                <w:color w:val="92D050"/>
                <w:sz w:val="24"/>
              </w:rPr>
            </w:pPr>
            <w:r w:rsidRPr="00AA2C9B">
              <w:rPr>
                <w:bCs/>
                <w:color w:val="92D050"/>
                <w:sz w:val="24"/>
              </w:rPr>
              <w:sym w:font="Wingdings 3" w:char="F0C7"/>
            </w:r>
          </w:p>
        </w:tc>
        <w:tc>
          <w:tcPr>
            <w:tcW w:w="1267" w:type="dxa"/>
            <w:tcBorders>
              <w:left w:val="nil"/>
            </w:tcBorders>
            <w:tcMar>
              <w:right w:w="397" w:type="dxa"/>
            </w:tcMar>
            <w:vAlign w:val="center"/>
          </w:tcPr>
          <w:p w:rsidR="006B0F91" w:rsidRPr="00AA2C9B" w:rsidRDefault="006B0F91" w:rsidP="006B0F91">
            <w:pPr>
              <w:spacing w:after="0" w:line="240" w:lineRule="auto"/>
              <w:jc w:val="right"/>
              <w:rPr>
                <w:rFonts w:ascii="Arial" w:hAnsi="Arial" w:cs="Arial"/>
                <w:sz w:val="18"/>
                <w:szCs w:val="18"/>
              </w:rPr>
            </w:pPr>
            <w:r w:rsidRPr="00AA2C9B">
              <w:rPr>
                <w:rFonts w:ascii="Arial" w:hAnsi="Arial" w:cs="Arial"/>
                <w:sz w:val="18"/>
                <w:szCs w:val="18"/>
              </w:rPr>
              <w:t>+1,5</w:t>
            </w:r>
          </w:p>
        </w:tc>
      </w:tr>
      <w:tr w:rsidR="000D1365" w:rsidRPr="00AA2C9B" w:rsidTr="00283D79">
        <w:trPr>
          <w:cantSplit/>
          <w:trHeight w:val="284"/>
        </w:trPr>
        <w:tc>
          <w:tcPr>
            <w:tcW w:w="2430" w:type="dxa"/>
            <w:gridSpan w:val="2"/>
            <w:vAlign w:val="center"/>
          </w:tcPr>
          <w:p w:rsidR="000D1365" w:rsidRPr="00AA2C9B" w:rsidRDefault="000D1365" w:rsidP="000D1365">
            <w:pPr>
              <w:spacing w:after="0" w:line="240" w:lineRule="auto"/>
              <w:jc w:val="center"/>
              <w:rPr>
                <w:rFonts w:ascii="Arial" w:hAnsi="Arial" w:cs="Arial"/>
                <w:sz w:val="18"/>
                <w:szCs w:val="18"/>
              </w:rPr>
            </w:pPr>
            <w:r w:rsidRPr="00AA2C9B">
              <w:rPr>
                <w:rFonts w:ascii="Arial" w:hAnsi="Arial" w:cs="Arial"/>
                <w:sz w:val="18"/>
                <w:szCs w:val="18"/>
              </w:rPr>
              <w:t>2015</w:t>
            </w:r>
          </w:p>
        </w:tc>
        <w:tc>
          <w:tcPr>
            <w:tcW w:w="1263" w:type="dxa"/>
            <w:tcBorders>
              <w:right w:val="single" w:sz="4" w:space="0" w:color="auto"/>
            </w:tcBorders>
            <w:tcMar>
              <w:right w:w="397" w:type="dxa"/>
            </w:tcMar>
            <w:vAlign w:val="center"/>
          </w:tcPr>
          <w:p w:rsidR="000D1365" w:rsidRPr="00AA2C9B" w:rsidRDefault="000D1365" w:rsidP="000D1365">
            <w:pPr>
              <w:spacing w:after="0" w:line="240" w:lineRule="auto"/>
              <w:jc w:val="right"/>
              <w:rPr>
                <w:rFonts w:ascii="Arial" w:hAnsi="Arial" w:cs="Arial"/>
                <w:sz w:val="18"/>
                <w:szCs w:val="18"/>
              </w:rPr>
            </w:pPr>
            <w:r w:rsidRPr="00AA2C9B">
              <w:rPr>
                <w:rFonts w:ascii="Arial" w:hAnsi="Arial" w:cs="Arial"/>
                <w:sz w:val="18"/>
                <w:szCs w:val="18"/>
              </w:rPr>
              <w:t>6 065</w:t>
            </w:r>
          </w:p>
        </w:tc>
        <w:tc>
          <w:tcPr>
            <w:tcW w:w="809" w:type="dxa"/>
            <w:tcBorders>
              <w:left w:val="single" w:sz="4" w:space="0" w:color="auto"/>
              <w:right w:val="nil"/>
            </w:tcBorders>
            <w:vAlign w:val="center"/>
          </w:tcPr>
          <w:p w:rsidR="000D1365" w:rsidRPr="00AA2C9B" w:rsidRDefault="000D1365" w:rsidP="000D1365">
            <w:pPr>
              <w:spacing w:after="0" w:line="240" w:lineRule="auto"/>
              <w:jc w:val="center"/>
              <w:rPr>
                <w:rFonts w:ascii="Arial" w:hAnsi="Arial" w:cs="Arial"/>
                <w:sz w:val="18"/>
                <w:szCs w:val="18"/>
              </w:rPr>
            </w:pPr>
            <w:r w:rsidRPr="00AA2C9B">
              <w:rPr>
                <w:bCs/>
                <w:color w:val="92D050"/>
                <w:sz w:val="24"/>
              </w:rPr>
              <w:sym w:font="Wingdings 3" w:char="F0C7"/>
            </w:r>
          </w:p>
        </w:tc>
        <w:tc>
          <w:tcPr>
            <w:tcW w:w="1421" w:type="dxa"/>
            <w:tcBorders>
              <w:left w:val="nil"/>
              <w:right w:val="single" w:sz="4" w:space="0" w:color="auto"/>
            </w:tcBorders>
            <w:tcMar>
              <w:right w:w="397" w:type="dxa"/>
            </w:tcMar>
            <w:vAlign w:val="center"/>
          </w:tcPr>
          <w:p w:rsidR="000D1365" w:rsidRPr="00AA2C9B" w:rsidRDefault="000D1365" w:rsidP="000D1365">
            <w:pPr>
              <w:spacing w:after="0" w:line="240" w:lineRule="auto"/>
              <w:jc w:val="right"/>
              <w:rPr>
                <w:rFonts w:ascii="Arial" w:hAnsi="Arial" w:cs="Arial"/>
                <w:sz w:val="18"/>
                <w:szCs w:val="18"/>
              </w:rPr>
            </w:pPr>
            <w:r w:rsidRPr="00AA2C9B">
              <w:rPr>
                <w:rFonts w:ascii="Arial" w:hAnsi="Arial" w:cs="Arial"/>
                <w:sz w:val="18"/>
                <w:szCs w:val="18"/>
              </w:rPr>
              <w:t>+1,7</w:t>
            </w:r>
          </w:p>
        </w:tc>
        <w:tc>
          <w:tcPr>
            <w:tcW w:w="1264" w:type="dxa"/>
            <w:tcBorders>
              <w:left w:val="single" w:sz="4" w:space="0" w:color="auto"/>
              <w:right w:val="single" w:sz="4" w:space="0" w:color="auto"/>
            </w:tcBorders>
            <w:tcMar>
              <w:right w:w="397" w:type="dxa"/>
            </w:tcMar>
            <w:vAlign w:val="center"/>
          </w:tcPr>
          <w:p w:rsidR="000D1365" w:rsidRPr="00AA2C9B" w:rsidRDefault="000D1365" w:rsidP="000D1365">
            <w:pPr>
              <w:spacing w:after="0" w:line="240" w:lineRule="auto"/>
              <w:jc w:val="right"/>
              <w:rPr>
                <w:rFonts w:ascii="Arial" w:hAnsi="Arial" w:cs="Arial"/>
                <w:sz w:val="18"/>
                <w:szCs w:val="18"/>
              </w:rPr>
            </w:pPr>
            <w:r w:rsidRPr="00AA2C9B">
              <w:rPr>
                <w:rFonts w:ascii="Arial" w:hAnsi="Arial" w:cs="Arial"/>
                <w:sz w:val="18"/>
                <w:szCs w:val="18"/>
              </w:rPr>
              <w:t>4 880</w:t>
            </w:r>
          </w:p>
        </w:tc>
        <w:tc>
          <w:tcPr>
            <w:tcW w:w="897" w:type="dxa"/>
            <w:tcBorders>
              <w:left w:val="single" w:sz="4" w:space="0" w:color="auto"/>
              <w:right w:val="nil"/>
            </w:tcBorders>
            <w:vAlign w:val="center"/>
          </w:tcPr>
          <w:p w:rsidR="000D1365" w:rsidRPr="00AA2C9B" w:rsidRDefault="000D1365" w:rsidP="000D1365">
            <w:pPr>
              <w:spacing w:after="0" w:line="240" w:lineRule="auto"/>
              <w:jc w:val="center"/>
              <w:rPr>
                <w:rFonts w:ascii="Arial" w:hAnsi="Arial" w:cs="Arial"/>
                <w:sz w:val="18"/>
                <w:szCs w:val="18"/>
              </w:rPr>
            </w:pPr>
            <w:r w:rsidRPr="00AA2C9B">
              <w:rPr>
                <w:b/>
                <w:bCs/>
                <w:color w:val="FF0000"/>
                <w:sz w:val="24"/>
              </w:rPr>
              <w:sym w:font="Wingdings 3" w:char="F0C8"/>
            </w:r>
          </w:p>
        </w:tc>
        <w:tc>
          <w:tcPr>
            <w:tcW w:w="1267" w:type="dxa"/>
            <w:tcBorders>
              <w:left w:val="nil"/>
            </w:tcBorders>
            <w:tcMar>
              <w:right w:w="397" w:type="dxa"/>
            </w:tcMar>
            <w:vAlign w:val="center"/>
          </w:tcPr>
          <w:p w:rsidR="000D1365" w:rsidRPr="00AA2C9B" w:rsidRDefault="000D1365" w:rsidP="000D1365">
            <w:pPr>
              <w:spacing w:after="0" w:line="240" w:lineRule="auto"/>
              <w:jc w:val="right"/>
              <w:rPr>
                <w:rFonts w:ascii="Arial" w:hAnsi="Arial" w:cs="Arial"/>
                <w:sz w:val="18"/>
                <w:szCs w:val="18"/>
              </w:rPr>
            </w:pPr>
            <w:r w:rsidRPr="00AA2C9B">
              <w:rPr>
                <w:rFonts w:ascii="Arial" w:hAnsi="Arial" w:cs="Arial"/>
                <w:sz w:val="18"/>
                <w:szCs w:val="18"/>
              </w:rPr>
              <w:t>-25,0</w:t>
            </w:r>
          </w:p>
        </w:tc>
      </w:tr>
      <w:tr w:rsidR="00BC4790" w:rsidRPr="00AA2C9B" w:rsidTr="00283D79">
        <w:trPr>
          <w:cantSplit/>
          <w:trHeight w:val="284"/>
        </w:trPr>
        <w:tc>
          <w:tcPr>
            <w:tcW w:w="2430" w:type="dxa"/>
            <w:gridSpan w:val="2"/>
            <w:vAlign w:val="center"/>
          </w:tcPr>
          <w:p w:rsidR="00BC4790" w:rsidRPr="00AA2C9B" w:rsidRDefault="00BC4790" w:rsidP="00C8623D">
            <w:pPr>
              <w:spacing w:after="0" w:line="240" w:lineRule="auto"/>
              <w:jc w:val="center"/>
              <w:rPr>
                <w:rFonts w:ascii="Arial" w:hAnsi="Arial" w:cs="Arial"/>
                <w:sz w:val="18"/>
                <w:szCs w:val="18"/>
              </w:rPr>
            </w:pPr>
            <w:r w:rsidRPr="00AA2C9B">
              <w:rPr>
                <w:rFonts w:ascii="Arial" w:hAnsi="Arial" w:cs="Arial"/>
                <w:sz w:val="18"/>
                <w:szCs w:val="18"/>
              </w:rPr>
              <w:t>2016</w:t>
            </w:r>
          </w:p>
        </w:tc>
        <w:tc>
          <w:tcPr>
            <w:tcW w:w="1263" w:type="dxa"/>
            <w:tcBorders>
              <w:right w:val="single" w:sz="4" w:space="0" w:color="auto"/>
            </w:tcBorders>
            <w:tcMar>
              <w:right w:w="397" w:type="dxa"/>
            </w:tcMar>
            <w:vAlign w:val="center"/>
          </w:tcPr>
          <w:p w:rsidR="00BC4790" w:rsidRPr="00AA2C9B" w:rsidRDefault="00BC4790" w:rsidP="00BC4790">
            <w:pPr>
              <w:spacing w:after="0" w:line="240" w:lineRule="auto"/>
              <w:jc w:val="right"/>
              <w:rPr>
                <w:rFonts w:ascii="Arial" w:hAnsi="Arial" w:cs="Arial"/>
                <w:sz w:val="18"/>
                <w:szCs w:val="18"/>
              </w:rPr>
            </w:pPr>
            <w:r w:rsidRPr="00AA2C9B">
              <w:rPr>
                <w:rFonts w:ascii="Arial" w:hAnsi="Arial" w:cs="Arial"/>
                <w:sz w:val="18"/>
                <w:szCs w:val="18"/>
              </w:rPr>
              <w:t>3 888</w:t>
            </w:r>
          </w:p>
        </w:tc>
        <w:tc>
          <w:tcPr>
            <w:tcW w:w="809" w:type="dxa"/>
            <w:tcBorders>
              <w:left w:val="single" w:sz="4" w:space="0" w:color="auto"/>
              <w:right w:val="nil"/>
            </w:tcBorders>
            <w:vAlign w:val="center"/>
          </w:tcPr>
          <w:p w:rsidR="00BC4790" w:rsidRPr="00AA2C9B" w:rsidRDefault="00BC4790" w:rsidP="00BC4790">
            <w:pPr>
              <w:spacing w:after="0" w:line="240" w:lineRule="auto"/>
              <w:jc w:val="center"/>
              <w:rPr>
                <w:b/>
                <w:bCs/>
                <w:color w:val="FF0000"/>
                <w:sz w:val="24"/>
              </w:rPr>
            </w:pPr>
            <w:r w:rsidRPr="00AA2C9B">
              <w:rPr>
                <w:b/>
                <w:bCs/>
                <w:color w:val="FF0000"/>
                <w:sz w:val="24"/>
              </w:rPr>
              <w:sym w:font="Wingdings 3" w:char="F0C8"/>
            </w:r>
          </w:p>
        </w:tc>
        <w:tc>
          <w:tcPr>
            <w:tcW w:w="1421" w:type="dxa"/>
            <w:tcBorders>
              <w:left w:val="nil"/>
              <w:right w:val="single" w:sz="4" w:space="0" w:color="auto"/>
            </w:tcBorders>
            <w:tcMar>
              <w:right w:w="397" w:type="dxa"/>
            </w:tcMar>
            <w:vAlign w:val="center"/>
          </w:tcPr>
          <w:p w:rsidR="00BC4790" w:rsidRPr="00AA2C9B" w:rsidRDefault="00BC4790" w:rsidP="00BC4790">
            <w:pPr>
              <w:spacing w:after="0" w:line="240" w:lineRule="auto"/>
              <w:jc w:val="right"/>
              <w:rPr>
                <w:rFonts w:ascii="Arial" w:hAnsi="Arial" w:cs="Arial"/>
                <w:sz w:val="18"/>
                <w:szCs w:val="18"/>
              </w:rPr>
            </w:pPr>
            <w:r w:rsidRPr="00AA2C9B">
              <w:rPr>
                <w:rFonts w:ascii="Arial" w:hAnsi="Arial" w:cs="Arial"/>
                <w:sz w:val="18"/>
                <w:szCs w:val="18"/>
              </w:rPr>
              <w:t>-35,9</w:t>
            </w:r>
          </w:p>
        </w:tc>
        <w:tc>
          <w:tcPr>
            <w:tcW w:w="1264" w:type="dxa"/>
            <w:tcBorders>
              <w:left w:val="single" w:sz="4" w:space="0" w:color="auto"/>
              <w:right w:val="single" w:sz="4" w:space="0" w:color="auto"/>
            </w:tcBorders>
            <w:tcMar>
              <w:right w:w="397" w:type="dxa"/>
            </w:tcMar>
            <w:vAlign w:val="center"/>
          </w:tcPr>
          <w:p w:rsidR="00BC4790" w:rsidRPr="00AA2C9B" w:rsidRDefault="00BC4790" w:rsidP="00BC4790">
            <w:pPr>
              <w:spacing w:after="0" w:line="240" w:lineRule="auto"/>
              <w:jc w:val="right"/>
              <w:rPr>
                <w:rFonts w:ascii="Arial" w:hAnsi="Arial" w:cs="Arial"/>
                <w:sz w:val="18"/>
                <w:szCs w:val="18"/>
              </w:rPr>
            </w:pPr>
            <w:r w:rsidRPr="00AA2C9B">
              <w:rPr>
                <w:rFonts w:ascii="Arial" w:hAnsi="Arial" w:cs="Arial"/>
                <w:sz w:val="18"/>
                <w:szCs w:val="18"/>
              </w:rPr>
              <w:t>4 503</w:t>
            </w:r>
          </w:p>
        </w:tc>
        <w:tc>
          <w:tcPr>
            <w:tcW w:w="897" w:type="dxa"/>
            <w:tcBorders>
              <w:left w:val="single" w:sz="4" w:space="0" w:color="auto"/>
              <w:right w:val="nil"/>
            </w:tcBorders>
            <w:vAlign w:val="center"/>
          </w:tcPr>
          <w:p w:rsidR="00BC4790" w:rsidRPr="00AA2C9B" w:rsidRDefault="00BC4790" w:rsidP="00BC4790">
            <w:pPr>
              <w:spacing w:after="0" w:line="240" w:lineRule="auto"/>
              <w:jc w:val="center"/>
              <w:rPr>
                <w:b/>
                <w:bCs/>
                <w:color w:val="FF0000"/>
                <w:sz w:val="24"/>
              </w:rPr>
            </w:pPr>
            <w:r w:rsidRPr="00AA2C9B">
              <w:rPr>
                <w:b/>
                <w:bCs/>
                <w:color w:val="FF0000"/>
                <w:sz w:val="24"/>
              </w:rPr>
              <w:sym w:font="Wingdings 3" w:char="F0C8"/>
            </w:r>
          </w:p>
        </w:tc>
        <w:tc>
          <w:tcPr>
            <w:tcW w:w="1267" w:type="dxa"/>
            <w:tcBorders>
              <w:left w:val="nil"/>
            </w:tcBorders>
            <w:tcMar>
              <w:right w:w="397" w:type="dxa"/>
            </w:tcMar>
            <w:vAlign w:val="center"/>
          </w:tcPr>
          <w:p w:rsidR="00BC4790" w:rsidRPr="00AA2C9B" w:rsidRDefault="00BC4790" w:rsidP="00BC4790">
            <w:pPr>
              <w:spacing w:after="0" w:line="240" w:lineRule="auto"/>
              <w:jc w:val="right"/>
              <w:rPr>
                <w:rFonts w:ascii="Arial" w:hAnsi="Arial" w:cs="Arial"/>
                <w:sz w:val="18"/>
                <w:szCs w:val="18"/>
              </w:rPr>
            </w:pPr>
            <w:r w:rsidRPr="00AA2C9B">
              <w:rPr>
                <w:rFonts w:ascii="Arial" w:hAnsi="Arial" w:cs="Arial"/>
                <w:sz w:val="18"/>
                <w:szCs w:val="18"/>
              </w:rPr>
              <w:t>-7,7</w:t>
            </w:r>
          </w:p>
        </w:tc>
      </w:tr>
      <w:tr w:rsidR="009E3D6E" w:rsidRPr="00AA2C9B" w:rsidTr="00283D79">
        <w:trPr>
          <w:cantSplit/>
          <w:trHeight w:val="284"/>
        </w:trPr>
        <w:tc>
          <w:tcPr>
            <w:tcW w:w="2430" w:type="dxa"/>
            <w:gridSpan w:val="2"/>
            <w:vAlign w:val="center"/>
          </w:tcPr>
          <w:p w:rsidR="009E3D6E" w:rsidRPr="00AA2C9B" w:rsidRDefault="00A86316" w:rsidP="009E3D6E">
            <w:pPr>
              <w:spacing w:after="0" w:line="240" w:lineRule="auto"/>
              <w:jc w:val="center"/>
              <w:rPr>
                <w:rFonts w:ascii="Arial" w:hAnsi="Arial" w:cs="Arial"/>
                <w:b/>
                <w:bCs/>
                <w:sz w:val="18"/>
                <w:szCs w:val="18"/>
              </w:rPr>
            </w:pPr>
            <w:r>
              <w:rPr>
                <w:rFonts w:ascii="Arial" w:hAnsi="Arial" w:cs="Arial"/>
                <w:b/>
                <w:bCs/>
                <w:sz w:val="18"/>
                <w:szCs w:val="18"/>
              </w:rPr>
              <w:t xml:space="preserve">    Január až júl </w:t>
            </w:r>
            <w:r w:rsidR="009E3D6E" w:rsidRPr="00AA2C9B">
              <w:rPr>
                <w:rFonts w:ascii="Arial" w:hAnsi="Arial" w:cs="Arial"/>
                <w:b/>
                <w:bCs/>
                <w:sz w:val="18"/>
                <w:szCs w:val="18"/>
              </w:rPr>
              <w:t>2017</w:t>
            </w:r>
          </w:p>
        </w:tc>
        <w:tc>
          <w:tcPr>
            <w:tcW w:w="1263" w:type="dxa"/>
            <w:tcBorders>
              <w:right w:val="single" w:sz="4" w:space="0" w:color="auto"/>
            </w:tcBorders>
            <w:tcMar>
              <w:right w:w="397" w:type="dxa"/>
            </w:tcMar>
            <w:vAlign w:val="center"/>
          </w:tcPr>
          <w:p w:rsidR="009E3D6E" w:rsidRPr="00AA2C9B" w:rsidRDefault="009E3D6E" w:rsidP="009E3D6E">
            <w:pPr>
              <w:spacing w:after="0" w:line="240" w:lineRule="auto"/>
              <w:jc w:val="right"/>
              <w:rPr>
                <w:rFonts w:ascii="Arial" w:hAnsi="Arial" w:cs="Arial"/>
                <w:b/>
                <w:bCs/>
                <w:sz w:val="18"/>
                <w:szCs w:val="18"/>
              </w:rPr>
            </w:pPr>
            <w:r w:rsidRPr="00AA2C9B">
              <w:rPr>
                <w:rFonts w:ascii="Arial" w:hAnsi="Arial" w:cs="Arial"/>
                <w:b/>
                <w:bCs/>
                <w:sz w:val="18"/>
                <w:szCs w:val="18"/>
              </w:rPr>
              <w:t>1 416</w:t>
            </w:r>
          </w:p>
        </w:tc>
        <w:tc>
          <w:tcPr>
            <w:tcW w:w="809" w:type="dxa"/>
            <w:tcBorders>
              <w:left w:val="single" w:sz="4" w:space="0" w:color="auto"/>
              <w:right w:val="nil"/>
            </w:tcBorders>
            <w:vAlign w:val="center"/>
          </w:tcPr>
          <w:p w:rsidR="009E3D6E" w:rsidRPr="00AA2C9B" w:rsidRDefault="009E3D6E" w:rsidP="009E3D6E">
            <w:pPr>
              <w:spacing w:after="0" w:line="240" w:lineRule="auto"/>
              <w:jc w:val="center"/>
              <w:rPr>
                <w:rFonts w:ascii="Arial" w:hAnsi="Arial" w:cs="Arial"/>
                <w:b/>
                <w:bCs/>
                <w:sz w:val="18"/>
                <w:szCs w:val="18"/>
              </w:rPr>
            </w:pPr>
            <w:r w:rsidRPr="00AA2C9B">
              <w:rPr>
                <w:b/>
                <w:bCs/>
                <w:color w:val="FF0000"/>
                <w:sz w:val="24"/>
              </w:rPr>
              <w:sym w:font="Wingdings 3" w:char="F0C8"/>
            </w:r>
          </w:p>
        </w:tc>
        <w:tc>
          <w:tcPr>
            <w:tcW w:w="1421" w:type="dxa"/>
            <w:tcBorders>
              <w:left w:val="nil"/>
              <w:right w:val="single" w:sz="4" w:space="0" w:color="auto"/>
            </w:tcBorders>
            <w:tcMar>
              <w:right w:w="397" w:type="dxa"/>
            </w:tcMar>
            <w:vAlign w:val="center"/>
          </w:tcPr>
          <w:p w:rsidR="009E3D6E" w:rsidRPr="00AA2C9B" w:rsidRDefault="009E3D6E" w:rsidP="009E3D6E">
            <w:pPr>
              <w:spacing w:after="0" w:line="240" w:lineRule="auto"/>
              <w:jc w:val="right"/>
              <w:rPr>
                <w:rFonts w:ascii="Arial" w:hAnsi="Arial" w:cs="Arial"/>
                <w:b/>
                <w:bCs/>
                <w:sz w:val="18"/>
                <w:szCs w:val="18"/>
              </w:rPr>
            </w:pPr>
            <w:r w:rsidRPr="00AA2C9B">
              <w:rPr>
                <w:rFonts w:ascii="Arial" w:hAnsi="Arial" w:cs="Arial"/>
                <w:b/>
                <w:bCs/>
                <w:sz w:val="18"/>
                <w:szCs w:val="18"/>
              </w:rPr>
              <w:t>-48,2</w:t>
            </w:r>
          </w:p>
        </w:tc>
        <w:tc>
          <w:tcPr>
            <w:tcW w:w="1264" w:type="dxa"/>
            <w:tcBorders>
              <w:left w:val="single" w:sz="4" w:space="0" w:color="auto"/>
              <w:right w:val="single" w:sz="4" w:space="0" w:color="auto"/>
            </w:tcBorders>
            <w:tcMar>
              <w:right w:w="397" w:type="dxa"/>
            </w:tcMar>
            <w:vAlign w:val="center"/>
          </w:tcPr>
          <w:p w:rsidR="009E3D6E" w:rsidRPr="00AA2C9B" w:rsidRDefault="009E3D6E" w:rsidP="009E3D6E">
            <w:pPr>
              <w:spacing w:after="0" w:line="240" w:lineRule="auto"/>
              <w:jc w:val="right"/>
              <w:rPr>
                <w:rFonts w:ascii="Arial" w:hAnsi="Arial" w:cs="Arial"/>
                <w:b/>
                <w:bCs/>
                <w:sz w:val="18"/>
                <w:szCs w:val="18"/>
              </w:rPr>
            </w:pPr>
            <w:r w:rsidRPr="00AA2C9B">
              <w:rPr>
                <w:rFonts w:ascii="Arial" w:hAnsi="Arial" w:cs="Arial"/>
                <w:b/>
                <w:bCs/>
                <w:sz w:val="18"/>
                <w:szCs w:val="18"/>
              </w:rPr>
              <w:t>2 075</w:t>
            </w:r>
          </w:p>
        </w:tc>
        <w:tc>
          <w:tcPr>
            <w:tcW w:w="897" w:type="dxa"/>
            <w:tcBorders>
              <w:left w:val="single" w:sz="4" w:space="0" w:color="auto"/>
              <w:right w:val="nil"/>
            </w:tcBorders>
            <w:vAlign w:val="center"/>
          </w:tcPr>
          <w:p w:rsidR="009E3D6E" w:rsidRPr="00AA2C9B" w:rsidRDefault="009E3D6E" w:rsidP="009E3D6E">
            <w:pPr>
              <w:spacing w:after="0" w:line="240" w:lineRule="auto"/>
              <w:jc w:val="center"/>
              <w:rPr>
                <w:rFonts w:ascii="Arial" w:hAnsi="Arial" w:cs="Arial"/>
                <w:b/>
                <w:bCs/>
                <w:sz w:val="18"/>
                <w:szCs w:val="18"/>
              </w:rPr>
            </w:pPr>
            <w:r w:rsidRPr="00AA2C9B">
              <w:rPr>
                <w:b/>
                <w:bCs/>
                <w:color w:val="FF0000"/>
                <w:sz w:val="24"/>
              </w:rPr>
              <w:sym w:font="Wingdings 3" w:char="F0C8"/>
            </w:r>
          </w:p>
        </w:tc>
        <w:tc>
          <w:tcPr>
            <w:tcW w:w="1267" w:type="dxa"/>
            <w:tcBorders>
              <w:left w:val="nil"/>
            </w:tcBorders>
            <w:tcMar>
              <w:right w:w="397" w:type="dxa"/>
            </w:tcMar>
            <w:vAlign w:val="center"/>
          </w:tcPr>
          <w:p w:rsidR="009E3D6E" w:rsidRPr="00AA2C9B" w:rsidRDefault="009E3D6E" w:rsidP="009E3D6E">
            <w:pPr>
              <w:spacing w:after="0" w:line="240" w:lineRule="auto"/>
              <w:jc w:val="right"/>
              <w:rPr>
                <w:rFonts w:ascii="Arial" w:hAnsi="Arial" w:cs="Arial"/>
                <w:b/>
                <w:bCs/>
                <w:sz w:val="18"/>
                <w:szCs w:val="18"/>
              </w:rPr>
            </w:pPr>
            <w:r w:rsidRPr="00AA2C9B">
              <w:rPr>
                <w:rFonts w:ascii="Arial" w:hAnsi="Arial" w:cs="Arial"/>
                <w:b/>
                <w:bCs/>
                <w:sz w:val="18"/>
                <w:szCs w:val="18"/>
              </w:rPr>
              <w:t>-17,7</w:t>
            </w:r>
          </w:p>
        </w:tc>
      </w:tr>
    </w:tbl>
    <w:p w:rsidR="00A66963" w:rsidRPr="00AA2C9B" w:rsidRDefault="00D077D7" w:rsidP="00D4079C">
      <w:pPr>
        <w:spacing w:after="0" w:line="240" w:lineRule="auto"/>
        <w:jc w:val="both"/>
        <w:rPr>
          <w:rStyle w:val="Hypertextovodkaz"/>
          <w:rFonts w:ascii="Arial" w:eastAsia="Times New Roman" w:hAnsi="Arial" w:cs="Times New Roman"/>
          <w:bCs/>
          <w:color w:val="auto"/>
          <w:sz w:val="16"/>
          <w:szCs w:val="16"/>
          <w:u w:val="none"/>
          <w:lang w:eastAsia="cs-CZ"/>
        </w:rPr>
      </w:pPr>
      <w:r w:rsidRPr="00AA2C9B">
        <w:rPr>
          <w:rFonts w:ascii="Arial" w:eastAsia="Times New Roman" w:hAnsi="Arial" w:cs="Times New Roman"/>
          <w:bCs/>
          <w:sz w:val="16"/>
          <w:szCs w:val="16"/>
          <w:lang w:eastAsia="cs-CZ"/>
        </w:rPr>
        <w:t xml:space="preserve">Zdroj: </w:t>
      </w:r>
      <w:r w:rsidRPr="00AA2C9B">
        <w:rPr>
          <w:rFonts w:ascii="Arial" w:eastAsia="Times New Roman" w:hAnsi="Arial" w:cs="Times New Roman"/>
          <w:sz w:val="16"/>
          <w:szCs w:val="16"/>
          <w:lang w:eastAsia="cs-CZ"/>
        </w:rPr>
        <w:t>Vestník verejného obstarávania</w:t>
      </w:r>
      <w:r w:rsidRPr="00AA2C9B">
        <w:rPr>
          <w:rFonts w:ascii="Arial" w:eastAsia="Times New Roman" w:hAnsi="Arial" w:cs="Times New Roman"/>
          <w:bCs/>
          <w:sz w:val="16"/>
          <w:szCs w:val="16"/>
          <w:lang w:eastAsia="cs-CZ"/>
        </w:rPr>
        <w:t>, výpočty CEEC Research</w:t>
      </w:r>
    </w:p>
    <w:p w:rsidR="00A66963" w:rsidRPr="00AA2C9B" w:rsidRDefault="00A66963" w:rsidP="003371A6">
      <w:pPr>
        <w:spacing w:after="0" w:line="360" w:lineRule="auto"/>
        <w:jc w:val="center"/>
        <w:rPr>
          <w:rStyle w:val="Hypertextovodkaz"/>
          <w:rFonts w:cs="Arial"/>
          <w:color w:val="auto"/>
          <w:u w:val="none"/>
        </w:rPr>
      </w:pPr>
    </w:p>
    <w:p w:rsidR="00751303" w:rsidRPr="00AA2C9B" w:rsidRDefault="00751303" w:rsidP="00751303">
      <w:pPr>
        <w:spacing w:after="0" w:line="360" w:lineRule="auto"/>
        <w:jc w:val="center"/>
        <w:rPr>
          <w:rStyle w:val="Hypertextovodkaz"/>
          <w:rFonts w:cs="Arial"/>
          <w:color w:val="auto"/>
          <w:u w:val="none"/>
        </w:rPr>
      </w:pPr>
      <w:r w:rsidRPr="00AA2C9B">
        <w:rPr>
          <w:rStyle w:val="Hypertextovodkaz"/>
          <w:rFonts w:cs="Arial"/>
          <w:color w:val="auto"/>
          <w:u w:val="none"/>
        </w:rPr>
        <w:t>Partner</w:t>
      </w:r>
      <w:r w:rsidR="00A86316">
        <w:rPr>
          <w:rStyle w:val="Hypertextovodkaz"/>
          <w:rFonts w:cs="Arial"/>
          <w:color w:val="auto"/>
          <w:u w:val="none"/>
        </w:rPr>
        <w:t>mi prieskumu verejných obstaráva</w:t>
      </w:r>
      <w:r w:rsidRPr="00AA2C9B">
        <w:rPr>
          <w:rStyle w:val="Hypertextovodkaz"/>
          <w:rFonts w:cs="Arial"/>
          <w:color w:val="auto"/>
          <w:u w:val="none"/>
        </w:rPr>
        <w:t>ní sú firmy Hochtief SK, s. r. o., Skanska SK, a. s., HSF System, a. s., Reming Consult, a. s., Doprastav, a. s. a Dopravoprojekt, a. s.</w:t>
      </w:r>
    </w:p>
    <w:p w:rsidR="00751303" w:rsidRPr="00AA2C9B" w:rsidRDefault="00751303" w:rsidP="003371A6">
      <w:pPr>
        <w:spacing w:after="0" w:line="360" w:lineRule="auto"/>
        <w:jc w:val="center"/>
        <w:rPr>
          <w:rStyle w:val="Hypertextovodkaz"/>
          <w:rFonts w:cs="Arial"/>
          <w:color w:val="auto"/>
          <w:u w:val="none"/>
        </w:rPr>
      </w:pPr>
    </w:p>
    <w:p w:rsidR="00535ADA" w:rsidRPr="00AA2C9B" w:rsidRDefault="00B70AEE" w:rsidP="003371A6">
      <w:pPr>
        <w:spacing w:after="0" w:line="360" w:lineRule="auto"/>
        <w:jc w:val="center"/>
        <w:rPr>
          <w:rStyle w:val="Hypertextovodkaz"/>
          <w:rFonts w:cs="Arial"/>
        </w:rPr>
      </w:pPr>
      <w:r w:rsidRPr="00AA2C9B">
        <w:rPr>
          <w:rStyle w:val="Hypertextovodkaz"/>
          <w:rFonts w:cs="Arial"/>
          <w:color w:val="auto"/>
          <w:u w:val="none"/>
        </w:rPr>
        <w:t>N</w:t>
      </w:r>
      <w:r w:rsidR="00535ADA" w:rsidRPr="00AA2C9B">
        <w:rPr>
          <w:rStyle w:val="Hypertextovodkaz"/>
          <w:rFonts w:cs="Arial"/>
          <w:color w:val="auto"/>
          <w:u w:val="none"/>
        </w:rPr>
        <w:t>ajnovšie prognózy vývoja stavebného a projektového trhu nájdete na</w:t>
      </w:r>
      <w:r w:rsidR="00535ADA" w:rsidRPr="00AA2C9B">
        <w:rPr>
          <w:rStyle w:val="Hypertextovodkaz"/>
          <w:rFonts w:cs="Arial"/>
          <w:color w:val="auto"/>
        </w:rPr>
        <w:t xml:space="preserve"> </w:t>
      </w:r>
    </w:p>
    <w:p w:rsidR="00535ADA" w:rsidRPr="00AA2C9B" w:rsidRDefault="00535ADA" w:rsidP="003371A6">
      <w:pPr>
        <w:spacing w:after="0" w:line="360" w:lineRule="auto"/>
        <w:jc w:val="center"/>
        <w:rPr>
          <w:rStyle w:val="Hypertextovodkaz"/>
          <w:rFonts w:ascii="Arial" w:hAnsi="Arial" w:cs="Arial"/>
        </w:rPr>
      </w:pPr>
      <w:r w:rsidRPr="00AA2C9B">
        <w:rPr>
          <w:rStyle w:val="Hypertextovodkaz"/>
          <w:rFonts w:ascii="Arial" w:hAnsi="Arial" w:cs="Arial"/>
        </w:rPr>
        <w:t>www.ceec.eu</w:t>
      </w:r>
    </w:p>
    <w:p w:rsidR="003371A6" w:rsidRPr="00AA2C9B" w:rsidRDefault="003371A6" w:rsidP="003371A6">
      <w:pPr>
        <w:spacing w:after="0" w:line="360" w:lineRule="auto"/>
        <w:jc w:val="center"/>
        <w:rPr>
          <w:rFonts w:ascii="Arial" w:hAnsi="Arial" w:cs="Arial"/>
          <w:color w:val="000000"/>
        </w:rPr>
      </w:pPr>
    </w:p>
    <w:p w:rsidR="00C968F2" w:rsidRPr="00AA2C9B" w:rsidRDefault="00C968F2" w:rsidP="00C45298">
      <w:pPr>
        <w:spacing w:after="0" w:line="240" w:lineRule="auto"/>
        <w:rPr>
          <w:rFonts w:ascii="Arial" w:hAnsi="Arial" w:cs="Arial"/>
          <w:b/>
          <w:color w:val="000000"/>
        </w:rPr>
      </w:pPr>
      <w:r w:rsidRPr="00AA2C9B">
        <w:rPr>
          <w:rFonts w:ascii="Arial" w:hAnsi="Arial" w:cs="Arial"/>
          <w:b/>
          <w:color w:val="000000"/>
        </w:rPr>
        <w:t>Kontakt pr</w:t>
      </w:r>
      <w:r w:rsidR="00B25F7D" w:rsidRPr="00AA2C9B">
        <w:rPr>
          <w:rFonts w:ascii="Arial" w:hAnsi="Arial" w:cs="Arial"/>
          <w:b/>
          <w:color w:val="000000"/>
        </w:rPr>
        <w:t>e</w:t>
      </w:r>
      <w:r w:rsidRPr="00AA2C9B">
        <w:rPr>
          <w:rFonts w:ascii="Arial" w:hAnsi="Arial" w:cs="Arial"/>
          <w:b/>
          <w:color w:val="000000"/>
        </w:rPr>
        <w:t xml:space="preserve"> média:</w:t>
      </w:r>
    </w:p>
    <w:p w:rsidR="007C55A2" w:rsidRPr="00AA2C9B" w:rsidRDefault="00C968F2" w:rsidP="000D14F5">
      <w:pPr>
        <w:spacing w:after="0" w:line="240" w:lineRule="auto"/>
        <w:rPr>
          <w:rFonts w:ascii="Arial" w:hAnsi="Arial" w:cs="Arial"/>
          <w:color w:val="000000"/>
        </w:rPr>
      </w:pPr>
      <w:r w:rsidRPr="00AA2C9B">
        <w:rPr>
          <w:rFonts w:ascii="Arial" w:hAnsi="Arial" w:cs="Arial"/>
          <w:b/>
          <w:color w:val="000000"/>
        </w:rPr>
        <w:br/>
      </w:r>
      <w:r w:rsidR="000D14F5" w:rsidRPr="00AA2C9B">
        <w:rPr>
          <w:rFonts w:ascii="Arial" w:hAnsi="Arial" w:cs="Arial"/>
          <w:color w:val="000000"/>
        </w:rPr>
        <w:t>Ing. Jiří Vacek, Ph.D., MIM</w:t>
      </w:r>
      <w:r w:rsidRPr="00AA2C9B">
        <w:rPr>
          <w:rFonts w:ascii="Arial" w:hAnsi="Arial" w:cs="Arial"/>
          <w:color w:val="000000"/>
        </w:rPr>
        <w:br/>
      </w:r>
      <w:r w:rsidR="0023390B" w:rsidRPr="00AA2C9B">
        <w:rPr>
          <w:rFonts w:ascii="Arial" w:hAnsi="Arial" w:cs="Arial"/>
          <w:color w:val="000000"/>
        </w:rPr>
        <w:t>Riaditeľ spolo</w:t>
      </w:r>
      <w:r w:rsidR="000D14F5" w:rsidRPr="00AA2C9B">
        <w:rPr>
          <w:rFonts w:ascii="Arial" w:hAnsi="Arial" w:cs="Arial"/>
          <w:color w:val="000000"/>
        </w:rPr>
        <w:t>čnosti</w:t>
      </w:r>
      <w:r w:rsidRPr="00AA2C9B">
        <w:rPr>
          <w:rFonts w:ascii="Arial" w:hAnsi="Arial" w:cs="Arial"/>
          <w:color w:val="000000"/>
        </w:rPr>
        <w:br/>
      </w:r>
      <w:r w:rsidR="00B718C2" w:rsidRPr="00AA2C9B">
        <w:rPr>
          <w:rFonts w:ascii="Arial" w:hAnsi="Arial" w:cs="Arial"/>
          <w:color w:val="000000"/>
        </w:rPr>
        <w:t>CEEC Research</w:t>
      </w:r>
      <w:r w:rsidR="000D14F5" w:rsidRPr="00AA2C9B">
        <w:rPr>
          <w:rFonts w:ascii="Arial" w:hAnsi="Arial" w:cs="Arial"/>
          <w:color w:val="000000"/>
        </w:rPr>
        <w:t xml:space="preserve"> s.r.o.</w:t>
      </w:r>
      <w:r w:rsidR="00B718C2" w:rsidRPr="00AA2C9B">
        <w:rPr>
          <w:rFonts w:ascii="Arial" w:hAnsi="Arial" w:cs="Arial"/>
          <w:color w:val="000000"/>
        </w:rPr>
        <w:br/>
        <w:t xml:space="preserve">E-mail: </w:t>
      </w:r>
      <w:r w:rsidR="000D14F5" w:rsidRPr="00AA2C9B">
        <w:rPr>
          <w:rFonts w:ascii="Arial" w:hAnsi="Arial" w:cs="Arial"/>
          <w:color w:val="000000"/>
        </w:rPr>
        <w:t>vacek@ceec.eu</w:t>
      </w:r>
      <w:r w:rsidRPr="00AA2C9B">
        <w:rPr>
          <w:rFonts w:ascii="Arial" w:hAnsi="Arial" w:cs="Arial"/>
          <w:color w:val="000000"/>
        </w:rPr>
        <w:br/>
        <w:t>Tel.: +420 </w:t>
      </w:r>
      <w:r w:rsidR="000D14F5" w:rsidRPr="00AA2C9B">
        <w:rPr>
          <w:rFonts w:ascii="Arial" w:hAnsi="Arial" w:cs="Arial"/>
          <w:color w:val="000000"/>
        </w:rPr>
        <w:t>774 325 111</w:t>
      </w:r>
    </w:p>
    <w:p w:rsidR="000D14F5" w:rsidRPr="00AA2C9B" w:rsidRDefault="000D14F5" w:rsidP="000D14F5">
      <w:pPr>
        <w:spacing w:after="0" w:line="240" w:lineRule="auto"/>
        <w:rPr>
          <w:rFonts w:ascii="Arial" w:hAnsi="Arial" w:cs="Arial"/>
          <w:b/>
          <w:color w:val="000000"/>
          <w:sz w:val="20"/>
          <w:szCs w:val="20"/>
        </w:rPr>
      </w:pPr>
    </w:p>
    <w:p w:rsidR="005F0F7B" w:rsidRPr="00AA2C9B" w:rsidRDefault="005F0F7B" w:rsidP="00D66843">
      <w:pPr>
        <w:spacing w:after="0" w:line="240" w:lineRule="auto"/>
        <w:jc w:val="both"/>
        <w:rPr>
          <w:rFonts w:ascii="Arial" w:hAnsi="Arial" w:cs="Arial"/>
          <w:b/>
          <w:color w:val="000000"/>
          <w:sz w:val="20"/>
          <w:szCs w:val="20"/>
        </w:rPr>
      </w:pPr>
    </w:p>
    <w:p w:rsidR="00B25F7D" w:rsidRPr="00AA2C9B" w:rsidRDefault="00B25F7D" w:rsidP="00B25F7D">
      <w:pPr>
        <w:jc w:val="both"/>
        <w:rPr>
          <w:rFonts w:ascii="Arial" w:hAnsi="Arial" w:cs="Arial"/>
          <w:i/>
          <w:color w:val="000000"/>
          <w:sz w:val="16"/>
          <w:szCs w:val="16"/>
        </w:rPr>
      </w:pPr>
      <w:r w:rsidRPr="00AA2C9B">
        <w:rPr>
          <w:rFonts w:ascii="Arial" w:hAnsi="Arial" w:cs="Arial"/>
          <w:b/>
          <w:i/>
          <w:color w:val="000000"/>
          <w:sz w:val="16"/>
          <w:szCs w:val="16"/>
        </w:rPr>
        <w:t>CEEC Research</w:t>
      </w:r>
      <w:r w:rsidRPr="00AA2C9B">
        <w:rPr>
          <w:rFonts w:ascii="Arial" w:hAnsi="Arial" w:cs="Arial"/>
          <w:i/>
          <w:color w:val="000000"/>
          <w:sz w:val="16"/>
          <w:szCs w:val="16"/>
        </w:rPr>
        <w:t xml:space="preserve"> je najväčšou analytickou spoločnosťou špecializujúcou sa na stavebníctvo, projektový a developerský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štruktúrovaných interview s kľúčovými predstaviteľmi vybraných najväčších, stredných a malých spoločností.</w:t>
      </w:r>
    </w:p>
    <w:p w:rsidR="00B25F7D" w:rsidRPr="00AA2C9B" w:rsidRDefault="00B25F7D" w:rsidP="00B25F7D">
      <w:pPr>
        <w:jc w:val="both"/>
        <w:rPr>
          <w:rFonts w:ascii="Arial" w:hAnsi="Arial" w:cs="Arial"/>
          <w:i/>
          <w:color w:val="000000"/>
        </w:rPr>
      </w:pPr>
      <w:r w:rsidRPr="00AA2C9B">
        <w:rPr>
          <w:rFonts w:ascii="Arial" w:hAnsi="Arial" w:cs="Arial"/>
          <w:b/>
          <w:i/>
          <w:color w:val="000000"/>
          <w:sz w:val="16"/>
          <w:szCs w:val="16"/>
        </w:rPr>
        <w:t xml:space="preserve">CEEC Research </w:t>
      </w:r>
      <w:r w:rsidRPr="00AA2C9B">
        <w:rPr>
          <w:rFonts w:ascii="Arial" w:hAnsi="Arial" w:cs="Arial"/>
          <w:i/>
          <w:color w:val="000000"/>
          <w:sz w:val="16"/>
          <w:szCs w:val="16"/>
        </w:rPr>
        <w:t>navyše k pravidelným a bezplatným analýzam stavebného, projektového, developerského, strojárenského a verejného sektora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p w:rsidR="005F0F7B" w:rsidRPr="00AA2C9B" w:rsidRDefault="005F0F7B" w:rsidP="00D66843">
      <w:pPr>
        <w:spacing w:after="0" w:line="240" w:lineRule="auto"/>
        <w:jc w:val="both"/>
        <w:rPr>
          <w:rFonts w:ascii="Arial" w:hAnsi="Arial" w:cs="Arial"/>
          <w:color w:val="000000"/>
          <w:sz w:val="16"/>
          <w:szCs w:val="16"/>
        </w:rPr>
      </w:pPr>
    </w:p>
    <w:p w:rsidR="00C66A5B" w:rsidRPr="00AA2C9B" w:rsidRDefault="00C66A5B" w:rsidP="00C66A5B">
      <w:pPr>
        <w:spacing w:after="0" w:line="240" w:lineRule="auto"/>
        <w:jc w:val="both"/>
        <w:rPr>
          <w:rFonts w:ascii="Arial" w:hAnsi="Arial" w:cs="Arial"/>
          <w:color w:val="000000"/>
          <w:sz w:val="16"/>
          <w:szCs w:val="16"/>
        </w:rPr>
      </w:pPr>
    </w:p>
    <w:p w:rsidR="00C66A5B" w:rsidRPr="00AA2C9B" w:rsidRDefault="00C66A5B" w:rsidP="00C66A5B">
      <w:pPr>
        <w:spacing w:after="0" w:line="240" w:lineRule="auto"/>
        <w:jc w:val="both"/>
        <w:rPr>
          <w:rFonts w:ascii="Arial" w:hAnsi="Arial" w:cs="Arial"/>
          <w:color w:val="000000"/>
          <w:sz w:val="16"/>
          <w:szCs w:val="16"/>
        </w:rPr>
      </w:pPr>
    </w:p>
    <w:sectPr w:rsidR="00C66A5B" w:rsidRPr="00AA2C9B" w:rsidSect="00DF6221">
      <w:headerReference w:type="default" r:id="rId8"/>
      <w:footerReference w:type="default" r:id="rId9"/>
      <w:type w:val="continuous"/>
      <w:pgSz w:w="11906" w:h="16838"/>
      <w:pgMar w:top="1417" w:right="1417" w:bottom="1417" w:left="1417" w:header="708" w:footer="216"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2E2" w:rsidRDefault="006942E2" w:rsidP="00A76E50">
      <w:pPr>
        <w:spacing w:after="0" w:line="240" w:lineRule="auto"/>
      </w:pPr>
      <w:r>
        <w:separator/>
      </w:r>
    </w:p>
  </w:endnote>
  <w:endnote w:type="continuationSeparator" w:id="0">
    <w:p w:rsidR="006942E2" w:rsidRDefault="006942E2"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Myanmar Text">
    <w:altName w:val="Times New Roman"/>
    <w:panose1 w:val="020B0502040204020203"/>
    <w:charset w:val="00"/>
    <w:family w:val="swiss"/>
    <w:pitch w:val="variable"/>
    <w:sig w:usb0="80000003" w:usb1="00000000" w:usb2="000004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808080"/>
        <w:left w:val="single" w:sz="4" w:space="0" w:color="808080"/>
        <w:bottom w:val="single" w:sz="4" w:space="0" w:color="808080"/>
        <w:right w:val="single" w:sz="4" w:space="0" w:color="808080"/>
      </w:tblBorders>
      <w:shd w:val="clear" w:color="auto" w:fill="D9D9D9"/>
      <w:tblLook w:val="04A0" w:firstRow="1" w:lastRow="0" w:firstColumn="1" w:lastColumn="0" w:noHBand="0" w:noVBand="1"/>
    </w:tblPr>
    <w:tblGrid>
      <w:gridCol w:w="9062"/>
    </w:tblGrid>
    <w:tr w:rsidR="00DF6221" w:rsidRPr="0010694C" w:rsidTr="0010694C">
      <w:trPr>
        <w:trHeight w:val="844"/>
      </w:trPr>
      <w:tc>
        <w:tcPr>
          <w:tcW w:w="9062" w:type="dxa"/>
          <w:shd w:val="clear" w:color="auto" w:fill="D9D9D9"/>
        </w:tcPr>
        <w:p w:rsidR="00DF6221" w:rsidRPr="0010694C" w:rsidRDefault="00DF6221" w:rsidP="0010694C">
          <w:pPr>
            <w:spacing w:after="0" w:line="240" w:lineRule="auto"/>
            <w:rPr>
              <w:rStyle w:val="Hypertextovodkaz"/>
              <w:rFonts w:ascii="Arial" w:hAnsi="Arial" w:cs="Arial"/>
              <w:color w:val="808080"/>
              <w:sz w:val="6"/>
              <w:szCs w:val="6"/>
            </w:rPr>
          </w:pPr>
        </w:p>
        <w:p w:rsidR="00DF6221" w:rsidRPr="0010694C" w:rsidRDefault="00DF6221" w:rsidP="0010694C">
          <w:pPr>
            <w:spacing w:after="0" w:line="240" w:lineRule="auto"/>
            <w:rPr>
              <w:rStyle w:val="Hypertextovodkaz"/>
              <w:rFonts w:ascii="Arial" w:hAnsi="Arial" w:cs="Arial"/>
              <w:color w:val="808080"/>
              <w:sz w:val="16"/>
              <w:szCs w:val="16"/>
              <w:u w:val="none"/>
            </w:rPr>
          </w:pPr>
          <w:r w:rsidRPr="0010694C">
            <w:rPr>
              <w:rStyle w:val="Hypertextovodkaz"/>
              <w:rFonts w:ascii="Arial" w:hAnsi="Arial" w:cs="Arial"/>
              <w:color w:val="808080"/>
              <w:sz w:val="16"/>
              <w:szCs w:val="16"/>
              <w:u w:val="none"/>
            </w:rPr>
            <w:t>Metodika výpočtu:</w:t>
          </w:r>
        </w:p>
        <w:p w:rsidR="00DF6221"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vyhlásené zákazky</w:t>
          </w:r>
          <w:r w:rsidRPr="0010694C">
            <w:rPr>
              <w:rStyle w:val="Hypertextovodkaz"/>
              <w:rFonts w:ascii="Arial" w:hAnsi="Arial" w:cs="Arial"/>
              <w:color w:val="808080"/>
              <w:sz w:val="16"/>
              <w:szCs w:val="16"/>
              <w:u w:val="none"/>
            </w:rPr>
            <w:t xml:space="preserve"> – vzťahuje sa k dátumu odoslania </w:t>
          </w:r>
          <w:r w:rsidR="002F35BB" w:rsidRPr="0010694C">
            <w:rPr>
              <w:rStyle w:val="Hypertextovodkaz"/>
              <w:rFonts w:ascii="Arial" w:hAnsi="Arial" w:cs="Arial"/>
              <w:color w:val="808080"/>
              <w:sz w:val="16"/>
              <w:szCs w:val="16"/>
              <w:u w:val="none"/>
            </w:rPr>
            <w:t xml:space="preserve">oznámenia </w:t>
          </w:r>
          <w:r w:rsidRPr="0010694C">
            <w:rPr>
              <w:rStyle w:val="Hypertextovodkaz"/>
              <w:rFonts w:ascii="Arial" w:hAnsi="Arial" w:cs="Arial"/>
              <w:color w:val="808080"/>
              <w:sz w:val="16"/>
              <w:szCs w:val="16"/>
              <w:u w:val="none"/>
            </w:rPr>
            <w:t>na Úrad pre verejné obstarávanie</w:t>
          </w:r>
        </w:p>
        <w:p w:rsidR="00171527"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zadané (ukončené) zákazky</w:t>
          </w:r>
          <w:r w:rsidRPr="0010694C">
            <w:rPr>
              <w:rStyle w:val="Hypertextovodkaz"/>
              <w:rFonts w:ascii="Arial" w:hAnsi="Arial" w:cs="Arial"/>
              <w:color w:val="808080"/>
              <w:sz w:val="16"/>
              <w:szCs w:val="16"/>
              <w:u w:val="none"/>
            </w:rPr>
            <w:t xml:space="preserve"> – vzťahuje sa k skutočnému dátumu zadania zákazky (uvedeného v</w:t>
          </w:r>
          <w:r w:rsidR="002F35BB" w:rsidRPr="0010694C">
            <w:rPr>
              <w:rStyle w:val="Hypertextovodkaz"/>
              <w:rFonts w:ascii="Arial" w:hAnsi="Arial" w:cs="Arial"/>
              <w:color w:val="808080"/>
              <w:sz w:val="16"/>
              <w:szCs w:val="16"/>
              <w:u w:val="none"/>
            </w:rPr>
            <w:t xml:space="preserve"> oznámení</w:t>
          </w:r>
          <w:r w:rsidRPr="0010694C">
            <w:rPr>
              <w:rStyle w:val="Hypertextovodkaz"/>
              <w:rFonts w:ascii="Arial" w:hAnsi="Arial" w:cs="Arial"/>
              <w:color w:val="808080"/>
              <w:sz w:val="16"/>
              <w:szCs w:val="16"/>
              <w:u w:val="none"/>
            </w:rPr>
            <w:t>)</w:t>
          </w:r>
        </w:p>
        <w:p w:rsidR="00DF6221" w:rsidRPr="0010694C" w:rsidRDefault="00DF6221" w:rsidP="0010694C">
          <w:pPr>
            <w:pStyle w:val="Odstavecseseznamem"/>
            <w:widowControl w:val="0"/>
            <w:numPr>
              <w:ilvl w:val="0"/>
              <w:numId w:val="4"/>
            </w:numPr>
            <w:spacing w:after="0" w:line="240" w:lineRule="auto"/>
            <w:ind w:left="284" w:firstLine="0"/>
            <w:contextualSpacing w:val="0"/>
            <w:rPr>
              <w:rFonts w:ascii="Arial" w:hAnsi="Arial" w:cs="Arial"/>
              <w:color w:val="808080"/>
              <w:sz w:val="16"/>
              <w:szCs w:val="16"/>
            </w:rPr>
          </w:pPr>
          <w:r w:rsidRPr="0010694C">
            <w:rPr>
              <w:rStyle w:val="Hypertextovodkaz"/>
              <w:rFonts w:ascii="Arial" w:hAnsi="Arial" w:cs="Arial"/>
              <w:color w:val="808080"/>
              <w:sz w:val="16"/>
              <w:szCs w:val="16"/>
              <w:u w:val="none"/>
            </w:rPr>
            <w:t xml:space="preserve">do výpočtu neboli zahrnuté </w:t>
          </w:r>
          <w:r w:rsidR="002F35BB" w:rsidRPr="0010694C">
            <w:rPr>
              <w:rStyle w:val="Hypertextovodkaz"/>
              <w:rFonts w:ascii="Arial" w:hAnsi="Arial" w:cs="Arial"/>
              <w:color w:val="808080"/>
              <w:sz w:val="16"/>
              <w:szCs w:val="16"/>
              <w:u w:val="none"/>
            </w:rPr>
            <w:t>oznámenia o koncesiách</w:t>
          </w:r>
        </w:p>
      </w:tc>
    </w:tr>
  </w:tbl>
  <w:p w:rsidR="00DF6221" w:rsidRPr="00171527" w:rsidRDefault="00DF6221" w:rsidP="00DF622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2E2" w:rsidRDefault="006942E2" w:rsidP="00A76E50">
      <w:pPr>
        <w:spacing w:after="0" w:line="240" w:lineRule="auto"/>
      </w:pPr>
      <w:r>
        <w:separator/>
      </w:r>
    </w:p>
  </w:footnote>
  <w:footnote w:type="continuationSeparator" w:id="0">
    <w:p w:rsidR="006942E2" w:rsidRDefault="006942E2"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B77" w:rsidRDefault="00E47B77" w:rsidP="00BD7803">
    <w:pPr>
      <w:pStyle w:val="Zhlav"/>
      <w:tabs>
        <w:tab w:val="clear" w:pos="4536"/>
        <w:tab w:val="clear" w:pos="9072"/>
        <w:tab w:val="left" w:pos="3585"/>
      </w:tabs>
      <w:jc w:val="center"/>
      <w:rPr>
        <w:b/>
        <w:noProof/>
        <w:color w:val="808080"/>
        <w:sz w:val="60"/>
        <w:szCs w:val="60"/>
        <w:lang w:eastAsia="cs-CZ"/>
      </w:rPr>
    </w:pPr>
    <w:r>
      <w:rPr>
        <w:b/>
        <w:noProof/>
        <w:color w:val="808080"/>
        <w:sz w:val="60"/>
        <w:szCs w:val="60"/>
        <w:lang w:eastAsia="cs-CZ"/>
      </w:rPr>
      <w:t xml:space="preserve">                                                       </w:t>
    </w:r>
    <w:r w:rsidR="00AD45FE">
      <w:rPr>
        <w:noProof/>
        <w:lang w:val="cs-CZ" w:eastAsia="zh-CN" w:bidi="mn-Mong-CN"/>
      </w:rPr>
      <w:drawing>
        <wp:anchor distT="0" distB="0" distL="114300" distR="114300" simplePos="0" relativeHeight="251657728" behindDoc="0" locked="0" layoutInCell="1" allowOverlap="1">
          <wp:simplePos x="0" y="0"/>
          <wp:positionH relativeFrom="column">
            <wp:posOffset>-240030</wp:posOffset>
          </wp:positionH>
          <wp:positionV relativeFrom="paragraph">
            <wp:posOffset>-203200</wp:posOffset>
          </wp:positionV>
          <wp:extent cx="1285240" cy="758825"/>
          <wp:effectExtent l="0" t="0" r="0" b="3175"/>
          <wp:wrapNone/>
          <wp:docPr id="1"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7B77" w:rsidRPr="00B25F7D" w:rsidRDefault="00B25F7D" w:rsidP="00BD7803">
    <w:pPr>
      <w:pStyle w:val="Zhlav"/>
      <w:tabs>
        <w:tab w:val="clear" w:pos="4536"/>
        <w:tab w:val="clear" w:pos="9072"/>
        <w:tab w:val="left" w:pos="3585"/>
      </w:tabs>
      <w:jc w:val="center"/>
      <w:rPr>
        <w:b/>
        <w:noProof/>
        <w:color w:val="808080"/>
        <w:sz w:val="60"/>
        <w:szCs w:val="60"/>
        <w:lang w:eastAsia="cs-CZ"/>
      </w:rPr>
    </w:pPr>
    <w:r w:rsidRPr="00B25F7D">
      <w:rPr>
        <w:b/>
        <w:noProof/>
        <w:color w:val="808080"/>
        <w:sz w:val="60"/>
        <w:szCs w:val="60"/>
        <w:lang w:eastAsia="cs-CZ"/>
      </w:rPr>
      <w:t>Tlačová správa</w:t>
    </w:r>
  </w:p>
  <w:p w:rsidR="00AC2D6D" w:rsidRPr="00AC2D6D" w:rsidRDefault="00AC2D6D" w:rsidP="00BD7803">
    <w:pPr>
      <w:pStyle w:val="Zhlav"/>
      <w:tabs>
        <w:tab w:val="clear" w:pos="4536"/>
        <w:tab w:val="clear" w:pos="9072"/>
        <w:tab w:val="left" w:pos="3585"/>
      </w:tabs>
      <w:jc w:val="center"/>
      <w:rPr>
        <w:b/>
        <w:color w:val="808080"/>
        <w:sz w:val="18"/>
        <w:szCs w:val="18"/>
      </w:rPr>
    </w:pPr>
  </w:p>
  <w:p w:rsidR="00E47B77" w:rsidRDefault="00E47B7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D265A"/>
    <w:multiLevelType w:val="hybridMultilevel"/>
    <w:tmpl w:val="7CCE8D2E"/>
    <w:lvl w:ilvl="0" w:tplc="DAFA2688">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1" w15:restartNumberingAfterBreak="0">
    <w:nsid w:val="3B4F0BDD"/>
    <w:multiLevelType w:val="hybridMultilevel"/>
    <w:tmpl w:val="6620417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F821328"/>
    <w:multiLevelType w:val="hybridMultilevel"/>
    <w:tmpl w:val="75942C22"/>
    <w:lvl w:ilvl="0" w:tplc="9C644B6A">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3" w15:restartNumberingAfterBreak="0">
    <w:nsid w:val="708A318F"/>
    <w:multiLevelType w:val="hybridMultilevel"/>
    <w:tmpl w:val="FD9E235A"/>
    <w:lvl w:ilvl="0" w:tplc="55A89484">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0181"/>
    <w:rsid w:val="0000119D"/>
    <w:rsid w:val="00001257"/>
    <w:rsid w:val="0000227C"/>
    <w:rsid w:val="00002781"/>
    <w:rsid w:val="00003552"/>
    <w:rsid w:val="000039CF"/>
    <w:rsid w:val="000110D5"/>
    <w:rsid w:val="00012CB9"/>
    <w:rsid w:val="0001396A"/>
    <w:rsid w:val="00014CF3"/>
    <w:rsid w:val="00014F6D"/>
    <w:rsid w:val="00016685"/>
    <w:rsid w:val="00016986"/>
    <w:rsid w:val="000170ED"/>
    <w:rsid w:val="00017E2E"/>
    <w:rsid w:val="00023D83"/>
    <w:rsid w:val="00025640"/>
    <w:rsid w:val="000261EE"/>
    <w:rsid w:val="0002664C"/>
    <w:rsid w:val="00027656"/>
    <w:rsid w:val="00030662"/>
    <w:rsid w:val="00030F20"/>
    <w:rsid w:val="0003155E"/>
    <w:rsid w:val="000321DF"/>
    <w:rsid w:val="00033E4F"/>
    <w:rsid w:val="00034237"/>
    <w:rsid w:val="00035EB9"/>
    <w:rsid w:val="00040AF2"/>
    <w:rsid w:val="00041B88"/>
    <w:rsid w:val="0004318D"/>
    <w:rsid w:val="000431B3"/>
    <w:rsid w:val="00047BEE"/>
    <w:rsid w:val="00052956"/>
    <w:rsid w:val="0005371F"/>
    <w:rsid w:val="00053DE6"/>
    <w:rsid w:val="00055740"/>
    <w:rsid w:val="00055D25"/>
    <w:rsid w:val="00055FC7"/>
    <w:rsid w:val="00060DD1"/>
    <w:rsid w:val="00060F14"/>
    <w:rsid w:val="0006280C"/>
    <w:rsid w:val="000633FF"/>
    <w:rsid w:val="00064569"/>
    <w:rsid w:val="0006538F"/>
    <w:rsid w:val="00067C5F"/>
    <w:rsid w:val="00067E88"/>
    <w:rsid w:val="0007025C"/>
    <w:rsid w:val="00072FDF"/>
    <w:rsid w:val="00072FE8"/>
    <w:rsid w:val="00073FC5"/>
    <w:rsid w:val="00075A1E"/>
    <w:rsid w:val="00076EE1"/>
    <w:rsid w:val="00077865"/>
    <w:rsid w:val="000803AD"/>
    <w:rsid w:val="00080FA0"/>
    <w:rsid w:val="00082873"/>
    <w:rsid w:val="000853CA"/>
    <w:rsid w:val="000909E4"/>
    <w:rsid w:val="000914EB"/>
    <w:rsid w:val="00092923"/>
    <w:rsid w:val="00092FB8"/>
    <w:rsid w:val="00093D49"/>
    <w:rsid w:val="000952CE"/>
    <w:rsid w:val="000957C6"/>
    <w:rsid w:val="000A03AB"/>
    <w:rsid w:val="000A0C73"/>
    <w:rsid w:val="000A2E0E"/>
    <w:rsid w:val="000A4C61"/>
    <w:rsid w:val="000A593D"/>
    <w:rsid w:val="000B0EFB"/>
    <w:rsid w:val="000B2314"/>
    <w:rsid w:val="000B3A8B"/>
    <w:rsid w:val="000B5E95"/>
    <w:rsid w:val="000B690A"/>
    <w:rsid w:val="000B694A"/>
    <w:rsid w:val="000B6E73"/>
    <w:rsid w:val="000B7E0E"/>
    <w:rsid w:val="000C0093"/>
    <w:rsid w:val="000C079A"/>
    <w:rsid w:val="000C2B3C"/>
    <w:rsid w:val="000C4278"/>
    <w:rsid w:val="000C4F6C"/>
    <w:rsid w:val="000C5911"/>
    <w:rsid w:val="000C6179"/>
    <w:rsid w:val="000C6B1F"/>
    <w:rsid w:val="000D031A"/>
    <w:rsid w:val="000D1365"/>
    <w:rsid w:val="000D14F5"/>
    <w:rsid w:val="000D2CE5"/>
    <w:rsid w:val="000D3395"/>
    <w:rsid w:val="000D5EC9"/>
    <w:rsid w:val="000D7278"/>
    <w:rsid w:val="000E0FE0"/>
    <w:rsid w:val="000E1438"/>
    <w:rsid w:val="000E60CC"/>
    <w:rsid w:val="000E620E"/>
    <w:rsid w:val="000E71B9"/>
    <w:rsid w:val="000E7454"/>
    <w:rsid w:val="000F4820"/>
    <w:rsid w:val="000F58C9"/>
    <w:rsid w:val="000F5D71"/>
    <w:rsid w:val="000F6F79"/>
    <w:rsid w:val="001037D9"/>
    <w:rsid w:val="00104FFE"/>
    <w:rsid w:val="0010694C"/>
    <w:rsid w:val="00110295"/>
    <w:rsid w:val="001111BA"/>
    <w:rsid w:val="001131DD"/>
    <w:rsid w:val="0011344B"/>
    <w:rsid w:val="00113B38"/>
    <w:rsid w:val="00115DA0"/>
    <w:rsid w:val="00116FFB"/>
    <w:rsid w:val="00121151"/>
    <w:rsid w:val="0012196C"/>
    <w:rsid w:val="00121C9B"/>
    <w:rsid w:val="00125253"/>
    <w:rsid w:val="0012555E"/>
    <w:rsid w:val="001265B5"/>
    <w:rsid w:val="00127951"/>
    <w:rsid w:val="001346AF"/>
    <w:rsid w:val="001350E0"/>
    <w:rsid w:val="00135EE5"/>
    <w:rsid w:val="00136E14"/>
    <w:rsid w:val="00136E59"/>
    <w:rsid w:val="001409B2"/>
    <w:rsid w:val="0014178E"/>
    <w:rsid w:val="00143695"/>
    <w:rsid w:val="0014700B"/>
    <w:rsid w:val="00147738"/>
    <w:rsid w:val="001536EE"/>
    <w:rsid w:val="00156DD0"/>
    <w:rsid w:val="00160F29"/>
    <w:rsid w:val="00165846"/>
    <w:rsid w:val="00166B57"/>
    <w:rsid w:val="00166DEA"/>
    <w:rsid w:val="00170C56"/>
    <w:rsid w:val="00171527"/>
    <w:rsid w:val="00172B7C"/>
    <w:rsid w:val="00172C66"/>
    <w:rsid w:val="001768AF"/>
    <w:rsid w:val="00177E96"/>
    <w:rsid w:val="00180560"/>
    <w:rsid w:val="0018311B"/>
    <w:rsid w:val="001854A9"/>
    <w:rsid w:val="0018743F"/>
    <w:rsid w:val="00196346"/>
    <w:rsid w:val="0019645D"/>
    <w:rsid w:val="00197C1E"/>
    <w:rsid w:val="001A203D"/>
    <w:rsid w:val="001A281A"/>
    <w:rsid w:val="001A3B07"/>
    <w:rsid w:val="001A3CBC"/>
    <w:rsid w:val="001A55ED"/>
    <w:rsid w:val="001A5A06"/>
    <w:rsid w:val="001A6A6E"/>
    <w:rsid w:val="001A6C7A"/>
    <w:rsid w:val="001A7673"/>
    <w:rsid w:val="001B2DF2"/>
    <w:rsid w:val="001B6429"/>
    <w:rsid w:val="001B76D5"/>
    <w:rsid w:val="001C6F33"/>
    <w:rsid w:val="001C7E05"/>
    <w:rsid w:val="001D0C46"/>
    <w:rsid w:val="001D1273"/>
    <w:rsid w:val="001D1F00"/>
    <w:rsid w:val="001D32B1"/>
    <w:rsid w:val="001D36EB"/>
    <w:rsid w:val="001D4D3B"/>
    <w:rsid w:val="001D5798"/>
    <w:rsid w:val="001D5EB6"/>
    <w:rsid w:val="001D6EDB"/>
    <w:rsid w:val="001D7AEC"/>
    <w:rsid w:val="001E3B75"/>
    <w:rsid w:val="001E446E"/>
    <w:rsid w:val="001E4926"/>
    <w:rsid w:val="001E5881"/>
    <w:rsid w:val="001E715E"/>
    <w:rsid w:val="001F11C2"/>
    <w:rsid w:val="001F128B"/>
    <w:rsid w:val="001F22BC"/>
    <w:rsid w:val="001F70AA"/>
    <w:rsid w:val="001F724D"/>
    <w:rsid w:val="002070E9"/>
    <w:rsid w:val="00211533"/>
    <w:rsid w:val="00212725"/>
    <w:rsid w:val="00214474"/>
    <w:rsid w:val="0021506F"/>
    <w:rsid w:val="00216D19"/>
    <w:rsid w:val="002262A5"/>
    <w:rsid w:val="0023390B"/>
    <w:rsid w:val="00233D6F"/>
    <w:rsid w:val="002353AC"/>
    <w:rsid w:val="00237274"/>
    <w:rsid w:val="00240AFB"/>
    <w:rsid w:val="00242CAA"/>
    <w:rsid w:val="002474D8"/>
    <w:rsid w:val="0024799F"/>
    <w:rsid w:val="00251186"/>
    <w:rsid w:val="00251AB8"/>
    <w:rsid w:val="002522DF"/>
    <w:rsid w:val="002533DB"/>
    <w:rsid w:val="002560EF"/>
    <w:rsid w:val="00257FDE"/>
    <w:rsid w:val="00257FF1"/>
    <w:rsid w:val="002603EC"/>
    <w:rsid w:val="00260DD4"/>
    <w:rsid w:val="00263565"/>
    <w:rsid w:val="00263649"/>
    <w:rsid w:val="0026597A"/>
    <w:rsid w:val="002678EB"/>
    <w:rsid w:val="00267BB9"/>
    <w:rsid w:val="00271171"/>
    <w:rsid w:val="00275AD4"/>
    <w:rsid w:val="00277459"/>
    <w:rsid w:val="00280FF2"/>
    <w:rsid w:val="002818F3"/>
    <w:rsid w:val="00282C79"/>
    <w:rsid w:val="002830C6"/>
    <w:rsid w:val="0028338C"/>
    <w:rsid w:val="00283D79"/>
    <w:rsid w:val="0029157C"/>
    <w:rsid w:val="00292FD0"/>
    <w:rsid w:val="00293553"/>
    <w:rsid w:val="00294841"/>
    <w:rsid w:val="0029594C"/>
    <w:rsid w:val="0029718C"/>
    <w:rsid w:val="002A05C0"/>
    <w:rsid w:val="002A0D8C"/>
    <w:rsid w:val="002A27B0"/>
    <w:rsid w:val="002A30C8"/>
    <w:rsid w:val="002A6CC8"/>
    <w:rsid w:val="002A7D29"/>
    <w:rsid w:val="002A7D2C"/>
    <w:rsid w:val="002A7D9C"/>
    <w:rsid w:val="002B1925"/>
    <w:rsid w:val="002B69EB"/>
    <w:rsid w:val="002B7003"/>
    <w:rsid w:val="002B70CD"/>
    <w:rsid w:val="002C1475"/>
    <w:rsid w:val="002C2C67"/>
    <w:rsid w:val="002C376E"/>
    <w:rsid w:val="002C5F1D"/>
    <w:rsid w:val="002C6809"/>
    <w:rsid w:val="002C6870"/>
    <w:rsid w:val="002C6CF1"/>
    <w:rsid w:val="002C6D59"/>
    <w:rsid w:val="002C76EC"/>
    <w:rsid w:val="002D00D5"/>
    <w:rsid w:val="002D1579"/>
    <w:rsid w:val="002D19E5"/>
    <w:rsid w:val="002D1D8C"/>
    <w:rsid w:val="002E04E6"/>
    <w:rsid w:val="002E0BA5"/>
    <w:rsid w:val="002E0D84"/>
    <w:rsid w:val="002E1B68"/>
    <w:rsid w:val="002E1CCD"/>
    <w:rsid w:val="002E4528"/>
    <w:rsid w:val="002E5204"/>
    <w:rsid w:val="002E5456"/>
    <w:rsid w:val="002E7E2A"/>
    <w:rsid w:val="002F030D"/>
    <w:rsid w:val="002F1525"/>
    <w:rsid w:val="002F35BB"/>
    <w:rsid w:val="002F3CFF"/>
    <w:rsid w:val="002F42A5"/>
    <w:rsid w:val="002F4916"/>
    <w:rsid w:val="002F5151"/>
    <w:rsid w:val="002F5850"/>
    <w:rsid w:val="002F683F"/>
    <w:rsid w:val="002F69FF"/>
    <w:rsid w:val="002F7E3F"/>
    <w:rsid w:val="003008A7"/>
    <w:rsid w:val="003016AD"/>
    <w:rsid w:val="003057BE"/>
    <w:rsid w:val="00305E0A"/>
    <w:rsid w:val="00306F83"/>
    <w:rsid w:val="00311898"/>
    <w:rsid w:val="00311B8C"/>
    <w:rsid w:val="00311BF9"/>
    <w:rsid w:val="003120A5"/>
    <w:rsid w:val="00312578"/>
    <w:rsid w:val="00312EBF"/>
    <w:rsid w:val="0031473B"/>
    <w:rsid w:val="00315F24"/>
    <w:rsid w:val="00317CBD"/>
    <w:rsid w:val="00320686"/>
    <w:rsid w:val="003207A8"/>
    <w:rsid w:val="00320FF8"/>
    <w:rsid w:val="00322E22"/>
    <w:rsid w:val="00323F24"/>
    <w:rsid w:val="00324918"/>
    <w:rsid w:val="00325137"/>
    <w:rsid w:val="0032653A"/>
    <w:rsid w:val="003267D4"/>
    <w:rsid w:val="00326977"/>
    <w:rsid w:val="00327098"/>
    <w:rsid w:val="0033164B"/>
    <w:rsid w:val="00332EC1"/>
    <w:rsid w:val="00336791"/>
    <w:rsid w:val="003371A6"/>
    <w:rsid w:val="00340DBD"/>
    <w:rsid w:val="00340F91"/>
    <w:rsid w:val="0034103C"/>
    <w:rsid w:val="00341337"/>
    <w:rsid w:val="00341A2D"/>
    <w:rsid w:val="00343FE1"/>
    <w:rsid w:val="00344195"/>
    <w:rsid w:val="00344AA1"/>
    <w:rsid w:val="00345FAA"/>
    <w:rsid w:val="00346F0E"/>
    <w:rsid w:val="003478CC"/>
    <w:rsid w:val="00350781"/>
    <w:rsid w:val="00350B86"/>
    <w:rsid w:val="003536E6"/>
    <w:rsid w:val="00355142"/>
    <w:rsid w:val="003567AD"/>
    <w:rsid w:val="00356815"/>
    <w:rsid w:val="00357CBB"/>
    <w:rsid w:val="00360A06"/>
    <w:rsid w:val="00366798"/>
    <w:rsid w:val="00367609"/>
    <w:rsid w:val="00367B43"/>
    <w:rsid w:val="00370B08"/>
    <w:rsid w:val="00371B88"/>
    <w:rsid w:val="00374BE7"/>
    <w:rsid w:val="00376E15"/>
    <w:rsid w:val="003777B4"/>
    <w:rsid w:val="00380371"/>
    <w:rsid w:val="00382A30"/>
    <w:rsid w:val="00383358"/>
    <w:rsid w:val="00385800"/>
    <w:rsid w:val="00387314"/>
    <w:rsid w:val="003876DB"/>
    <w:rsid w:val="00387937"/>
    <w:rsid w:val="00390E15"/>
    <w:rsid w:val="0039104A"/>
    <w:rsid w:val="003953D3"/>
    <w:rsid w:val="00395988"/>
    <w:rsid w:val="003964E1"/>
    <w:rsid w:val="003A14B6"/>
    <w:rsid w:val="003A181B"/>
    <w:rsid w:val="003A31A4"/>
    <w:rsid w:val="003A3434"/>
    <w:rsid w:val="003A4732"/>
    <w:rsid w:val="003A4FD1"/>
    <w:rsid w:val="003A6F3A"/>
    <w:rsid w:val="003A7A48"/>
    <w:rsid w:val="003B2226"/>
    <w:rsid w:val="003B24B6"/>
    <w:rsid w:val="003B2E18"/>
    <w:rsid w:val="003B5EAE"/>
    <w:rsid w:val="003C0CCF"/>
    <w:rsid w:val="003C1BC8"/>
    <w:rsid w:val="003C54F2"/>
    <w:rsid w:val="003C6408"/>
    <w:rsid w:val="003C6EB8"/>
    <w:rsid w:val="003D2951"/>
    <w:rsid w:val="003D310D"/>
    <w:rsid w:val="003D48F8"/>
    <w:rsid w:val="003D6F8E"/>
    <w:rsid w:val="003E1A1F"/>
    <w:rsid w:val="003E1E49"/>
    <w:rsid w:val="003E3DE2"/>
    <w:rsid w:val="003E40D1"/>
    <w:rsid w:val="003E77A1"/>
    <w:rsid w:val="003F1964"/>
    <w:rsid w:val="00402409"/>
    <w:rsid w:val="00402D9F"/>
    <w:rsid w:val="0040325E"/>
    <w:rsid w:val="00403492"/>
    <w:rsid w:val="00403731"/>
    <w:rsid w:val="004059AB"/>
    <w:rsid w:val="00405EA9"/>
    <w:rsid w:val="00407A17"/>
    <w:rsid w:val="00410AA6"/>
    <w:rsid w:val="00416A31"/>
    <w:rsid w:val="00426A92"/>
    <w:rsid w:val="004316C7"/>
    <w:rsid w:val="00433364"/>
    <w:rsid w:val="0043543D"/>
    <w:rsid w:val="004370C0"/>
    <w:rsid w:val="00437237"/>
    <w:rsid w:val="00437D6C"/>
    <w:rsid w:val="00441736"/>
    <w:rsid w:val="00442507"/>
    <w:rsid w:val="0044390B"/>
    <w:rsid w:val="0044519F"/>
    <w:rsid w:val="004462F7"/>
    <w:rsid w:val="004467C4"/>
    <w:rsid w:val="00446BD0"/>
    <w:rsid w:val="0044727E"/>
    <w:rsid w:val="004503E6"/>
    <w:rsid w:val="00452412"/>
    <w:rsid w:val="0045410A"/>
    <w:rsid w:val="00454A85"/>
    <w:rsid w:val="00460C42"/>
    <w:rsid w:val="0046114D"/>
    <w:rsid w:val="00461766"/>
    <w:rsid w:val="00463642"/>
    <w:rsid w:val="00466AB9"/>
    <w:rsid w:val="004706FC"/>
    <w:rsid w:val="00471DFB"/>
    <w:rsid w:val="00471F4D"/>
    <w:rsid w:val="00475411"/>
    <w:rsid w:val="00476F5C"/>
    <w:rsid w:val="00477E8F"/>
    <w:rsid w:val="004831E5"/>
    <w:rsid w:val="004842D3"/>
    <w:rsid w:val="004861FD"/>
    <w:rsid w:val="0048734D"/>
    <w:rsid w:val="00490688"/>
    <w:rsid w:val="004907FF"/>
    <w:rsid w:val="00492AE9"/>
    <w:rsid w:val="00493E4C"/>
    <w:rsid w:val="00495320"/>
    <w:rsid w:val="00495F8C"/>
    <w:rsid w:val="004973FD"/>
    <w:rsid w:val="00497993"/>
    <w:rsid w:val="004A0F38"/>
    <w:rsid w:val="004A1A95"/>
    <w:rsid w:val="004A420D"/>
    <w:rsid w:val="004A4C02"/>
    <w:rsid w:val="004A714A"/>
    <w:rsid w:val="004B21C6"/>
    <w:rsid w:val="004B2FEB"/>
    <w:rsid w:val="004B3D19"/>
    <w:rsid w:val="004B5204"/>
    <w:rsid w:val="004C14E3"/>
    <w:rsid w:val="004C6916"/>
    <w:rsid w:val="004C6F53"/>
    <w:rsid w:val="004C778E"/>
    <w:rsid w:val="004D1726"/>
    <w:rsid w:val="004D3539"/>
    <w:rsid w:val="004D3CE0"/>
    <w:rsid w:val="004D40B2"/>
    <w:rsid w:val="004D75BF"/>
    <w:rsid w:val="004E5331"/>
    <w:rsid w:val="004E5B70"/>
    <w:rsid w:val="004E6937"/>
    <w:rsid w:val="004E7A70"/>
    <w:rsid w:val="004F4146"/>
    <w:rsid w:val="004F5B25"/>
    <w:rsid w:val="004F5B5A"/>
    <w:rsid w:val="00500DCA"/>
    <w:rsid w:val="0050226F"/>
    <w:rsid w:val="005034DA"/>
    <w:rsid w:val="00503F76"/>
    <w:rsid w:val="00504958"/>
    <w:rsid w:val="005073A6"/>
    <w:rsid w:val="0051183B"/>
    <w:rsid w:val="00512BB8"/>
    <w:rsid w:val="00514F16"/>
    <w:rsid w:val="005156F7"/>
    <w:rsid w:val="005171E3"/>
    <w:rsid w:val="00517883"/>
    <w:rsid w:val="0052175E"/>
    <w:rsid w:val="00524ADB"/>
    <w:rsid w:val="00524BF2"/>
    <w:rsid w:val="00527067"/>
    <w:rsid w:val="00530C65"/>
    <w:rsid w:val="00532BE3"/>
    <w:rsid w:val="005349AB"/>
    <w:rsid w:val="00535ADA"/>
    <w:rsid w:val="0054074A"/>
    <w:rsid w:val="0054087B"/>
    <w:rsid w:val="005409B9"/>
    <w:rsid w:val="00540E43"/>
    <w:rsid w:val="00545502"/>
    <w:rsid w:val="00545FBD"/>
    <w:rsid w:val="0054668A"/>
    <w:rsid w:val="0054748B"/>
    <w:rsid w:val="00547885"/>
    <w:rsid w:val="0055065F"/>
    <w:rsid w:val="0055308D"/>
    <w:rsid w:val="005556C1"/>
    <w:rsid w:val="00556713"/>
    <w:rsid w:val="00557035"/>
    <w:rsid w:val="00561324"/>
    <w:rsid w:val="00561C4A"/>
    <w:rsid w:val="00563DC1"/>
    <w:rsid w:val="005643F4"/>
    <w:rsid w:val="00565634"/>
    <w:rsid w:val="0056750F"/>
    <w:rsid w:val="00567582"/>
    <w:rsid w:val="005677BC"/>
    <w:rsid w:val="005704C5"/>
    <w:rsid w:val="0057268D"/>
    <w:rsid w:val="005733C7"/>
    <w:rsid w:val="00575BAA"/>
    <w:rsid w:val="0057721C"/>
    <w:rsid w:val="00577D4E"/>
    <w:rsid w:val="0058038E"/>
    <w:rsid w:val="00580972"/>
    <w:rsid w:val="005826BC"/>
    <w:rsid w:val="00582B13"/>
    <w:rsid w:val="00584AAD"/>
    <w:rsid w:val="005861A0"/>
    <w:rsid w:val="0058771B"/>
    <w:rsid w:val="00590933"/>
    <w:rsid w:val="005912D0"/>
    <w:rsid w:val="005912F8"/>
    <w:rsid w:val="00594C7B"/>
    <w:rsid w:val="005954D5"/>
    <w:rsid w:val="00595D66"/>
    <w:rsid w:val="005A0BAA"/>
    <w:rsid w:val="005A2292"/>
    <w:rsid w:val="005A262C"/>
    <w:rsid w:val="005A2BCC"/>
    <w:rsid w:val="005A4048"/>
    <w:rsid w:val="005A498E"/>
    <w:rsid w:val="005B03B8"/>
    <w:rsid w:val="005B1E39"/>
    <w:rsid w:val="005B2B45"/>
    <w:rsid w:val="005B51C0"/>
    <w:rsid w:val="005C03A3"/>
    <w:rsid w:val="005C0FA8"/>
    <w:rsid w:val="005C5660"/>
    <w:rsid w:val="005C60BC"/>
    <w:rsid w:val="005C7342"/>
    <w:rsid w:val="005C740D"/>
    <w:rsid w:val="005C7F82"/>
    <w:rsid w:val="005D15C7"/>
    <w:rsid w:val="005D15D0"/>
    <w:rsid w:val="005D2256"/>
    <w:rsid w:val="005D24D5"/>
    <w:rsid w:val="005D32BF"/>
    <w:rsid w:val="005D3E08"/>
    <w:rsid w:val="005D5531"/>
    <w:rsid w:val="005D6670"/>
    <w:rsid w:val="005D6F59"/>
    <w:rsid w:val="005E0351"/>
    <w:rsid w:val="005E2954"/>
    <w:rsid w:val="005E295F"/>
    <w:rsid w:val="005E30D6"/>
    <w:rsid w:val="005E61DC"/>
    <w:rsid w:val="005E76DC"/>
    <w:rsid w:val="005E7D50"/>
    <w:rsid w:val="005F0F7B"/>
    <w:rsid w:val="005F2139"/>
    <w:rsid w:val="005F21BA"/>
    <w:rsid w:val="005F256F"/>
    <w:rsid w:val="005F2D0F"/>
    <w:rsid w:val="005F3853"/>
    <w:rsid w:val="005F436D"/>
    <w:rsid w:val="005F6F58"/>
    <w:rsid w:val="005F7637"/>
    <w:rsid w:val="00601270"/>
    <w:rsid w:val="0060359F"/>
    <w:rsid w:val="00605FD4"/>
    <w:rsid w:val="00610915"/>
    <w:rsid w:val="006134B4"/>
    <w:rsid w:val="0061471F"/>
    <w:rsid w:val="00616288"/>
    <w:rsid w:val="00617FF1"/>
    <w:rsid w:val="00622B62"/>
    <w:rsid w:val="00625010"/>
    <w:rsid w:val="00627370"/>
    <w:rsid w:val="0063027C"/>
    <w:rsid w:val="0063126E"/>
    <w:rsid w:val="00631B69"/>
    <w:rsid w:val="00633464"/>
    <w:rsid w:val="00635DBB"/>
    <w:rsid w:val="0063643D"/>
    <w:rsid w:val="00637A4B"/>
    <w:rsid w:val="00640E69"/>
    <w:rsid w:val="00643070"/>
    <w:rsid w:val="0065433F"/>
    <w:rsid w:val="00654EC0"/>
    <w:rsid w:val="0065684B"/>
    <w:rsid w:val="00656C38"/>
    <w:rsid w:val="0066111C"/>
    <w:rsid w:val="00661312"/>
    <w:rsid w:val="00661347"/>
    <w:rsid w:val="00661414"/>
    <w:rsid w:val="00662F0D"/>
    <w:rsid w:val="00665B5E"/>
    <w:rsid w:val="006665E9"/>
    <w:rsid w:val="006670B3"/>
    <w:rsid w:val="00667AFE"/>
    <w:rsid w:val="006702E4"/>
    <w:rsid w:val="006718DD"/>
    <w:rsid w:val="00672B58"/>
    <w:rsid w:val="00672B96"/>
    <w:rsid w:val="00672BB7"/>
    <w:rsid w:val="00673835"/>
    <w:rsid w:val="006744DE"/>
    <w:rsid w:val="0067612A"/>
    <w:rsid w:val="00677213"/>
    <w:rsid w:val="006801BB"/>
    <w:rsid w:val="00680BEE"/>
    <w:rsid w:val="0068119D"/>
    <w:rsid w:val="00684A1B"/>
    <w:rsid w:val="00684B67"/>
    <w:rsid w:val="00692512"/>
    <w:rsid w:val="006927BA"/>
    <w:rsid w:val="00693E78"/>
    <w:rsid w:val="006942E2"/>
    <w:rsid w:val="006953F2"/>
    <w:rsid w:val="00696322"/>
    <w:rsid w:val="00697385"/>
    <w:rsid w:val="006A01B1"/>
    <w:rsid w:val="006A122B"/>
    <w:rsid w:val="006A13CF"/>
    <w:rsid w:val="006A15E7"/>
    <w:rsid w:val="006A231E"/>
    <w:rsid w:val="006A23EE"/>
    <w:rsid w:val="006A44C0"/>
    <w:rsid w:val="006A4F9E"/>
    <w:rsid w:val="006A528C"/>
    <w:rsid w:val="006A594B"/>
    <w:rsid w:val="006A6DE3"/>
    <w:rsid w:val="006B0F91"/>
    <w:rsid w:val="006B16CD"/>
    <w:rsid w:val="006B5BFA"/>
    <w:rsid w:val="006B5E3D"/>
    <w:rsid w:val="006C209F"/>
    <w:rsid w:val="006C5597"/>
    <w:rsid w:val="006C5A4D"/>
    <w:rsid w:val="006C712D"/>
    <w:rsid w:val="006C735B"/>
    <w:rsid w:val="006D2632"/>
    <w:rsid w:val="006D51F0"/>
    <w:rsid w:val="006E20F2"/>
    <w:rsid w:val="006E4E8A"/>
    <w:rsid w:val="006F0F71"/>
    <w:rsid w:val="006F1883"/>
    <w:rsid w:val="006F24FE"/>
    <w:rsid w:val="006F29EF"/>
    <w:rsid w:val="006F2C05"/>
    <w:rsid w:val="006F2D50"/>
    <w:rsid w:val="006F39FF"/>
    <w:rsid w:val="006F49F8"/>
    <w:rsid w:val="006F5538"/>
    <w:rsid w:val="006F763D"/>
    <w:rsid w:val="00702F17"/>
    <w:rsid w:val="00703F7F"/>
    <w:rsid w:val="00706ADB"/>
    <w:rsid w:val="007076E0"/>
    <w:rsid w:val="00710E8F"/>
    <w:rsid w:val="00710EF9"/>
    <w:rsid w:val="007115B5"/>
    <w:rsid w:val="00712637"/>
    <w:rsid w:val="007138AB"/>
    <w:rsid w:val="0071470C"/>
    <w:rsid w:val="007151ED"/>
    <w:rsid w:val="00716F81"/>
    <w:rsid w:val="00721DB4"/>
    <w:rsid w:val="00722EFE"/>
    <w:rsid w:val="0072523F"/>
    <w:rsid w:val="00725A3E"/>
    <w:rsid w:val="007262F3"/>
    <w:rsid w:val="0072646B"/>
    <w:rsid w:val="00733CEF"/>
    <w:rsid w:val="00733E20"/>
    <w:rsid w:val="00733EA2"/>
    <w:rsid w:val="00735C53"/>
    <w:rsid w:val="00737158"/>
    <w:rsid w:val="0074021E"/>
    <w:rsid w:val="00741C6E"/>
    <w:rsid w:val="007430B7"/>
    <w:rsid w:val="0074409A"/>
    <w:rsid w:val="00744A97"/>
    <w:rsid w:val="00746880"/>
    <w:rsid w:val="00751303"/>
    <w:rsid w:val="007526FE"/>
    <w:rsid w:val="00752F10"/>
    <w:rsid w:val="007547AB"/>
    <w:rsid w:val="00754831"/>
    <w:rsid w:val="007561CE"/>
    <w:rsid w:val="00756A20"/>
    <w:rsid w:val="0075728E"/>
    <w:rsid w:val="00757E18"/>
    <w:rsid w:val="00760BCE"/>
    <w:rsid w:val="00763269"/>
    <w:rsid w:val="00766B88"/>
    <w:rsid w:val="00767779"/>
    <w:rsid w:val="0077122B"/>
    <w:rsid w:val="00775092"/>
    <w:rsid w:val="0077612F"/>
    <w:rsid w:val="007761DF"/>
    <w:rsid w:val="007763E8"/>
    <w:rsid w:val="007765E8"/>
    <w:rsid w:val="007769D0"/>
    <w:rsid w:val="0078229A"/>
    <w:rsid w:val="00782680"/>
    <w:rsid w:val="00783917"/>
    <w:rsid w:val="00784608"/>
    <w:rsid w:val="00785B22"/>
    <w:rsid w:val="00787051"/>
    <w:rsid w:val="007904B6"/>
    <w:rsid w:val="0079050D"/>
    <w:rsid w:val="0079119F"/>
    <w:rsid w:val="00791C84"/>
    <w:rsid w:val="0079530A"/>
    <w:rsid w:val="007959B4"/>
    <w:rsid w:val="00797377"/>
    <w:rsid w:val="007977DF"/>
    <w:rsid w:val="00797F02"/>
    <w:rsid w:val="007A2A78"/>
    <w:rsid w:val="007A41EF"/>
    <w:rsid w:val="007A4653"/>
    <w:rsid w:val="007A4790"/>
    <w:rsid w:val="007A4BC1"/>
    <w:rsid w:val="007A4FAC"/>
    <w:rsid w:val="007B06C2"/>
    <w:rsid w:val="007B2BC0"/>
    <w:rsid w:val="007B2BD0"/>
    <w:rsid w:val="007B3F01"/>
    <w:rsid w:val="007B46DE"/>
    <w:rsid w:val="007B4F0F"/>
    <w:rsid w:val="007B67E8"/>
    <w:rsid w:val="007B7078"/>
    <w:rsid w:val="007C015D"/>
    <w:rsid w:val="007C35D7"/>
    <w:rsid w:val="007C55A2"/>
    <w:rsid w:val="007C7D83"/>
    <w:rsid w:val="007D01D4"/>
    <w:rsid w:val="007D1E89"/>
    <w:rsid w:val="007D1E9E"/>
    <w:rsid w:val="007D43ED"/>
    <w:rsid w:val="007D51D0"/>
    <w:rsid w:val="007D73AB"/>
    <w:rsid w:val="007E2491"/>
    <w:rsid w:val="007E5D4A"/>
    <w:rsid w:val="007F0ADF"/>
    <w:rsid w:val="007F509E"/>
    <w:rsid w:val="007F5413"/>
    <w:rsid w:val="007F7BD4"/>
    <w:rsid w:val="00800455"/>
    <w:rsid w:val="008048A9"/>
    <w:rsid w:val="00806025"/>
    <w:rsid w:val="00806E7F"/>
    <w:rsid w:val="008114D5"/>
    <w:rsid w:val="0081423F"/>
    <w:rsid w:val="008201AD"/>
    <w:rsid w:val="008220B0"/>
    <w:rsid w:val="008252E4"/>
    <w:rsid w:val="00825E03"/>
    <w:rsid w:val="00830DF9"/>
    <w:rsid w:val="00832635"/>
    <w:rsid w:val="0083382F"/>
    <w:rsid w:val="008342E2"/>
    <w:rsid w:val="00835072"/>
    <w:rsid w:val="00836B50"/>
    <w:rsid w:val="0084004E"/>
    <w:rsid w:val="008428C9"/>
    <w:rsid w:val="00843555"/>
    <w:rsid w:val="00853CC9"/>
    <w:rsid w:val="00855382"/>
    <w:rsid w:val="00855F1F"/>
    <w:rsid w:val="00862954"/>
    <w:rsid w:val="00863F4C"/>
    <w:rsid w:val="00867152"/>
    <w:rsid w:val="00870DAE"/>
    <w:rsid w:val="00871E1E"/>
    <w:rsid w:val="0087210A"/>
    <w:rsid w:val="00872C5B"/>
    <w:rsid w:val="00872FCC"/>
    <w:rsid w:val="00873C3E"/>
    <w:rsid w:val="008748F4"/>
    <w:rsid w:val="00875846"/>
    <w:rsid w:val="00875B48"/>
    <w:rsid w:val="00875F74"/>
    <w:rsid w:val="0088009B"/>
    <w:rsid w:val="00880FEB"/>
    <w:rsid w:val="008810D7"/>
    <w:rsid w:val="0088294E"/>
    <w:rsid w:val="00882C04"/>
    <w:rsid w:val="00882E09"/>
    <w:rsid w:val="0088365C"/>
    <w:rsid w:val="0088520D"/>
    <w:rsid w:val="008869E8"/>
    <w:rsid w:val="008878D0"/>
    <w:rsid w:val="008879E6"/>
    <w:rsid w:val="008901F9"/>
    <w:rsid w:val="00890743"/>
    <w:rsid w:val="0089173C"/>
    <w:rsid w:val="00892803"/>
    <w:rsid w:val="00892A30"/>
    <w:rsid w:val="008A08DC"/>
    <w:rsid w:val="008A1918"/>
    <w:rsid w:val="008A2871"/>
    <w:rsid w:val="008A2FB6"/>
    <w:rsid w:val="008A6751"/>
    <w:rsid w:val="008A7AB0"/>
    <w:rsid w:val="008B1388"/>
    <w:rsid w:val="008B1E11"/>
    <w:rsid w:val="008B2FE8"/>
    <w:rsid w:val="008B43D8"/>
    <w:rsid w:val="008B50B9"/>
    <w:rsid w:val="008B7DCF"/>
    <w:rsid w:val="008C0146"/>
    <w:rsid w:val="008C3787"/>
    <w:rsid w:val="008C50DE"/>
    <w:rsid w:val="008C716E"/>
    <w:rsid w:val="008C72A0"/>
    <w:rsid w:val="008D3248"/>
    <w:rsid w:val="008D414B"/>
    <w:rsid w:val="008E2BCE"/>
    <w:rsid w:val="008E4090"/>
    <w:rsid w:val="008E44D7"/>
    <w:rsid w:val="008E51E4"/>
    <w:rsid w:val="008E70F3"/>
    <w:rsid w:val="008F20F7"/>
    <w:rsid w:val="008F4D01"/>
    <w:rsid w:val="008F564C"/>
    <w:rsid w:val="009009E5"/>
    <w:rsid w:val="0090157D"/>
    <w:rsid w:val="00902841"/>
    <w:rsid w:val="00902A00"/>
    <w:rsid w:val="00902A4E"/>
    <w:rsid w:val="009048D6"/>
    <w:rsid w:val="00906B01"/>
    <w:rsid w:val="00914FF6"/>
    <w:rsid w:val="00916FD0"/>
    <w:rsid w:val="00917465"/>
    <w:rsid w:val="00922081"/>
    <w:rsid w:val="00930100"/>
    <w:rsid w:val="00930BEC"/>
    <w:rsid w:val="00930CA6"/>
    <w:rsid w:val="00931C3B"/>
    <w:rsid w:val="00931E7E"/>
    <w:rsid w:val="00932481"/>
    <w:rsid w:val="00933EEA"/>
    <w:rsid w:val="009356AB"/>
    <w:rsid w:val="00935BE4"/>
    <w:rsid w:val="009377BA"/>
    <w:rsid w:val="0094074A"/>
    <w:rsid w:val="00941616"/>
    <w:rsid w:val="00942613"/>
    <w:rsid w:val="00942706"/>
    <w:rsid w:val="009443F0"/>
    <w:rsid w:val="00944A8E"/>
    <w:rsid w:val="009451EB"/>
    <w:rsid w:val="009452AD"/>
    <w:rsid w:val="00945674"/>
    <w:rsid w:val="00946628"/>
    <w:rsid w:val="00947F5D"/>
    <w:rsid w:val="0095004C"/>
    <w:rsid w:val="00950297"/>
    <w:rsid w:val="00951210"/>
    <w:rsid w:val="009522FC"/>
    <w:rsid w:val="00955701"/>
    <w:rsid w:val="009560E3"/>
    <w:rsid w:val="009564A3"/>
    <w:rsid w:val="00957D0D"/>
    <w:rsid w:val="00962CD2"/>
    <w:rsid w:val="00963B7F"/>
    <w:rsid w:val="0096552D"/>
    <w:rsid w:val="00965531"/>
    <w:rsid w:val="00967E64"/>
    <w:rsid w:val="0097485C"/>
    <w:rsid w:val="00976DBB"/>
    <w:rsid w:val="00981E90"/>
    <w:rsid w:val="00984994"/>
    <w:rsid w:val="00985694"/>
    <w:rsid w:val="00985F9A"/>
    <w:rsid w:val="00987D32"/>
    <w:rsid w:val="00990B27"/>
    <w:rsid w:val="00992BC3"/>
    <w:rsid w:val="00994C7B"/>
    <w:rsid w:val="009959F9"/>
    <w:rsid w:val="00997C6E"/>
    <w:rsid w:val="009A0BBF"/>
    <w:rsid w:val="009A1D73"/>
    <w:rsid w:val="009A38B8"/>
    <w:rsid w:val="009A4A5D"/>
    <w:rsid w:val="009A58B4"/>
    <w:rsid w:val="009A5C8F"/>
    <w:rsid w:val="009A6632"/>
    <w:rsid w:val="009B06AF"/>
    <w:rsid w:val="009B2597"/>
    <w:rsid w:val="009B3A8B"/>
    <w:rsid w:val="009B41D2"/>
    <w:rsid w:val="009B4443"/>
    <w:rsid w:val="009C0119"/>
    <w:rsid w:val="009C099A"/>
    <w:rsid w:val="009C246B"/>
    <w:rsid w:val="009C265B"/>
    <w:rsid w:val="009C2F66"/>
    <w:rsid w:val="009C4538"/>
    <w:rsid w:val="009C590D"/>
    <w:rsid w:val="009C59E9"/>
    <w:rsid w:val="009C7022"/>
    <w:rsid w:val="009C7C7E"/>
    <w:rsid w:val="009D01E8"/>
    <w:rsid w:val="009D117F"/>
    <w:rsid w:val="009D125D"/>
    <w:rsid w:val="009D1C59"/>
    <w:rsid w:val="009D32AA"/>
    <w:rsid w:val="009D3E40"/>
    <w:rsid w:val="009E295C"/>
    <w:rsid w:val="009E3D6E"/>
    <w:rsid w:val="009E4135"/>
    <w:rsid w:val="009E635F"/>
    <w:rsid w:val="009E663B"/>
    <w:rsid w:val="009E6FA2"/>
    <w:rsid w:val="009E72B1"/>
    <w:rsid w:val="009F092C"/>
    <w:rsid w:val="009F318A"/>
    <w:rsid w:val="009F4BE3"/>
    <w:rsid w:val="009F5081"/>
    <w:rsid w:val="009F5E0B"/>
    <w:rsid w:val="009F6763"/>
    <w:rsid w:val="00A0357C"/>
    <w:rsid w:val="00A057BE"/>
    <w:rsid w:val="00A07038"/>
    <w:rsid w:val="00A07FE7"/>
    <w:rsid w:val="00A12BF5"/>
    <w:rsid w:val="00A13B5D"/>
    <w:rsid w:val="00A13BD2"/>
    <w:rsid w:val="00A15685"/>
    <w:rsid w:val="00A17892"/>
    <w:rsid w:val="00A20227"/>
    <w:rsid w:val="00A21606"/>
    <w:rsid w:val="00A231F3"/>
    <w:rsid w:val="00A244C8"/>
    <w:rsid w:val="00A26852"/>
    <w:rsid w:val="00A26A00"/>
    <w:rsid w:val="00A300A2"/>
    <w:rsid w:val="00A324E2"/>
    <w:rsid w:val="00A32896"/>
    <w:rsid w:val="00A32EEE"/>
    <w:rsid w:val="00A3482C"/>
    <w:rsid w:val="00A34EAB"/>
    <w:rsid w:val="00A422C7"/>
    <w:rsid w:val="00A434D1"/>
    <w:rsid w:val="00A45442"/>
    <w:rsid w:val="00A45FB9"/>
    <w:rsid w:val="00A46725"/>
    <w:rsid w:val="00A47511"/>
    <w:rsid w:val="00A479D6"/>
    <w:rsid w:val="00A51294"/>
    <w:rsid w:val="00A52D31"/>
    <w:rsid w:val="00A541D4"/>
    <w:rsid w:val="00A5482F"/>
    <w:rsid w:val="00A567B0"/>
    <w:rsid w:val="00A601AE"/>
    <w:rsid w:val="00A62797"/>
    <w:rsid w:val="00A63FAA"/>
    <w:rsid w:val="00A651D3"/>
    <w:rsid w:val="00A66963"/>
    <w:rsid w:val="00A6782D"/>
    <w:rsid w:val="00A71EE8"/>
    <w:rsid w:val="00A728A3"/>
    <w:rsid w:val="00A7323A"/>
    <w:rsid w:val="00A745C1"/>
    <w:rsid w:val="00A76799"/>
    <w:rsid w:val="00A76E50"/>
    <w:rsid w:val="00A776CB"/>
    <w:rsid w:val="00A84CE9"/>
    <w:rsid w:val="00A85F2F"/>
    <w:rsid w:val="00A86316"/>
    <w:rsid w:val="00A87DB5"/>
    <w:rsid w:val="00A906AF"/>
    <w:rsid w:val="00A906B5"/>
    <w:rsid w:val="00A90EF4"/>
    <w:rsid w:val="00A926D4"/>
    <w:rsid w:val="00A943B2"/>
    <w:rsid w:val="00A94542"/>
    <w:rsid w:val="00A94DB0"/>
    <w:rsid w:val="00AA1387"/>
    <w:rsid w:val="00AA2C9B"/>
    <w:rsid w:val="00AA2C9F"/>
    <w:rsid w:val="00AA5E74"/>
    <w:rsid w:val="00AB12E5"/>
    <w:rsid w:val="00AB2DE8"/>
    <w:rsid w:val="00AC0749"/>
    <w:rsid w:val="00AC2021"/>
    <w:rsid w:val="00AC22A3"/>
    <w:rsid w:val="00AC2395"/>
    <w:rsid w:val="00AC2D6D"/>
    <w:rsid w:val="00AC339F"/>
    <w:rsid w:val="00AC3A50"/>
    <w:rsid w:val="00AC5640"/>
    <w:rsid w:val="00AC5BCC"/>
    <w:rsid w:val="00AC5F68"/>
    <w:rsid w:val="00AC6AD5"/>
    <w:rsid w:val="00AD0157"/>
    <w:rsid w:val="00AD317B"/>
    <w:rsid w:val="00AD45FE"/>
    <w:rsid w:val="00AD4919"/>
    <w:rsid w:val="00AE0527"/>
    <w:rsid w:val="00AE1035"/>
    <w:rsid w:val="00AE16A4"/>
    <w:rsid w:val="00AE221F"/>
    <w:rsid w:val="00AE36C0"/>
    <w:rsid w:val="00AE443F"/>
    <w:rsid w:val="00AE4B5B"/>
    <w:rsid w:val="00AE4C3F"/>
    <w:rsid w:val="00AE6024"/>
    <w:rsid w:val="00AF0747"/>
    <w:rsid w:val="00AF2A07"/>
    <w:rsid w:val="00AF4BFC"/>
    <w:rsid w:val="00B01F29"/>
    <w:rsid w:val="00B10B32"/>
    <w:rsid w:val="00B10BDA"/>
    <w:rsid w:val="00B10E6C"/>
    <w:rsid w:val="00B12D93"/>
    <w:rsid w:val="00B131A2"/>
    <w:rsid w:val="00B14BB4"/>
    <w:rsid w:val="00B15312"/>
    <w:rsid w:val="00B172EC"/>
    <w:rsid w:val="00B23DC0"/>
    <w:rsid w:val="00B2412B"/>
    <w:rsid w:val="00B24A80"/>
    <w:rsid w:val="00B25F7D"/>
    <w:rsid w:val="00B2632A"/>
    <w:rsid w:val="00B273A5"/>
    <w:rsid w:val="00B27A14"/>
    <w:rsid w:val="00B30D0D"/>
    <w:rsid w:val="00B319B5"/>
    <w:rsid w:val="00B31B0E"/>
    <w:rsid w:val="00B345C4"/>
    <w:rsid w:val="00B34C67"/>
    <w:rsid w:val="00B35EEF"/>
    <w:rsid w:val="00B41CB4"/>
    <w:rsid w:val="00B42338"/>
    <w:rsid w:val="00B42D41"/>
    <w:rsid w:val="00B42E63"/>
    <w:rsid w:val="00B45660"/>
    <w:rsid w:val="00B46243"/>
    <w:rsid w:val="00B47BF2"/>
    <w:rsid w:val="00B51315"/>
    <w:rsid w:val="00B51318"/>
    <w:rsid w:val="00B51326"/>
    <w:rsid w:val="00B544E3"/>
    <w:rsid w:val="00B64015"/>
    <w:rsid w:val="00B64398"/>
    <w:rsid w:val="00B660F0"/>
    <w:rsid w:val="00B676BD"/>
    <w:rsid w:val="00B7063C"/>
    <w:rsid w:val="00B70AEE"/>
    <w:rsid w:val="00B718C2"/>
    <w:rsid w:val="00B71B1E"/>
    <w:rsid w:val="00B774A8"/>
    <w:rsid w:val="00B775E0"/>
    <w:rsid w:val="00B84F3F"/>
    <w:rsid w:val="00B87D38"/>
    <w:rsid w:val="00B91100"/>
    <w:rsid w:val="00B92593"/>
    <w:rsid w:val="00B948E1"/>
    <w:rsid w:val="00BA0468"/>
    <w:rsid w:val="00BA097C"/>
    <w:rsid w:val="00BA36CE"/>
    <w:rsid w:val="00BA3989"/>
    <w:rsid w:val="00BA5729"/>
    <w:rsid w:val="00BA58D2"/>
    <w:rsid w:val="00BA6672"/>
    <w:rsid w:val="00BB1847"/>
    <w:rsid w:val="00BB3010"/>
    <w:rsid w:val="00BB7537"/>
    <w:rsid w:val="00BB7792"/>
    <w:rsid w:val="00BC1E48"/>
    <w:rsid w:val="00BC1E57"/>
    <w:rsid w:val="00BC2F01"/>
    <w:rsid w:val="00BC3888"/>
    <w:rsid w:val="00BC4790"/>
    <w:rsid w:val="00BC4DB5"/>
    <w:rsid w:val="00BD0D4F"/>
    <w:rsid w:val="00BD3F96"/>
    <w:rsid w:val="00BD65DC"/>
    <w:rsid w:val="00BD6790"/>
    <w:rsid w:val="00BD7803"/>
    <w:rsid w:val="00BE059D"/>
    <w:rsid w:val="00BE0FB2"/>
    <w:rsid w:val="00BE1FCB"/>
    <w:rsid w:val="00BE4C87"/>
    <w:rsid w:val="00BE50C4"/>
    <w:rsid w:val="00BF0A39"/>
    <w:rsid w:val="00BF14DC"/>
    <w:rsid w:val="00BF22DB"/>
    <w:rsid w:val="00BF3BA9"/>
    <w:rsid w:val="00C00076"/>
    <w:rsid w:val="00C01639"/>
    <w:rsid w:val="00C027EB"/>
    <w:rsid w:val="00C03982"/>
    <w:rsid w:val="00C04049"/>
    <w:rsid w:val="00C07358"/>
    <w:rsid w:val="00C07B25"/>
    <w:rsid w:val="00C1456C"/>
    <w:rsid w:val="00C14EA3"/>
    <w:rsid w:val="00C17493"/>
    <w:rsid w:val="00C21F49"/>
    <w:rsid w:val="00C231A7"/>
    <w:rsid w:val="00C231F2"/>
    <w:rsid w:val="00C24FD2"/>
    <w:rsid w:val="00C25C5A"/>
    <w:rsid w:val="00C3131B"/>
    <w:rsid w:val="00C3186F"/>
    <w:rsid w:val="00C31C5B"/>
    <w:rsid w:val="00C32127"/>
    <w:rsid w:val="00C33A96"/>
    <w:rsid w:val="00C36E99"/>
    <w:rsid w:val="00C36F14"/>
    <w:rsid w:val="00C37A6E"/>
    <w:rsid w:val="00C438AE"/>
    <w:rsid w:val="00C45298"/>
    <w:rsid w:val="00C456A8"/>
    <w:rsid w:val="00C51F04"/>
    <w:rsid w:val="00C52010"/>
    <w:rsid w:val="00C57142"/>
    <w:rsid w:val="00C6119E"/>
    <w:rsid w:val="00C61698"/>
    <w:rsid w:val="00C65869"/>
    <w:rsid w:val="00C66A5B"/>
    <w:rsid w:val="00C66B21"/>
    <w:rsid w:val="00C675FD"/>
    <w:rsid w:val="00C70006"/>
    <w:rsid w:val="00C70515"/>
    <w:rsid w:val="00C71D8B"/>
    <w:rsid w:val="00C72CC1"/>
    <w:rsid w:val="00C755FA"/>
    <w:rsid w:val="00C75FBF"/>
    <w:rsid w:val="00C7622D"/>
    <w:rsid w:val="00C764E2"/>
    <w:rsid w:val="00C76EFB"/>
    <w:rsid w:val="00C772C3"/>
    <w:rsid w:val="00C80073"/>
    <w:rsid w:val="00C81037"/>
    <w:rsid w:val="00C8222C"/>
    <w:rsid w:val="00C826F4"/>
    <w:rsid w:val="00C8623D"/>
    <w:rsid w:val="00C86CEC"/>
    <w:rsid w:val="00C87FF0"/>
    <w:rsid w:val="00C91307"/>
    <w:rsid w:val="00C9176D"/>
    <w:rsid w:val="00C93D89"/>
    <w:rsid w:val="00C93F8A"/>
    <w:rsid w:val="00C94082"/>
    <w:rsid w:val="00C945F2"/>
    <w:rsid w:val="00C95A8C"/>
    <w:rsid w:val="00C968F2"/>
    <w:rsid w:val="00C96933"/>
    <w:rsid w:val="00CA24E7"/>
    <w:rsid w:val="00CA3F6B"/>
    <w:rsid w:val="00CA4AA1"/>
    <w:rsid w:val="00CA6E94"/>
    <w:rsid w:val="00CB19AF"/>
    <w:rsid w:val="00CB1D87"/>
    <w:rsid w:val="00CB2C3F"/>
    <w:rsid w:val="00CB46BD"/>
    <w:rsid w:val="00CB5E6C"/>
    <w:rsid w:val="00CC1EA4"/>
    <w:rsid w:val="00CC3C58"/>
    <w:rsid w:val="00CC473F"/>
    <w:rsid w:val="00CC578C"/>
    <w:rsid w:val="00CC7536"/>
    <w:rsid w:val="00CC7CB5"/>
    <w:rsid w:val="00CC7F02"/>
    <w:rsid w:val="00CD001D"/>
    <w:rsid w:val="00CD2EFD"/>
    <w:rsid w:val="00CD3166"/>
    <w:rsid w:val="00CD6919"/>
    <w:rsid w:val="00CE0207"/>
    <w:rsid w:val="00CE167C"/>
    <w:rsid w:val="00CE177F"/>
    <w:rsid w:val="00CE1D9C"/>
    <w:rsid w:val="00CE3BCF"/>
    <w:rsid w:val="00CE66CC"/>
    <w:rsid w:val="00CE67AD"/>
    <w:rsid w:val="00CF08E7"/>
    <w:rsid w:val="00CF22ED"/>
    <w:rsid w:val="00CF2F03"/>
    <w:rsid w:val="00D009A8"/>
    <w:rsid w:val="00D01178"/>
    <w:rsid w:val="00D01786"/>
    <w:rsid w:val="00D03A20"/>
    <w:rsid w:val="00D05153"/>
    <w:rsid w:val="00D077D7"/>
    <w:rsid w:val="00D1081C"/>
    <w:rsid w:val="00D11C20"/>
    <w:rsid w:val="00D124CD"/>
    <w:rsid w:val="00D1282E"/>
    <w:rsid w:val="00D14540"/>
    <w:rsid w:val="00D148C7"/>
    <w:rsid w:val="00D14C0C"/>
    <w:rsid w:val="00D16BBC"/>
    <w:rsid w:val="00D16BDE"/>
    <w:rsid w:val="00D16C44"/>
    <w:rsid w:val="00D17B2A"/>
    <w:rsid w:val="00D17F2B"/>
    <w:rsid w:val="00D206B9"/>
    <w:rsid w:val="00D21B76"/>
    <w:rsid w:val="00D262A9"/>
    <w:rsid w:val="00D277DC"/>
    <w:rsid w:val="00D27830"/>
    <w:rsid w:val="00D308FE"/>
    <w:rsid w:val="00D3106C"/>
    <w:rsid w:val="00D3226C"/>
    <w:rsid w:val="00D335C7"/>
    <w:rsid w:val="00D344EA"/>
    <w:rsid w:val="00D374F7"/>
    <w:rsid w:val="00D376F8"/>
    <w:rsid w:val="00D4079C"/>
    <w:rsid w:val="00D45875"/>
    <w:rsid w:val="00D50A6E"/>
    <w:rsid w:val="00D52AE5"/>
    <w:rsid w:val="00D5767B"/>
    <w:rsid w:val="00D601E1"/>
    <w:rsid w:val="00D611DB"/>
    <w:rsid w:val="00D61585"/>
    <w:rsid w:val="00D62A2C"/>
    <w:rsid w:val="00D63F9C"/>
    <w:rsid w:val="00D63FC2"/>
    <w:rsid w:val="00D64833"/>
    <w:rsid w:val="00D6525A"/>
    <w:rsid w:val="00D6569F"/>
    <w:rsid w:val="00D6587A"/>
    <w:rsid w:val="00D662C2"/>
    <w:rsid w:val="00D66843"/>
    <w:rsid w:val="00D66E38"/>
    <w:rsid w:val="00D70C8E"/>
    <w:rsid w:val="00D75763"/>
    <w:rsid w:val="00D77EA2"/>
    <w:rsid w:val="00D81CB6"/>
    <w:rsid w:val="00D8719A"/>
    <w:rsid w:val="00D8721F"/>
    <w:rsid w:val="00D91433"/>
    <w:rsid w:val="00D9555B"/>
    <w:rsid w:val="00D95BC5"/>
    <w:rsid w:val="00D97A75"/>
    <w:rsid w:val="00DA0086"/>
    <w:rsid w:val="00DA2826"/>
    <w:rsid w:val="00DA36FB"/>
    <w:rsid w:val="00DA649A"/>
    <w:rsid w:val="00DA67C0"/>
    <w:rsid w:val="00DB07A6"/>
    <w:rsid w:val="00DB1885"/>
    <w:rsid w:val="00DB21E5"/>
    <w:rsid w:val="00DB34B3"/>
    <w:rsid w:val="00DB5242"/>
    <w:rsid w:val="00DC0C14"/>
    <w:rsid w:val="00DC2371"/>
    <w:rsid w:val="00DC5311"/>
    <w:rsid w:val="00DD2453"/>
    <w:rsid w:val="00DD367E"/>
    <w:rsid w:val="00DD3DC0"/>
    <w:rsid w:val="00DD7042"/>
    <w:rsid w:val="00DE0874"/>
    <w:rsid w:val="00DE33C2"/>
    <w:rsid w:val="00DE5DFF"/>
    <w:rsid w:val="00DE6045"/>
    <w:rsid w:val="00DE6B4C"/>
    <w:rsid w:val="00DF28AF"/>
    <w:rsid w:val="00DF321F"/>
    <w:rsid w:val="00DF369B"/>
    <w:rsid w:val="00DF59C2"/>
    <w:rsid w:val="00DF59F0"/>
    <w:rsid w:val="00DF6221"/>
    <w:rsid w:val="00DF69F8"/>
    <w:rsid w:val="00E018DE"/>
    <w:rsid w:val="00E01BB6"/>
    <w:rsid w:val="00E0247A"/>
    <w:rsid w:val="00E03330"/>
    <w:rsid w:val="00E03AF1"/>
    <w:rsid w:val="00E05517"/>
    <w:rsid w:val="00E06719"/>
    <w:rsid w:val="00E10913"/>
    <w:rsid w:val="00E11F5D"/>
    <w:rsid w:val="00E12712"/>
    <w:rsid w:val="00E128C6"/>
    <w:rsid w:val="00E15271"/>
    <w:rsid w:val="00E15E35"/>
    <w:rsid w:val="00E17213"/>
    <w:rsid w:val="00E21460"/>
    <w:rsid w:val="00E21AC3"/>
    <w:rsid w:val="00E22B32"/>
    <w:rsid w:val="00E236D2"/>
    <w:rsid w:val="00E250FF"/>
    <w:rsid w:val="00E253F5"/>
    <w:rsid w:val="00E25CA4"/>
    <w:rsid w:val="00E27F64"/>
    <w:rsid w:val="00E32B62"/>
    <w:rsid w:val="00E3366C"/>
    <w:rsid w:val="00E3383E"/>
    <w:rsid w:val="00E35919"/>
    <w:rsid w:val="00E367CE"/>
    <w:rsid w:val="00E37900"/>
    <w:rsid w:val="00E41E40"/>
    <w:rsid w:val="00E42E74"/>
    <w:rsid w:val="00E46B3F"/>
    <w:rsid w:val="00E47AB7"/>
    <w:rsid w:val="00E47B77"/>
    <w:rsid w:val="00E508E4"/>
    <w:rsid w:val="00E50CC2"/>
    <w:rsid w:val="00E529A9"/>
    <w:rsid w:val="00E53D57"/>
    <w:rsid w:val="00E54F59"/>
    <w:rsid w:val="00E56EA4"/>
    <w:rsid w:val="00E646C5"/>
    <w:rsid w:val="00E64F14"/>
    <w:rsid w:val="00E65EA3"/>
    <w:rsid w:val="00E6747F"/>
    <w:rsid w:val="00E732B9"/>
    <w:rsid w:val="00E758AE"/>
    <w:rsid w:val="00E75B18"/>
    <w:rsid w:val="00E763DF"/>
    <w:rsid w:val="00E76F3D"/>
    <w:rsid w:val="00E774A0"/>
    <w:rsid w:val="00E81238"/>
    <w:rsid w:val="00E83685"/>
    <w:rsid w:val="00E87005"/>
    <w:rsid w:val="00E907AC"/>
    <w:rsid w:val="00E9100F"/>
    <w:rsid w:val="00E92382"/>
    <w:rsid w:val="00E92774"/>
    <w:rsid w:val="00E9337A"/>
    <w:rsid w:val="00E94A84"/>
    <w:rsid w:val="00E95B38"/>
    <w:rsid w:val="00E96228"/>
    <w:rsid w:val="00E97B4B"/>
    <w:rsid w:val="00EA1950"/>
    <w:rsid w:val="00EA307E"/>
    <w:rsid w:val="00EA31B9"/>
    <w:rsid w:val="00EA3F2E"/>
    <w:rsid w:val="00EA4F78"/>
    <w:rsid w:val="00EA555E"/>
    <w:rsid w:val="00EA653C"/>
    <w:rsid w:val="00EB37E6"/>
    <w:rsid w:val="00EB3F9F"/>
    <w:rsid w:val="00EB72FA"/>
    <w:rsid w:val="00EB78D0"/>
    <w:rsid w:val="00EC008B"/>
    <w:rsid w:val="00EC029C"/>
    <w:rsid w:val="00EC17F7"/>
    <w:rsid w:val="00EC2052"/>
    <w:rsid w:val="00EC2EDA"/>
    <w:rsid w:val="00EC4581"/>
    <w:rsid w:val="00EC548D"/>
    <w:rsid w:val="00EC5FD4"/>
    <w:rsid w:val="00EC5FE5"/>
    <w:rsid w:val="00EC6620"/>
    <w:rsid w:val="00ED76BA"/>
    <w:rsid w:val="00EE0F00"/>
    <w:rsid w:val="00EE5902"/>
    <w:rsid w:val="00EF0B88"/>
    <w:rsid w:val="00EF4615"/>
    <w:rsid w:val="00EF5387"/>
    <w:rsid w:val="00EF6BE0"/>
    <w:rsid w:val="00EF7147"/>
    <w:rsid w:val="00EF7BB3"/>
    <w:rsid w:val="00F11403"/>
    <w:rsid w:val="00F13514"/>
    <w:rsid w:val="00F15EB5"/>
    <w:rsid w:val="00F1623E"/>
    <w:rsid w:val="00F173A2"/>
    <w:rsid w:val="00F17FD0"/>
    <w:rsid w:val="00F204B7"/>
    <w:rsid w:val="00F20E32"/>
    <w:rsid w:val="00F21FD4"/>
    <w:rsid w:val="00F22B7C"/>
    <w:rsid w:val="00F24528"/>
    <w:rsid w:val="00F2727D"/>
    <w:rsid w:val="00F318ED"/>
    <w:rsid w:val="00F322AB"/>
    <w:rsid w:val="00F358CC"/>
    <w:rsid w:val="00F35FFE"/>
    <w:rsid w:val="00F36129"/>
    <w:rsid w:val="00F41506"/>
    <w:rsid w:val="00F42521"/>
    <w:rsid w:val="00F437EE"/>
    <w:rsid w:val="00F47169"/>
    <w:rsid w:val="00F5151A"/>
    <w:rsid w:val="00F5346D"/>
    <w:rsid w:val="00F546D9"/>
    <w:rsid w:val="00F54CBC"/>
    <w:rsid w:val="00F55F68"/>
    <w:rsid w:val="00F644BD"/>
    <w:rsid w:val="00F7205E"/>
    <w:rsid w:val="00F72E94"/>
    <w:rsid w:val="00F740B9"/>
    <w:rsid w:val="00F76197"/>
    <w:rsid w:val="00F76CDF"/>
    <w:rsid w:val="00F76E9D"/>
    <w:rsid w:val="00F819E2"/>
    <w:rsid w:val="00F90113"/>
    <w:rsid w:val="00F90A1F"/>
    <w:rsid w:val="00F90EF7"/>
    <w:rsid w:val="00F94DB2"/>
    <w:rsid w:val="00F956A2"/>
    <w:rsid w:val="00F976FB"/>
    <w:rsid w:val="00FA048C"/>
    <w:rsid w:val="00FA332F"/>
    <w:rsid w:val="00FA3564"/>
    <w:rsid w:val="00FA7065"/>
    <w:rsid w:val="00FA73BB"/>
    <w:rsid w:val="00FA7766"/>
    <w:rsid w:val="00FA7C0C"/>
    <w:rsid w:val="00FB15A6"/>
    <w:rsid w:val="00FB1F53"/>
    <w:rsid w:val="00FB282F"/>
    <w:rsid w:val="00FB415A"/>
    <w:rsid w:val="00FB4601"/>
    <w:rsid w:val="00FB5333"/>
    <w:rsid w:val="00FB55E5"/>
    <w:rsid w:val="00FB6632"/>
    <w:rsid w:val="00FC2A47"/>
    <w:rsid w:val="00FC7792"/>
    <w:rsid w:val="00FC7D17"/>
    <w:rsid w:val="00FD0BE0"/>
    <w:rsid w:val="00FD0C4C"/>
    <w:rsid w:val="00FD1948"/>
    <w:rsid w:val="00FE1F07"/>
    <w:rsid w:val="00FE4D4F"/>
    <w:rsid w:val="00FE5ADA"/>
    <w:rsid w:val="00FF07BB"/>
    <w:rsid w:val="00FF1841"/>
    <w:rsid w:val="00FF1E26"/>
    <w:rsid w:val="00FF369E"/>
    <w:rsid w:val="00FF4528"/>
  </w:rsids>
  <m:mathPr>
    <m:mathFont m:val="Cambria Math"/>
    <m:brkBin m:val="before"/>
    <m:brkBinSub m:val="--"/>
    <m:smallFrac m:val="0"/>
    <m:dispDef/>
    <m:lMargin m:val="0"/>
    <m:rMargin m:val="0"/>
    <m:defJc m:val="centerGroup"/>
    <m:wrapIndent m:val="1440"/>
    <m:intLim m:val="subSup"/>
    <m:naryLim m:val="undOvr"/>
  </m:mathPr>
  <w:themeFontLang w:val="cs-CZ"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BFA2E"/>
  <w15:docId w15:val="{F69EDF9E-5AD6-4E6D-BF6B-C9F1A5F93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Myanmar Text"/>
        <w:lang w:val="cs-CZ"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BA3989"/>
    <w:pPr>
      <w:spacing w:after="200" w:line="276" w:lineRule="auto"/>
    </w:pPr>
    <w:rPr>
      <w:sz w:val="22"/>
      <w:szCs w:val="22"/>
      <w:lang w:val="sk-SK"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F07BB"/>
    <w:rPr>
      <w:rFonts w:ascii="Tahoma" w:hAnsi="Tahoma" w:cs="Tahoma"/>
      <w:sz w:val="16"/>
      <w:szCs w:val="16"/>
    </w:rPr>
  </w:style>
  <w:style w:type="character" w:styleId="Odkaznakoment">
    <w:name w:val="annotation referen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szCs w:val="21"/>
    </w:rPr>
  </w:style>
  <w:style w:type="character" w:customStyle="1" w:styleId="ProsttextChar">
    <w:name w:val="Prostý text Char"/>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table" w:styleId="Mkatabulky">
    <w:name w:val="Table Grid"/>
    <w:basedOn w:val="Normlntabulka"/>
    <w:uiPriority w:val="59"/>
    <w:rsid w:val="00DF6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F20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87890096">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43200914">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721948262">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563758628">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666010157">
      <w:bodyDiv w:val="1"/>
      <w:marLeft w:val="0"/>
      <w:marRight w:val="0"/>
      <w:marTop w:val="0"/>
      <w:marBottom w:val="0"/>
      <w:divBdr>
        <w:top w:val="none" w:sz="0" w:space="0" w:color="auto"/>
        <w:left w:val="none" w:sz="0" w:space="0" w:color="auto"/>
        <w:bottom w:val="none" w:sz="0" w:space="0" w:color="auto"/>
        <w:right w:val="none" w:sz="0" w:space="0" w:color="auto"/>
      </w:divBdr>
    </w:div>
    <w:div w:id="1724867491">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941831992">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05EB5-FD20-4827-A77D-01217A6F4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6068</Characters>
  <Application>Microsoft Office Word</Application>
  <DocSecurity>0</DocSecurity>
  <Lines>50</Lines>
  <Paragraphs>14</Paragraphs>
  <ScaleCrop>false</ScaleCrop>
  <HeadingPairs>
    <vt:vector size="6" baseType="variant">
      <vt:variant>
        <vt:lpstr>Title</vt:lpstr>
      </vt:variant>
      <vt:variant>
        <vt:i4>1</vt:i4>
      </vt:variant>
      <vt:variant>
        <vt:lpstr>Název</vt:lpstr>
      </vt:variant>
      <vt:variant>
        <vt:i4>1</vt:i4>
      </vt:variant>
      <vt:variant>
        <vt:lpstr>Názov</vt:lpstr>
      </vt:variant>
      <vt:variant>
        <vt:i4>1</vt:i4>
      </vt:variant>
    </vt:vector>
  </HeadingPairs>
  <TitlesOfParts>
    <vt:vector size="3" baseType="lpstr">
      <vt:lpstr/>
      <vt:lpstr/>
      <vt:lpstr/>
    </vt:vector>
  </TitlesOfParts>
  <Company>ČSÚ</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CEEC</dc:creator>
  <cp:lastModifiedBy>Jiří Vacek</cp:lastModifiedBy>
  <cp:revision>3</cp:revision>
  <cp:lastPrinted>2015-08-04T07:37:00Z</cp:lastPrinted>
  <dcterms:created xsi:type="dcterms:W3CDTF">2017-10-01T19:00:00Z</dcterms:created>
  <dcterms:modified xsi:type="dcterms:W3CDTF">2017-10-03T06:11:00Z</dcterms:modified>
</cp:coreProperties>
</file>