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78" w:rsidRPr="00DD2657" w:rsidRDefault="000D2D93" w:rsidP="000D2D93">
      <w:pPr>
        <w:spacing w:after="0" w:line="360" w:lineRule="auto"/>
        <w:jc w:val="center"/>
        <w:rPr>
          <w:rFonts w:ascii="Arial" w:eastAsia="SimSun" w:hAnsi="Arial" w:cs="Arial"/>
          <w:b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color w:val="000000" w:themeColor="text1"/>
          <w:kern w:val="1"/>
          <w:sz w:val="32"/>
          <w:szCs w:val="32"/>
        </w:rPr>
        <w:t>V květnu 2017 oznámili ve</w:t>
      </w:r>
      <w:bookmarkStart w:id="0" w:name="_GoBack"/>
      <w:bookmarkEnd w:id="0"/>
      <w:r>
        <w:rPr>
          <w:rFonts w:ascii="Arial" w:eastAsia="SimSun" w:hAnsi="Arial" w:cs="Arial"/>
          <w:b/>
          <w:color w:val="000000" w:themeColor="text1"/>
          <w:kern w:val="1"/>
          <w:sz w:val="32"/>
          <w:szCs w:val="32"/>
        </w:rPr>
        <w:t xml:space="preserve">řejní investoři stavební investice v hodnotě </w:t>
      </w:r>
      <w:r w:rsidR="002E6638">
        <w:rPr>
          <w:rFonts w:ascii="Arial" w:eastAsia="SimSun" w:hAnsi="Arial" w:cs="Arial"/>
          <w:b/>
          <w:color w:val="000000" w:themeColor="text1"/>
          <w:kern w:val="1"/>
          <w:sz w:val="32"/>
          <w:szCs w:val="32"/>
        </w:rPr>
        <w:t xml:space="preserve">14,3 miliardy korun a jde </w:t>
      </w:r>
      <w:r w:rsidR="00EB5A0A">
        <w:rPr>
          <w:rFonts w:ascii="Arial" w:eastAsia="SimSun" w:hAnsi="Arial" w:cs="Arial"/>
          <w:b/>
          <w:color w:val="000000" w:themeColor="text1"/>
          <w:kern w:val="1"/>
          <w:sz w:val="32"/>
          <w:szCs w:val="32"/>
        </w:rPr>
        <w:t xml:space="preserve">o vůbec první letošní měsíc s kladnou meziroční bilancí </w:t>
      </w:r>
    </w:p>
    <w:p w:rsidR="00DD2657" w:rsidRDefault="00DD2657" w:rsidP="00494BCC">
      <w:pPr>
        <w:spacing w:after="0" w:line="360" w:lineRule="auto"/>
        <w:jc w:val="both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767A3D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C376A5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F90023">
        <w:rPr>
          <w:rFonts w:ascii="Arial" w:eastAsia="SimSun" w:hAnsi="Arial" w:cs="Arial"/>
          <w:b/>
          <w:color w:val="000000" w:themeColor="text1"/>
          <w:kern w:val="1"/>
        </w:rPr>
        <w:t>26. června</w:t>
      </w:r>
      <w:r w:rsidR="008E33A6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A83C0E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9A5CF9">
        <w:rPr>
          <w:rFonts w:ascii="Arial" w:eastAsia="SimSun" w:hAnsi="Arial" w:cs="Arial"/>
          <w:b/>
          <w:color w:val="000000" w:themeColor="text1"/>
          <w:kern w:val="1"/>
        </w:rPr>
        <w:t xml:space="preserve"> V prvních pěti</w:t>
      </w:r>
      <w:r w:rsidR="00550120">
        <w:rPr>
          <w:rFonts w:ascii="Arial" w:eastAsia="SimSun" w:hAnsi="Arial" w:cs="Arial"/>
          <w:b/>
          <w:color w:val="000000" w:themeColor="text1"/>
          <w:kern w:val="1"/>
        </w:rPr>
        <w:t xml:space="preserve"> měsících roku 2017 zadali veřejní investoři konkrétním stavebním firmám</w:t>
      </w:r>
      <w:r w:rsidR="00E83C01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550120">
        <w:rPr>
          <w:rFonts w:ascii="Arial" w:eastAsia="SimSun" w:hAnsi="Arial" w:cs="Arial"/>
          <w:b/>
          <w:color w:val="000000" w:themeColor="text1"/>
          <w:kern w:val="1"/>
        </w:rPr>
        <w:t xml:space="preserve">1933 zakázek v hodnotě 43,9 miliardy korun, což meziročně představuje třetinový nárůst počtu a dvoutřetinový nárůst objemu. </w:t>
      </w:r>
      <w:r w:rsidR="00E47155">
        <w:rPr>
          <w:rFonts w:ascii="Arial" w:eastAsia="SimSun" w:hAnsi="Arial" w:cs="Arial"/>
          <w:b/>
          <w:color w:val="000000" w:themeColor="text1"/>
          <w:kern w:val="1"/>
        </w:rPr>
        <w:t>Z</w:t>
      </w:r>
      <w:r w:rsidR="00550120">
        <w:rPr>
          <w:rFonts w:ascii="Arial" w:eastAsia="SimSun" w:hAnsi="Arial" w:cs="Arial"/>
          <w:b/>
          <w:color w:val="000000" w:themeColor="text1"/>
          <w:kern w:val="1"/>
        </w:rPr>
        <w:t>a měsíc květen</w:t>
      </w:r>
      <w:r w:rsidR="00E47155">
        <w:rPr>
          <w:rFonts w:ascii="Arial" w:eastAsia="SimSun" w:hAnsi="Arial" w:cs="Arial"/>
          <w:b/>
          <w:color w:val="000000" w:themeColor="text1"/>
          <w:kern w:val="1"/>
        </w:rPr>
        <w:t xml:space="preserve"> bylo dále vyhlášeno 150 soutěží na stavební práce v celkové hodnotě 14,3 miliardy korun a za tento rok je to vůbec poprvé, kdy má měsíční aktivita investorů v přípravě nových investic z hlediska objemu meziročně kladnou bilanci.</w:t>
      </w:r>
      <w:r w:rsidR="00767A3D">
        <w:rPr>
          <w:rFonts w:ascii="Arial" w:eastAsia="SimSun" w:hAnsi="Arial" w:cs="Arial"/>
          <w:b/>
          <w:color w:val="000000" w:themeColor="text1"/>
          <w:kern w:val="1"/>
        </w:rPr>
        <w:t xml:space="preserve"> Významnou měrou k tomuto výsledku přispěly tři velké železniční infrastrukturní zakázky.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C376A5">
        <w:rPr>
          <w:rFonts w:ascii="Arial" w:eastAsia="SimSun" w:hAnsi="Arial" w:cs="Arial"/>
          <w:b/>
          <w:color w:val="000000" w:themeColor="text1"/>
          <w:kern w:val="1"/>
        </w:rPr>
        <w:t>na konci května</w:t>
      </w:r>
      <w:r w:rsidR="000C7B62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0437F8">
        <w:rPr>
          <w:rFonts w:ascii="Arial" w:eastAsia="SimSun" w:hAnsi="Arial" w:cs="Arial"/>
          <w:b/>
          <w:color w:val="000000" w:themeColor="text1"/>
          <w:kern w:val="1"/>
        </w:rPr>
        <w:t>2017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192FCA" w:rsidRPr="006B4825" w:rsidRDefault="00192FCA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7029A" w:rsidRPr="00B801A3" w:rsidRDefault="002C36C3" w:rsidP="0037029A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V květnu letošního</w:t>
      </w:r>
      <w:r w:rsidR="00A86339">
        <w:rPr>
          <w:rFonts w:ascii="Arial" w:hAnsi="Arial" w:cs="Arial"/>
          <w:color w:val="000000" w:themeColor="text1"/>
        </w:rPr>
        <w:t xml:space="preserve"> roku</w:t>
      </w:r>
      <w:r>
        <w:rPr>
          <w:rFonts w:ascii="Arial" w:hAnsi="Arial" w:cs="Arial"/>
          <w:color w:val="000000" w:themeColor="text1"/>
        </w:rPr>
        <w:t xml:space="preserve"> bylo veřejnými investory vyhlášeno celkem 150</w:t>
      </w:r>
      <w:r w:rsidR="005C63AF" w:rsidRPr="006B4825">
        <w:rPr>
          <w:rFonts w:ascii="Arial" w:hAnsi="Arial" w:cs="Arial"/>
          <w:color w:val="000000" w:themeColor="text1"/>
        </w:rPr>
        <w:t xml:space="preserve"> výběrových řízení</w:t>
      </w:r>
      <w:r w:rsidR="005C63AF">
        <w:rPr>
          <w:rFonts w:ascii="Arial" w:hAnsi="Arial" w:cs="Arial"/>
          <w:color w:val="000000" w:themeColor="text1"/>
        </w:rPr>
        <w:t xml:space="preserve"> na stavební práce</w:t>
      </w:r>
      <w:r w:rsidR="005C63AF" w:rsidRPr="006B4825">
        <w:rPr>
          <w:rFonts w:ascii="Arial" w:hAnsi="Arial" w:cs="Arial"/>
          <w:color w:val="000000" w:themeColor="text1"/>
        </w:rPr>
        <w:t xml:space="preserve"> v</w:t>
      </w:r>
      <w:r w:rsidR="00705DAB">
        <w:rPr>
          <w:rFonts w:ascii="Arial" w:hAnsi="Arial" w:cs="Arial"/>
          <w:color w:val="000000" w:themeColor="text1"/>
        </w:rPr>
        <w:t xml:space="preserve"> souhrnné</w:t>
      </w:r>
      <w:r w:rsidR="005C63AF">
        <w:rPr>
          <w:rFonts w:ascii="Arial" w:hAnsi="Arial" w:cs="Arial"/>
          <w:color w:val="000000" w:themeColor="text1"/>
        </w:rPr>
        <w:t xml:space="preserve"> </w:t>
      </w:r>
      <w:r w:rsidR="005C63AF" w:rsidRPr="006B4825">
        <w:rPr>
          <w:rFonts w:ascii="Arial" w:hAnsi="Arial" w:cs="Arial"/>
          <w:color w:val="000000" w:themeColor="text1"/>
        </w:rPr>
        <w:t>hodnotě</w:t>
      </w:r>
      <w:r>
        <w:rPr>
          <w:rFonts w:ascii="Arial" w:hAnsi="Arial" w:cs="Arial"/>
          <w:color w:val="000000" w:themeColor="text1"/>
        </w:rPr>
        <w:t xml:space="preserve"> 14,3</w:t>
      </w:r>
      <w:r w:rsidR="005C63AF">
        <w:rPr>
          <w:rFonts w:ascii="Arial" w:hAnsi="Arial" w:cs="Arial"/>
          <w:color w:val="000000" w:themeColor="text1"/>
        </w:rPr>
        <w:t xml:space="preserve"> miliardy</w:t>
      </w:r>
      <w:r w:rsidR="005C63AF" w:rsidRPr="006B4825">
        <w:rPr>
          <w:rFonts w:ascii="Arial" w:hAnsi="Arial" w:cs="Arial"/>
          <w:color w:val="000000" w:themeColor="text1"/>
        </w:rPr>
        <w:t xml:space="preserve"> k</w:t>
      </w:r>
      <w:r w:rsidR="000308C5">
        <w:rPr>
          <w:rFonts w:ascii="Arial" w:hAnsi="Arial" w:cs="Arial"/>
          <w:color w:val="000000" w:themeColor="text1"/>
        </w:rPr>
        <w:t>orun</w:t>
      </w:r>
      <w:r>
        <w:rPr>
          <w:rFonts w:ascii="Arial" w:hAnsi="Arial" w:cs="Arial"/>
          <w:color w:val="000000" w:themeColor="text1"/>
        </w:rPr>
        <w:t>, což sice v meziročním srovnání představuje poloviční (52,2 procenta) pokles počtu vypsaných soutěží, avšak zároveň se jedná o dvoupětinový (38,1 procenta) nárůst</w:t>
      </w:r>
      <w:r w:rsidR="00022F92">
        <w:rPr>
          <w:rFonts w:ascii="Arial" w:hAnsi="Arial" w:cs="Arial"/>
          <w:color w:val="000000" w:themeColor="text1"/>
        </w:rPr>
        <w:t xml:space="preserve"> hodnoty</w:t>
      </w:r>
      <w:r w:rsidR="00C74C51">
        <w:rPr>
          <w:rFonts w:ascii="Arial" w:hAnsi="Arial" w:cs="Arial"/>
          <w:color w:val="000000" w:themeColor="text1"/>
        </w:rPr>
        <w:t xml:space="preserve"> stavebních</w:t>
      </w:r>
      <w:r w:rsidR="00022F92">
        <w:rPr>
          <w:rFonts w:ascii="Arial" w:hAnsi="Arial" w:cs="Arial"/>
          <w:color w:val="000000" w:themeColor="text1"/>
        </w:rPr>
        <w:t xml:space="preserve"> investic. Vůbec poprvé tak v letošním roce vykazuje měsíční objem ohlášených výběrových řízení oproti minulému roku kladnou bilanci.</w:t>
      </w:r>
      <w:r w:rsidR="00C74C51">
        <w:rPr>
          <w:rFonts w:ascii="Arial" w:hAnsi="Arial" w:cs="Arial"/>
          <w:color w:val="000000" w:themeColor="text1"/>
        </w:rPr>
        <w:t xml:space="preserve"> </w:t>
      </w:r>
      <w:r w:rsidR="000308C5">
        <w:rPr>
          <w:rFonts w:ascii="Arial" w:hAnsi="Arial" w:cs="Arial"/>
          <w:color w:val="000000" w:themeColor="text1"/>
        </w:rPr>
        <w:t xml:space="preserve">Největší výběrové řízení </w:t>
      </w:r>
      <w:r w:rsidR="000308C5" w:rsidRPr="001F2AC0">
        <w:rPr>
          <w:rFonts w:ascii="Arial" w:hAnsi="Arial" w:cs="Arial"/>
          <w:color w:val="000000" w:themeColor="text1"/>
        </w:rPr>
        <w:t>měsíce</w:t>
      </w:r>
      <w:r w:rsidR="00022F92">
        <w:rPr>
          <w:rFonts w:ascii="Arial" w:hAnsi="Arial" w:cs="Arial"/>
          <w:color w:val="000000" w:themeColor="text1"/>
        </w:rPr>
        <w:t xml:space="preserve"> května</w:t>
      </w:r>
      <w:r w:rsidR="000308C5" w:rsidRPr="001F2AC0">
        <w:rPr>
          <w:rFonts w:ascii="Arial" w:hAnsi="Arial" w:cs="Arial"/>
          <w:color w:val="000000" w:themeColor="text1"/>
        </w:rPr>
        <w:t xml:space="preserve"> v</w:t>
      </w:r>
      <w:r w:rsidR="00022F92">
        <w:rPr>
          <w:rFonts w:ascii="Arial" w:hAnsi="Arial" w:cs="Arial"/>
          <w:color w:val="000000" w:themeColor="text1"/>
        </w:rPr>
        <w:t xml:space="preserve"> hodnotě 6,24</w:t>
      </w:r>
      <w:r w:rsidR="000308C5">
        <w:rPr>
          <w:rFonts w:ascii="Arial" w:hAnsi="Arial" w:cs="Arial"/>
          <w:color w:val="000000" w:themeColor="text1"/>
        </w:rPr>
        <w:t xml:space="preserve"> miliardy korun</w:t>
      </w:r>
      <w:r w:rsidR="00C74C51">
        <w:rPr>
          <w:rFonts w:ascii="Arial" w:hAnsi="Arial" w:cs="Arial"/>
          <w:color w:val="000000" w:themeColor="text1"/>
        </w:rPr>
        <w:t xml:space="preserve"> vypsala</w:t>
      </w:r>
      <w:r w:rsidR="000308C5">
        <w:rPr>
          <w:rFonts w:ascii="Arial" w:hAnsi="Arial" w:cs="Arial"/>
          <w:color w:val="000000" w:themeColor="text1"/>
        </w:rPr>
        <w:t xml:space="preserve"> </w:t>
      </w:r>
      <w:r w:rsidR="00022F92" w:rsidRPr="00022F92">
        <w:rPr>
          <w:rFonts w:ascii="Arial" w:hAnsi="Arial" w:cs="Arial"/>
          <w:color w:val="000000" w:themeColor="text1"/>
        </w:rPr>
        <w:t>Správa železniční dopravní cesty</w:t>
      </w:r>
      <w:r w:rsidR="00022F92">
        <w:rPr>
          <w:rFonts w:ascii="Arial" w:hAnsi="Arial" w:cs="Arial"/>
          <w:color w:val="000000" w:themeColor="text1"/>
        </w:rPr>
        <w:t xml:space="preserve"> </w:t>
      </w:r>
      <w:r w:rsidR="000308C5" w:rsidRPr="001F2AC0">
        <w:rPr>
          <w:rFonts w:ascii="Arial" w:hAnsi="Arial" w:cs="Arial"/>
          <w:color w:val="000000" w:themeColor="text1"/>
        </w:rPr>
        <w:t>na</w:t>
      </w:r>
      <w:r w:rsidR="000308C5">
        <w:rPr>
          <w:rFonts w:ascii="Arial" w:hAnsi="Arial" w:cs="Arial"/>
          <w:color w:val="000000" w:themeColor="text1"/>
        </w:rPr>
        <w:t xml:space="preserve"> </w:t>
      </w:r>
      <w:r w:rsidR="00022F92">
        <w:rPr>
          <w:rFonts w:ascii="Arial" w:hAnsi="Arial" w:cs="Arial"/>
          <w:color w:val="000000" w:themeColor="text1"/>
        </w:rPr>
        <w:t>modernizaci</w:t>
      </w:r>
      <w:r w:rsidR="00022F92" w:rsidRPr="00022F92">
        <w:rPr>
          <w:rFonts w:ascii="Arial" w:hAnsi="Arial" w:cs="Arial"/>
          <w:color w:val="000000" w:themeColor="text1"/>
        </w:rPr>
        <w:t xml:space="preserve"> trati Sudoměřice</w:t>
      </w:r>
      <w:r w:rsidR="00361D05">
        <w:rPr>
          <w:rFonts w:ascii="Arial" w:hAnsi="Arial" w:cs="Arial"/>
          <w:color w:val="000000" w:themeColor="text1"/>
        </w:rPr>
        <w:t>–</w:t>
      </w:r>
      <w:r w:rsidR="00022F92" w:rsidRPr="00022F92">
        <w:rPr>
          <w:rFonts w:ascii="Arial" w:hAnsi="Arial" w:cs="Arial"/>
          <w:color w:val="000000" w:themeColor="text1"/>
        </w:rPr>
        <w:t>Votice</w:t>
      </w:r>
      <w:r w:rsidR="00361D05">
        <w:rPr>
          <w:rFonts w:ascii="Arial" w:hAnsi="Arial" w:cs="Arial"/>
          <w:color w:val="000000" w:themeColor="text1"/>
        </w:rPr>
        <w:t>.</w:t>
      </w:r>
      <w:r w:rsidR="00361D05" w:rsidRPr="00361D05">
        <w:rPr>
          <w:rFonts w:ascii="Arial" w:hAnsi="Arial" w:cs="Arial"/>
          <w:i/>
          <w:color w:val="000000" w:themeColor="text1"/>
        </w:rPr>
        <w:t xml:space="preserve"> </w:t>
      </w:r>
      <w:r w:rsidR="00361D05" w:rsidRPr="00192FCA">
        <w:rPr>
          <w:rFonts w:ascii="Arial" w:hAnsi="Arial" w:cs="Arial"/>
          <w:i/>
          <w:color w:val="000000" w:themeColor="text1"/>
        </w:rPr>
        <w:t xml:space="preserve">„Objem veřejných stavebních zakázek vyhlášených v květnu téměř dosáhl objemu veřejných zakázek za celé slabé první čtvrtletí. Mírné oživení na trhu je znát, ale </w:t>
      </w:r>
      <w:r w:rsidR="00361D05">
        <w:rPr>
          <w:rFonts w:ascii="Arial" w:hAnsi="Arial" w:cs="Arial"/>
          <w:i/>
          <w:color w:val="000000" w:themeColor="text1"/>
        </w:rPr>
        <w:t xml:space="preserve">není čas jásat předčasně, </w:t>
      </w:r>
      <w:r w:rsidR="00361D05" w:rsidRPr="00EB524D">
        <w:rPr>
          <w:rFonts w:ascii="Arial" w:hAnsi="Arial" w:cs="Arial"/>
          <w:i/>
          <w:color w:val="000000" w:themeColor="text1"/>
        </w:rPr>
        <w:t>srovnáváme s rokem 2016, který byl v posledních letech úplně tím nejslabším</w:t>
      </w:r>
      <w:r w:rsidR="00361D05">
        <w:rPr>
          <w:rFonts w:ascii="Arial" w:hAnsi="Arial" w:cs="Arial"/>
          <w:i/>
          <w:color w:val="000000" w:themeColor="text1"/>
        </w:rPr>
        <w:t xml:space="preserve">,“ </w:t>
      </w:r>
      <w:r w:rsidR="00361D05" w:rsidRPr="00361D05">
        <w:rPr>
          <w:rFonts w:ascii="Arial" w:hAnsi="Arial" w:cs="Arial"/>
          <w:bCs/>
          <w:color w:val="000000" w:themeColor="text1"/>
        </w:rPr>
        <w:t>říká</w:t>
      </w:r>
      <w:r w:rsidR="00361D05" w:rsidRPr="00192FCA">
        <w:rPr>
          <w:rFonts w:ascii="Arial" w:hAnsi="Arial" w:cs="Arial"/>
          <w:b/>
          <w:color w:val="000000" w:themeColor="text1"/>
        </w:rPr>
        <w:t xml:space="preserve"> Michal Jurka, prezident Skanska Česká republika a Slovensko</w:t>
      </w:r>
      <w:r w:rsidR="00361D05" w:rsidRPr="00361D05">
        <w:rPr>
          <w:rFonts w:ascii="Arial" w:hAnsi="Arial" w:cs="Arial"/>
          <w:bCs/>
          <w:color w:val="000000" w:themeColor="text1"/>
        </w:rPr>
        <w:t>.</w:t>
      </w:r>
    </w:p>
    <w:p w:rsidR="0037029A" w:rsidRDefault="0037029A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13FF1" w:rsidRPr="00413FF1" w:rsidRDefault="007A2248" w:rsidP="001F70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 prvních pět měsíců roku </w:t>
      </w:r>
      <w:r w:rsidR="008A03F7">
        <w:rPr>
          <w:rFonts w:ascii="Arial" w:hAnsi="Arial" w:cs="Arial"/>
          <w:color w:val="000000" w:themeColor="text1"/>
        </w:rPr>
        <w:t>2017</w:t>
      </w:r>
      <w:r w:rsidR="008A03F7" w:rsidRPr="008A03F7">
        <w:rPr>
          <w:rFonts w:ascii="Arial" w:hAnsi="Arial" w:cs="Arial"/>
          <w:color w:val="000000" w:themeColor="text1"/>
        </w:rPr>
        <w:t xml:space="preserve"> </w:t>
      </w:r>
      <w:r w:rsidR="003A17E9">
        <w:rPr>
          <w:rFonts w:ascii="Arial" w:hAnsi="Arial" w:cs="Arial"/>
          <w:color w:val="000000" w:themeColor="text1"/>
        </w:rPr>
        <w:t xml:space="preserve">se </w:t>
      </w:r>
      <w:r w:rsidR="008A03F7" w:rsidRPr="008A03F7">
        <w:rPr>
          <w:rFonts w:ascii="Arial" w:hAnsi="Arial" w:cs="Arial"/>
          <w:color w:val="000000" w:themeColor="text1"/>
        </w:rPr>
        <w:t xml:space="preserve">ve Věstníku veřejných </w:t>
      </w:r>
      <w:r>
        <w:rPr>
          <w:rFonts w:ascii="Arial" w:hAnsi="Arial" w:cs="Arial"/>
          <w:color w:val="000000" w:themeColor="text1"/>
        </w:rPr>
        <w:t>zakázek objevilo celkem 795</w:t>
      </w:r>
      <w:r w:rsidR="008A03F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soutěží v celkové hodnotě 44,2</w:t>
      </w:r>
      <w:r w:rsidR="00317466">
        <w:rPr>
          <w:rFonts w:ascii="Arial" w:hAnsi="Arial" w:cs="Arial"/>
          <w:color w:val="000000" w:themeColor="text1"/>
        </w:rPr>
        <w:t xml:space="preserve"> miliardy korun. To oproti srovnatelnému období loňského roku</w:t>
      </w:r>
      <w:r w:rsidR="004C0131">
        <w:rPr>
          <w:rFonts w:ascii="Arial" w:hAnsi="Arial" w:cs="Arial"/>
          <w:color w:val="000000" w:themeColor="text1"/>
        </w:rPr>
        <w:t xml:space="preserve"> </w:t>
      </w:r>
      <w:r w:rsidR="00317466">
        <w:rPr>
          <w:rFonts w:ascii="Arial" w:hAnsi="Arial" w:cs="Arial"/>
          <w:color w:val="000000" w:themeColor="text1"/>
        </w:rPr>
        <w:t>představuje bezmála poloviční (45,6</w:t>
      </w:r>
      <w:r w:rsidR="00F5743B" w:rsidRPr="008A03F7">
        <w:rPr>
          <w:rFonts w:ascii="Arial" w:hAnsi="Arial" w:cs="Arial"/>
          <w:color w:val="000000" w:themeColor="text1"/>
        </w:rPr>
        <w:t xml:space="preserve"> proce</w:t>
      </w:r>
      <w:r w:rsidR="00F5743B">
        <w:rPr>
          <w:rFonts w:ascii="Arial" w:hAnsi="Arial" w:cs="Arial"/>
          <w:color w:val="000000" w:themeColor="text1"/>
        </w:rPr>
        <w:t>nta)</w:t>
      </w:r>
      <w:r w:rsidR="00C3338A">
        <w:rPr>
          <w:rFonts w:ascii="Arial" w:hAnsi="Arial" w:cs="Arial"/>
          <w:color w:val="000000" w:themeColor="text1"/>
        </w:rPr>
        <w:t xml:space="preserve"> pokles počtu</w:t>
      </w:r>
      <w:r w:rsidR="008A03F7">
        <w:rPr>
          <w:rFonts w:ascii="Arial" w:hAnsi="Arial" w:cs="Arial"/>
          <w:color w:val="000000" w:themeColor="text1"/>
        </w:rPr>
        <w:t xml:space="preserve"> </w:t>
      </w:r>
      <w:r w:rsidR="003B778C">
        <w:rPr>
          <w:rFonts w:ascii="Arial" w:hAnsi="Arial" w:cs="Arial"/>
          <w:color w:val="000000" w:themeColor="text1"/>
        </w:rPr>
        <w:t>a</w:t>
      </w:r>
      <w:r w:rsidR="00C3338A">
        <w:rPr>
          <w:rFonts w:ascii="Arial" w:hAnsi="Arial" w:cs="Arial"/>
          <w:color w:val="000000" w:themeColor="text1"/>
        </w:rPr>
        <w:t xml:space="preserve"> </w:t>
      </w:r>
      <w:r w:rsidR="00317466">
        <w:rPr>
          <w:rFonts w:ascii="Arial" w:hAnsi="Arial" w:cs="Arial"/>
          <w:color w:val="000000" w:themeColor="text1"/>
        </w:rPr>
        <w:t>čtrnáctiprocentní</w:t>
      </w:r>
      <w:r w:rsidR="003B778C">
        <w:rPr>
          <w:rFonts w:ascii="Arial" w:hAnsi="Arial" w:cs="Arial"/>
          <w:color w:val="000000" w:themeColor="text1"/>
        </w:rPr>
        <w:t xml:space="preserve"> pokles</w:t>
      </w:r>
      <w:r w:rsidR="00C3338A">
        <w:rPr>
          <w:rFonts w:ascii="Arial" w:hAnsi="Arial" w:cs="Arial"/>
          <w:color w:val="000000" w:themeColor="text1"/>
        </w:rPr>
        <w:t xml:space="preserve"> </w:t>
      </w:r>
      <w:r w:rsidR="003B778C">
        <w:rPr>
          <w:rFonts w:ascii="Arial" w:hAnsi="Arial" w:cs="Arial"/>
          <w:color w:val="000000" w:themeColor="text1"/>
        </w:rPr>
        <w:t>objemu</w:t>
      </w:r>
      <w:r w:rsidR="00C3338A">
        <w:rPr>
          <w:rFonts w:ascii="Arial" w:hAnsi="Arial" w:cs="Arial"/>
          <w:color w:val="000000" w:themeColor="text1"/>
        </w:rPr>
        <w:t xml:space="preserve"> vypsaných výběrových řízení</w:t>
      </w:r>
      <w:r w:rsidR="00F5743B">
        <w:rPr>
          <w:rFonts w:ascii="Arial" w:hAnsi="Arial" w:cs="Arial"/>
          <w:color w:val="000000" w:themeColor="text1"/>
        </w:rPr>
        <w:t>.</w:t>
      </w:r>
      <w:r w:rsidR="00317466">
        <w:rPr>
          <w:rFonts w:ascii="Arial" w:hAnsi="Arial" w:cs="Arial"/>
          <w:color w:val="000000" w:themeColor="text1"/>
        </w:rPr>
        <w:t xml:space="preserve"> Zatímco</w:t>
      </w:r>
      <w:r w:rsidR="00162531">
        <w:rPr>
          <w:rFonts w:ascii="Arial" w:hAnsi="Arial" w:cs="Arial"/>
          <w:color w:val="000000" w:themeColor="text1"/>
        </w:rPr>
        <w:t xml:space="preserve"> </w:t>
      </w:r>
      <w:r w:rsidR="00317466">
        <w:rPr>
          <w:rFonts w:ascii="Arial" w:hAnsi="Arial" w:cs="Arial"/>
          <w:color w:val="000000" w:themeColor="text1"/>
        </w:rPr>
        <w:t>pokles počtu výběrových řízení</w:t>
      </w:r>
      <w:r w:rsidR="00162531">
        <w:rPr>
          <w:rFonts w:ascii="Arial" w:hAnsi="Arial" w:cs="Arial"/>
          <w:color w:val="000000" w:themeColor="text1"/>
        </w:rPr>
        <w:t xml:space="preserve"> zůstává již několik měsíců na</w:t>
      </w:r>
      <w:r w:rsidR="00317466">
        <w:rPr>
          <w:rFonts w:ascii="Arial" w:hAnsi="Arial" w:cs="Arial"/>
          <w:color w:val="000000" w:themeColor="text1"/>
        </w:rPr>
        <w:t xml:space="preserve"> stejné úrovni, objem investic se pozvolna začíná blížit</w:t>
      </w:r>
      <w:r w:rsidR="00162531">
        <w:rPr>
          <w:rFonts w:ascii="Arial" w:hAnsi="Arial" w:cs="Arial"/>
          <w:color w:val="000000" w:themeColor="text1"/>
        </w:rPr>
        <w:t xml:space="preserve"> loňským hodnotám.</w:t>
      </w:r>
      <w:r w:rsidR="00CF4725">
        <w:rPr>
          <w:rFonts w:ascii="Arial" w:hAnsi="Arial" w:cs="Arial"/>
          <w:color w:val="000000" w:themeColor="text1"/>
        </w:rPr>
        <w:t xml:space="preserve"> </w:t>
      </w:r>
      <w:r w:rsidR="00162531">
        <w:rPr>
          <w:rFonts w:ascii="Arial" w:hAnsi="Arial" w:cs="Arial"/>
          <w:color w:val="000000" w:themeColor="text1"/>
        </w:rPr>
        <w:t>Velkou měrou se na tomto stavu podílí 7 velkých infrastrukturních zakázek Správy</w:t>
      </w:r>
      <w:r w:rsidR="00162531" w:rsidRPr="00022F92">
        <w:rPr>
          <w:rFonts w:ascii="Arial" w:hAnsi="Arial" w:cs="Arial"/>
          <w:color w:val="000000" w:themeColor="text1"/>
        </w:rPr>
        <w:t xml:space="preserve"> železniční dopravní </w:t>
      </w:r>
      <w:r w:rsidR="00162531" w:rsidRPr="00022F92">
        <w:rPr>
          <w:rFonts w:ascii="Arial" w:hAnsi="Arial" w:cs="Arial"/>
          <w:color w:val="000000" w:themeColor="text1"/>
        </w:rPr>
        <w:lastRenderedPageBreak/>
        <w:t>cesty</w:t>
      </w:r>
      <w:r w:rsidR="00162531">
        <w:rPr>
          <w:rFonts w:ascii="Arial" w:hAnsi="Arial" w:cs="Arial"/>
          <w:color w:val="000000" w:themeColor="text1"/>
        </w:rPr>
        <w:t xml:space="preserve"> v souhrnné hodnotě 11,8 miliardy korun, přičemž 3 z nich byly vyhlášeny právě v květnu.</w:t>
      </w:r>
      <w:r w:rsidR="0093740F">
        <w:rPr>
          <w:rFonts w:ascii="Arial" w:hAnsi="Arial" w:cs="Arial"/>
          <w:color w:val="000000" w:themeColor="text1"/>
        </w:rPr>
        <w:t xml:space="preserve"> </w:t>
      </w:r>
      <w:r w:rsidR="0093740F" w:rsidRPr="002C5C68">
        <w:rPr>
          <w:rFonts w:ascii="Arial" w:hAnsi="Arial" w:cs="Arial"/>
          <w:i/>
          <w:color w:val="000000" w:themeColor="text1"/>
        </w:rPr>
        <w:t xml:space="preserve">„Květnový nárůst vypsaných výběrových řízení </w:t>
      </w:r>
      <w:r w:rsidR="0093740F">
        <w:rPr>
          <w:rFonts w:ascii="Arial" w:hAnsi="Arial" w:cs="Arial"/>
          <w:i/>
          <w:color w:val="000000" w:themeColor="text1"/>
        </w:rPr>
        <w:t>prozatím potvrzuje předpovědi</w:t>
      </w:r>
      <w:r w:rsidR="0093740F" w:rsidRPr="002C5C68">
        <w:rPr>
          <w:rFonts w:ascii="Arial" w:hAnsi="Arial" w:cs="Arial"/>
          <w:i/>
          <w:color w:val="000000" w:themeColor="text1"/>
        </w:rPr>
        <w:t>, že před volbami se výrazně projeví snaha nastartovat v oblasti veřejných stavebních zakázek co nejvíce projektů. Po velmi slabém začátku roku ovšem půjde jen o další z výkyvů z jednoho extrému do druhého, které v posledních letech svými důsledky celý sektor negativně ovlivňují,“</w:t>
      </w:r>
      <w:r w:rsidR="0093740F">
        <w:rPr>
          <w:rFonts w:ascii="Arial" w:hAnsi="Arial" w:cs="Arial"/>
          <w:color w:val="000000" w:themeColor="text1"/>
        </w:rPr>
        <w:t xml:space="preserve"> komentuje aktuální vývoj</w:t>
      </w:r>
      <w:r w:rsidR="0093740F" w:rsidRPr="002C5C68">
        <w:rPr>
          <w:rFonts w:ascii="Arial" w:hAnsi="Arial" w:cs="Arial"/>
          <w:color w:val="000000" w:themeColor="text1"/>
        </w:rPr>
        <w:t xml:space="preserve"> </w:t>
      </w:r>
      <w:r w:rsidR="0093740F" w:rsidRPr="002C5C68">
        <w:rPr>
          <w:rFonts w:ascii="Arial" w:hAnsi="Arial" w:cs="Arial"/>
          <w:b/>
          <w:color w:val="000000" w:themeColor="text1"/>
        </w:rPr>
        <w:t>Pavel Kliment, partner odpovědný za sektor stavebnictví a real estate v KPMG Česká republika.</w:t>
      </w:r>
      <w:r w:rsidR="00903BA9">
        <w:rPr>
          <w:rFonts w:ascii="Arial" w:hAnsi="Arial" w:cs="Arial"/>
          <w:b/>
          <w:color w:val="000000" w:themeColor="text1"/>
        </w:rPr>
        <w:t xml:space="preserve"> </w:t>
      </w:r>
      <w:r w:rsidR="00903BA9" w:rsidRPr="00903BA9">
        <w:rPr>
          <w:rFonts w:ascii="Arial" w:hAnsi="Arial" w:cs="Arial"/>
          <w:i/>
          <w:color w:val="000000" w:themeColor="text1"/>
        </w:rPr>
        <w:t>„Podle mého názoru bude rok 2017 ve znamení růstu stavební výroby oproti roku 2016</w:t>
      </w:r>
      <w:r w:rsidR="002923AD">
        <w:rPr>
          <w:rFonts w:ascii="Arial" w:hAnsi="Arial" w:cs="Arial"/>
          <w:i/>
          <w:color w:val="000000" w:themeColor="text1"/>
        </w:rPr>
        <w:t>,</w:t>
      </w:r>
      <w:r w:rsidR="00903BA9" w:rsidRPr="00903BA9">
        <w:rPr>
          <w:rFonts w:ascii="Arial" w:hAnsi="Arial" w:cs="Arial"/>
          <w:i/>
          <w:color w:val="000000" w:themeColor="text1"/>
        </w:rPr>
        <w:t xml:space="preserve"> a ne pouze symbolickému, protože základna pro porovnání z roku 2016 je velmi nízká. Navíc</w:t>
      </w:r>
      <w:r w:rsidR="002923AD">
        <w:rPr>
          <w:rFonts w:ascii="Arial" w:hAnsi="Arial" w:cs="Arial"/>
          <w:i/>
          <w:color w:val="000000" w:themeColor="text1"/>
        </w:rPr>
        <w:t>,</w:t>
      </w:r>
      <w:r w:rsidR="00903BA9" w:rsidRPr="00903BA9">
        <w:rPr>
          <w:rFonts w:ascii="Arial" w:hAnsi="Arial" w:cs="Arial"/>
          <w:i/>
          <w:color w:val="000000" w:themeColor="text1"/>
        </w:rPr>
        <w:t xml:space="preserve"> díky levným finančním prostředkům a s tím souvisejícímu apetitu investorů a rozjezdem celé řady projektů v dopravní infrastruktuře</w:t>
      </w:r>
      <w:r w:rsidR="002923AD">
        <w:rPr>
          <w:rFonts w:ascii="Arial" w:hAnsi="Arial" w:cs="Arial"/>
          <w:i/>
          <w:color w:val="000000" w:themeColor="text1"/>
        </w:rPr>
        <w:t>,</w:t>
      </w:r>
      <w:r w:rsidR="00903BA9" w:rsidRPr="00903BA9">
        <w:rPr>
          <w:rFonts w:ascii="Arial" w:hAnsi="Arial" w:cs="Arial"/>
          <w:i/>
          <w:color w:val="000000" w:themeColor="text1"/>
        </w:rPr>
        <w:t xml:space="preserve"> dochází ke skutečnému oživení a trh se začíná dostávat do problému s nedostatečnými výrobními kapacitami. Těžit z této situace budou firmy, které si udržel</w:t>
      </w:r>
      <w:r w:rsidR="002923AD">
        <w:rPr>
          <w:rFonts w:ascii="Arial" w:hAnsi="Arial" w:cs="Arial"/>
          <w:i/>
          <w:color w:val="000000" w:themeColor="text1"/>
        </w:rPr>
        <w:t>y</w:t>
      </w:r>
      <w:r w:rsidR="00903BA9" w:rsidRPr="00903BA9">
        <w:rPr>
          <w:rFonts w:ascii="Arial" w:hAnsi="Arial" w:cs="Arial"/>
          <w:i/>
          <w:color w:val="000000" w:themeColor="text1"/>
        </w:rPr>
        <w:t xml:space="preserve"> klíčové odbornosti a dokáží efektivně pracovat se svými zdroji a budou spolupracovat na zakázkách, </w:t>
      </w:r>
      <w:r w:rsidR="00903BA9">
        <w:rPr>
          <w:rFonts w:ascii="Arial" w:hAnsi="Arial" w:cs="Arial"/>
          <w:i/>
          <w:color w:val="000000" w:themeColor="text1"/>
        </w:rPr>
        <w:t xml:space="preserve">kde není rozhodující pouze cena,“ </w:t>
      </w:r>
      <w:r w:rsidR="00903BA9" w:rsidRPr="00903BA9">
        <w:rPr>
          <w:rFonts w:ascii="Arial" w:hAnsi="Arial" w:cs="Arial"/>
          <w:color w:val="000000" w:themeColor="text1"/>
        </w:rPr>
        <w:t>predikuje</w:t>
      </w:r>
      <w:r w:rsidR="00903BA9">
        <w:rPr>
          <w:rFonts w:ascii="Arial" w:hAnsi="Arial" w:cs="Arial"/>
          <w:color w:val="000000" w:themeColor="text1"/>
        </w:rPr>
        <w:t xml:space="preserve"> </w:t>
      </w:r>
      <w:r w:rsidR="00903BA9" w:rsidRPr="00903BA9">
        <w:rPr>
          <w:rFonts w:ascii="Arial" w:hAnsi="Arial" w:cs="Arial"/>
          <w:b/>
          <w:color w:val="000000" w:themeColor="text1"/>
        </w:rPr>
        <w:t>Pavel Schlitter, obchodní ředitel, SITEL, spol. s r.o.</w:t>
      </w:r>
    </w:p>
    <w:p w:rsidR="001F7018" w:rsidRDefault="001F7018" w:rsidP="001F70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5C63A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2016 až 2017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742"/>
        <w:gridCol w:w="1063"/>
        <w:gridCol w:w="1047"/>
        <w:gridCol w:w="1062"/>
        <w:gridCol w:w="1069"/>
        <w:gridCol w:w="1042"/>
        <w:gridCol w:w="1068"/>
      </w:tblGrid>
      <w:tr w:rsidR="005969A3" w:rsidTr="005C63AF">
        <w:trPr>
          <w:cantSplit/>
          <w:trHeight w:val="284"/>
        </w:trPr>
        <w:tc>
          <w:tcPr>
            <w:tcW w:w="264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Stavební zakázky</w:t>
            </w:r>
          </w:p>
        </w:tc>
        <w:tc>
          <w:tcPr>
            <w:tcW w:w="3172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179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5969A3" w:rsidTr="005C63AF">
        <w:trPr>
          <w:cantSplit/>
          <w:trHeight w:val="284"/>
        </w:trPr>
        <w:tc>
          <w:tcPr>
            <w:tcW w:w="264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984FAD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5969A3"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57E20" w:rsidTr="005C63AF">
        <w:trPr>
          <w:cantSplit/>
          <w:trHeight w:val="284"/>
        </w:trPr>
        <w:tc>
          <w:tcPr>
            <w:tcW w:w="904" w:type="dxa"/>
            <w:vMerge w:val="restart"/>
            <w:tcBorders>
              <w:top w:val="single" w:sz="4" w:space="0" w:color="auto"/>
            </w:tcBorders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  <w:vAlign w:val="center"/>
          </w:tcPr>
          <w:p w:rsidR="00357E20" w:rsidRPr="00357E20" w:rsidRDefault="00357E20" w:rsidP="00357E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57E2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28 064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57E2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+4,0</w:t>
            </w:r>
          </w:p>
        </w:tc>
      </w:tr>
      <w:tr w:rsidR="00357E20" w:rsidTr="005C63AF">
        <w:trPr>
          <w:cantSplit/>
          <w:trHeight w:val="284"/>
        </w:trPr>
        <w:tc>
          <w:tcPr>
            <w:tcW w:w="904" w:type="dxa"/>
            <w:vMerge/>
            <w:vAlign w:val="center"/>
          </w:tcPr>
          <w:p w:rsidR="00357E20" w:rsidRPr="005969A3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357E20" w:rsidRPr="005969A3" w:rsidRDefault="00357E20" w:rsidP="00357E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984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57E2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+33,3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34 047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57E2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+31,6</w:t>
            </w:r>
          </w:p>
        </w:tc>
      </w:tr>
      <w:tr w:rsidR="00357E20" w:rsidTr="005C63AF">
        <w:trPr>
          <w:cantSplit/>
          <w:trHeight w:val="284"/>
        </w:trPr>
        <w:tc>
          <w:tcPr>
            <w:tcW w:w="904" w:type="dxa"/>
            <w:vMerge/>
            <w:vAlign w:val="center"/>
          </w:tcPr>
          <w:p w:rsidR="00357E20" w:rsidRPr="005969A3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357E20" w:rsidRPr="005969A3" w:rsidRDefault="00357E20" w:rsidP="00357E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57E2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+84,0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100 649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7E20" w:rsidRPr="00357E20" w:rsidRDefault="00357E20" w:rsidP="00357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357E20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57E20" w:rsidRPr="005969A3" w:rsidRDefault="00357E20" w:rsidP="00357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+462,8</w:t>
            </w:r>
          </w:p>
        </w:tc>
      </w:tr>
      <w:tr w:rsidR="00BB6141" w:rsidTr="005C63AF">
        <w:trPr>
          <w:cantSplit/>
          <w:trHeight w:val="284"/>
        </w:trPr>
        <w:tc>
          <w:tcPr>
            <w:tcW w:w="904" w:type="dxa"/>
            <w:vMerge/>
            <w:vAlign w:val="center"/>
          </w:tcPr>
          <w:p w:rsidR="00BB6141" w:rsidRPr="005969A3" w:rsidRDefault="00BB6141" w:rsidP="00BB6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B6141" w:rsidRPr="00BB6141" w:rsidRDefault="00BB6141" w:rsidP="00BB61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B614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B6141" w:rsidRPr="00BB6141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B614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334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141" w:rsidRPr="00BB6141" w:rsidRDefault="00BB6141" w:rsidP="00BB6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BB6141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B6141" w:rsidRPr="00BB6141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B614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-22,0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B6141" w:rsidRPr="00BB6141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B614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11 000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6141" w:rsidRPr="00BB6141" w:rsidRDefault="00BB6141" w:rsidP="00BB6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BB6141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B6141" w:rsidRPr="00BB6141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B614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-54,0</w:t>
            </w:r>
          </w:p>
        </w:tc>
      </w:tr>
      <w:tr w:rsidR="00BB6141" w:rsidTr="005C63AF">
        <w:trPr>
          <w:cantSplit/>
          <w:trHeight w:val="284"/>
        </w:trPr>
        <w:tc>
          <w:tcPr>
            <w:tcW w:w="904" w:type="dxa"/>
            <w:vMerge/>
            <w:vAlign w:val="center"/>
          </w:tcPr>
          <w:p w:rsidR="00BB6141" w:rsidRPr="005969A3" w:rsidRDefault="00BB6141" w:rsidP="00BB6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141" w:rsidRPr="007A2248" w:rsidRDefault="00BB6141" w:rsidP="00BB61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A224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B6141" w:rsidRPr="007A2248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A224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3 027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141" w:rsidRPr="007A2248" w:rsidRDefault="00BB6141" w:rsidP="00BB6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7A2248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B6141" w:rsidRPr="007A2248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A224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B6141" w:rsidRPr="007A2248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A224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173 759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6141" w:rsidRPr="007A2248" w:rsidRDefault="00BB6141" w:rsidP="00BB6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7A2248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B6141" w:rsidRPr="007A2248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A224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+83,6</w:t>
            </w:r>
          </w:p>
        </w:tc>
      </w:tr>
      <w:tr w:rsidR="00BB6141" w:rsidTr="004F14F8">
        <w:trPr>
          <w:cantSplit/>
          <w:trHeight w:val="284"/>
        </w:trPr>
        <w:tc>
          <w:tcPr>
            <w:tcW w:w="904" w:type="dxa"/>
            <w:vMerge w:val="restart"/>
            <w:vAlign w:val="center"/>
          </w:tcPr>
          <w:p w:rsidR="00BB6141" w:rsidRPr="00357E20" w:rsidRDefault="00BB6141" w:rsidP="00BB6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57E20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2017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141" w:rsidRPr="00BB6141" w:rsidRDefault="00BB6141" w:rsidP="00BB61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B614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B6141" w:rsidRPr="00BB6141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B614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477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141" w:rsidRPr="00BB6141" w:rsidRDefault="00BB6141" w:rsidP="00BB6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</w:pPr>
            <w:r w:rsidRPr="00BB6141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B6141" w:rsidRPr="00BB6141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B614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B6141" w:rsidRPr="00BB6141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B614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18 878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6141" w:rsidRPr="00BB6141" w:rsidRDefault="00BB6141" w:rsidP="00BB6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</w:pPr>
            <w:r w:rsidRPr="00BB6141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B6141" w:rsidRPr="00BB6141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B6141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-32,7</w:t>
            </w:r>
          </w:p>
        </w:tc>
      </w:tr>
      <w:tr w:rsidR="00BB6141" w:rsidTr="00357E20">
        <w:trPr>
          <w:cantSplit/>
          <w:trHeight w:val="284"/>
        </w:trPr>
        <w:tc>
          <w:tcPr>
            <w:tcW w:w="904" w:type="dxa"/>
            <w:vMerge/>
            <w:vAlign w:val="center"/>
          </w:tcPr>
          <w:p w:rsidR="00BB6141" w:rsidRDefault="00BB6141" w:rsidP="00BB6141">
            <w:pPr>
              <w:spacing w:after="0" w:line="240" w:lineRule="auto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141" w:rsidRPr="007A2248" w:rsidRDefault="00BB6141" w:rsidP="00BB61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A224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 až květen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B6141" w:rsidRPr="007A2248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A224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141" w:rsidRPr="007A2248" w:rsidRDefault="00BB6141" w:rsidP="00BB6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</w:pPr>
            <w:r w:rsidRPr="007A224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B6141" w:rsidRPr="007A2248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A224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-45,6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B6141" w:rsidRPr="007A2248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A224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44 170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6141" w:rsidRPr="007A2248" w:rsidRDefault="00BB6141" w:rsidP="00BB6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</w:pPr>
            <w:r w:rsidRPr="007A2248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BB6141" w:rsidRPr="007A2248" w:rsidRDefault="00BB6141" w:rsidP="00BB6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A2248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-14,0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023648" w:rsidRDefault="00023648" w:rsidP="00023648">
      <w:pPr>
        <w:autoSpaceDE w:val="0"/>
        <w:autoSpaceDN w:val="0"/>
        <w:adjustRightInd w:val="0"/>
        <w:spacing w:after="0" w:line="240" w:lineRule="auto"/>
        <w:rPr>
          <w:rFonts w:ascii="SourceSansPro-It" w:hAnsi="SourceSansPro-It" w:cs="SourceSansPro-It"/>
          <w:i/>
          <w:iCs/>
          <w:color w:val="000000"/>
          <w:sz w:val="18"/>
          <w:szCs w:val="18"/>
        </w:rPr>
      </w:pPr>
    </w:p>
    <w:p w:rsidR="00D9533F" w:rsidRDefault="00D9533F" w:rsidP="00D9533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E4E1D" w:rsidRDefault="00D9533F" w:rsidP="00D9533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91D8F">
        <w:rPr>
          <w:rFonts w:ascii="Arial" w:hAnsi="Arial" w:cs="Arial"/>
          <w:color w:val="000000" w:themeColor="text1"/>
        </w:rPr>
        <w:t>Z výše uveden</w:t>
      </w:r>
      <w:r w:rsidR="00104D40">
        <w:rPr>
          <w:rFonts w:ascii="Arial" w:hAnsi="Arial" w:cs="Arial"/>
          <w:color w:val="000000" w:themeColor="text1"/>
        </w:rPr>
        <w:t>ých výběrových řízení bylo již</w:t>
      </w:r>
      <w:r w:rsidRPr="00C91D8F">
        <w:rPr>
          <w:rFonts w:ascii="Arial" w:hAnsi="Arial" w:cs="Arial"/>
          <w:color w:val="000000" w:themeColor="text1"/>
        </w:rPr>
        <w:t xml:space="preserve"> ukončeno a zadáno konkrétním </w:t>
      </w:r>
      <w:r w:rsidR="00104D40">
        <w:rPr>
          <w:rFonts w:ascii="Arial" w:hAnsi="Arial" w:cs="Arial"/>
          <w:color w:val="000000" w:themeColor="text1"/>
        </w:rPr>
        <w:t>stavebním firmám 15</w:t>
      </w:r>
      <w:r w:rsidRPr="00C91D8F">
        <w:rPr>
          <w:rFonts w:ascii="Arial" w:hAnsi="Arial" w:cs="Arial"/>
          <w:color w:val="000000" w:themeColor="text1"/>
        </w:rPr>
        <w:t xml:space="preserve"> procent, c</w:t>
      </w:r>
      <w:r>
        <w:rPr>
          <w:rFonts w:ascii="Arial" w:hAnsi="Arial" w:cs="Arial"/>
          <w:color w:val="000000" w:themeColor="text1"/>
        </w:rPr>
        <w:t xml:space="preserve">ož představuje </w:t>
      </w:r>
      <w:r w:rsidR="00104D40">
        <w:rPr>
          <w:rFonts w:ascii="Arial" w:hAnsi="Arial" w:cs="Arial"/>
          <w:color w:val="000000" w:themeColor="text1"/>
        </w:rPr>
        <w:t>7</w:t>
      </w:r>
      <w:r w:rsidR="00724D6B">
        <w:rPr>
          <w:rFonts w:ascii="Arial" w:hAnsi="Arial" w:cs="Arial"/>
          <w:color w:val="000000" w:themeColor="text1"/>
        </w:rPr>
        <w:t xml:space="preserve"> procent</w:t>
      </w:r>
      <w:r w:rsidRPr="00C91D8F">
        <w:rPr>
          <w:rFonts w:ascii="Arial" w:hAnsi="Arial" w:cs="Arial"/>
          <w:color w:val="000000" w:themeColor="text1"/>
        </w:rPr>
        <w:t xml:space="preserve"> z celkového objemu</w:t>
      </w:r>
      <w:r w:rsidR="00104D40">
        <w:rPr>
          <w:rFonts w:ascii="Arial" w:hAnsi="Arial" w:cs="Arial"/>
          <w:color w:val="000000" w:themeColor="text1"/>
        </w:rPr>
        <w:t xml:space="preserve"> ve vypsané hodnotě 2,9</w:t>
      </w:r>
      <w:r>
        <w:rPr>
          <w:rFonts w:ascii="Arial" w:hAnsi="Arial" w:cs="Arial"/>
          <w:color w:val="000000" w:themeColor="text1"/>
        </w:rPr>
        <w:t xml:space="preserve"> miliardy</w:t>
      </w:r>
      <w:r w:rsidRPr="00C91D8F">
        <w:rPr>
          <w:rFonts w:ascii="Arial" w:hAnsi="Arial" w:cs="Arial"/>
          <w:color w:val="000000" w:themeColor="text1"/>
        </w:rPr>
        <w:t xml:space="preserve"> korun. Reálně však byl</w:t>
      </w:r>
      <w:r w:rsidR="00A3186C">
        <w:rPr>
          <w:rFonts w:ascii="Arial" w:hAnsi="Arial" w:cs="Arial"/>
          <w:color w:val="000000" w:themeColor="text1"/>
        </w:rPr>
        <w:t>y tyto zakázky soutěženy za 2,2</w:t>
      </w:r>
      <w:r w:rsidR="0023054C">
        <w:rPr>
          <w:rFonts w:ascii="Arial" w:hAnsi="Arial" w:cs="Arial"/>
          <w:color w:val="000000" w:themeColor="text1"/>
        </w:rPr>
        <w:t xml:space="preserve"> miliardy korun, což je </w:t>
      </w:r>
      <w:r w:rsidR="00724D6B">
        <w:rPr>
          <w:rFonts w:ascii="Arial" w:hAnsi="Arial" w:cs="Arial"/>
          <w:color w:val="000000" w:themeColor="text1"/>
        </w:rPr>
        <w:t>přibližně</w:t>
      </w:r>
      <w:r w:rsidR="0023054C">
        <w:rPr>
          <w:rFonts w:ascii="Arial" w:hAnsi="Arial" w:cs="Arial"/>
          <w:color w:val="000000" w:themeColor="text1"/>
        </w:rPr>
        <w:t xml:space="preserve"> </w:t>
      </w:r>
      <w:r w:rsidR="00724D6B">
        <w:rPr>
          <w:rFonts w:ascii="Arial" w:hAnsi="Arial" w:cs="Arial"/>
          <w:color w:val="000000" w:themeColor="text1"/>
        </w:rPr>
        <w:t>o</w:t>
      </w:r>
      <w:r w:rsidR="00A3186C">
        <w:rPr>
          <w:rFonts w:ascii="Arial" w:hAnsi="Arial" w:cs="Arial"/>
          <w:color w:val="000000" w:themeColor="text1"/>
        </w:rPr>
        <w:t xml:space="preserve"> čtvrtinu</w:t>
      </w:r>
      <w:r w:rsidR="00724D6B">
        <w:rPr>
          <w:rFonts w:ascii="Arial" w:hAnsi="Arial" w:cs="Arial"/>
          <w:color w:val="000000" w:themeColor="text1"/>
        </w:rPr>
        <w:t xml:space="preserve"> </w:t>
      </w:r>
      <w:r w:rsidR="00A3186C">
        <w:rPr>
          <w:rFonts w:ascii="Arial" w:hAnsi="Arial" w:cs="Arial"/>
          <w:color w:val="000000" w:themeColor="text1"/>
        </w:rPr>
        <w:t>(</w:t>
      </w:r>
      <w:r w:rsidR="00724D6B">
        <w:rPr>
          <w:rFonts w:ascii="Arial" w:hAnsi="Arial" w:cs="Arial"/>
          <w:color w:val="000000" w:themeColor="text1"/>
        </w:rPr>
        <w:t>25</w:t>
      </w:r>
      <w:r w:rsidR="0023054C">
        <w:rPr>
          <w:rFonts w:ascii="Arial" w:hAnsi="Arial" w:cs="Arial"/>
          <w:color w:val="000000" w:themeColor="text1"/>
        </w:rPr>
        <w:t xml:space="preserve"> procent</w:t>
      </w:r>
      <w:r w:rsidR="00A3186C">
        <w:rPr>
          <w:rFonts w:ascii="Arial" w:hAnsi="Arial" w:cs="Arial"/>
          <w:color w:val="000000" w:themeColor="text1"/>
        </w:rPr>
        <w:t>)</w:t>
      </w:r>
      <w:r w:rsidR="0023054C">
        <w:rPr>
          <w:rFonts w:ascii="Arial" w:hAnsi="Arial" w:cs="Arial"/>
          <w:color w:val="000000" w:themeColor="text1"/>
        </w:rPr>
        <w:t xml:space="preserve"> nižší hodnota, než jaká byla při oznámení výběrového řízení.</w:t>
      </w:r>
      <w:r>
        <w:rPr>
          <w:rFonts w:ascii="Arial" w:hAnsi="Arial" w:cs="Arial"/>
          <w:color w:val="000000" w:themeColor="text1"/>
        </w:rPr>
        <w:t xml:space="preserve"> </w:t>
      </w:r>
      <w:r w:rsidRPr="00C91D8F">
        <w:rPr>
          <w:rFonts w:ascii="Arial" w:hAnsi="Arial" w:cs="Arial"/>
          <w:color w:val="000000" w:themeColor="text1"/>
        </w:rPr>
        <w:t>Po odečten</w:t>
      </w:r>
      <w:r>
        <w:rPr>
          <w:rFonts w:ascii="Arial" w:hAnsi="Arial" w:cs="Arial"/>
          <w:color w:val="000000" w:themeColor="text1"/>
        </w:rPr>
        <w:t xml:space="preserve">í zadaných a zrušených zakázek </w:t>
      </w:r>
      <w:r w:rsidRPr="00C91D8F">
        <w:rPr>
          <w:rFonts w:ascii="Arial" w:hAnsi="Arial" w:cs="Arial"/>
          <w:color w:val="000000" w:themeColor="text1"/>
        </w:rPr>
        <w:t>zbývají</w:t>
      </w:r>
      <w:r>
        <w:rPr>
          <w:rFonts w:ascii="Arial" w:hAnsi="Arial" w:cs="Arial"/>
          <w:color w:val="000000" w:themeColor="text1"/>
        </w:rPr>
        <w:t xml:space="preserve"> </w:t>
      </w:r>
      <w:r w:rsidRPr="00C91D8F">
        <w:rPr>
          <w:rFonts w:ascii="Arial" w:hAnsi="Arial" w:cs="Arial"/>
          <w:color w:val="000000" w:themeColor="text1"/>
        </w:rPr>
        <w:t xml:space="preserve">v systému stále ještě soutěže v hodnotě </w:t>
      </w:r>
      <w:r w:rsidR="00A3186C">
        <w:rPr>
          <w:rFonts w:ascii="Arial" w:hAnsi="Arial" w:cs="Arial"/>
          <w:color w:val="000000" w:themeColor="text1"/>
        </w:rPr>
        <w:t>39,5</w:t>
      </w:r>
      <w:r w:rsidR="0023054C">
        <w:rPr>
          <w:rFonts w:ascii="Arial" w:hAnsi="Arial" w:cs="Arial"/>
          <w:color w:val="000000" w:themeColor="text1"/>
        </w:rPr>
        <w:t xml:space="preserve"> miliardy</w:t>
      </w:r>
      <w:r w:rsidRPr="00C91D8F">
        <w:rPr>
          <w:rFonts w:ascii="Arial" w:hAnsi="Arial" w:cs="Arial"/>
          <w:color w:val="000000" w:themeColor="text1"/>
        </w:rPr>
        <w:t xml:space="preserve"> korun.</w:t>
      </w:r>
      <w:r w:rsidR="00154558">
        <w:rPr>
          <w:rFonts w:ascii="Arial" w:hAnsi="Arial" w:cs="Arial"/>
          <w:color w:val="000000" w:themeColor="text1"/>
        </w:rPr>
        <w:t xml:space="preserve"> </w:t>
      </w:r>
      <w:r w:rsidR="00154558">
        <w:rPr>
          <w:rFonts w:ascii="Arial" w:hAnsi="Arial" w:cs="Arial"/>
          <w:i/>
          <w:color w:val="000000" w:themeColor="text1"/>
        </w:rPr>
        <w:t xml:space="preserve">„Propad v objemu vyhlášených výběrových řízení ještě více vyhrocuje cenový boj a stavební firmy se v něm doslova zoufale snaží získat něco i z toho malého počtu vypsaných </w:t>
      </w:r>
      <w:r w:rsidR="00154558">
        <w:rPr>
          <w:rFonts w:ascii="Arial" w:hAnsi="Arial" w:cs="Arial"/>
          <w:i/>
          <w:color w:val="000000" w:themeColor="text1"/>
        </w:rPr>
        <w:lastRenderedPageBreak/>
        <w:t xml:space="preserve">zakázek. Tato situace může negativně ovlivnit investiční i personální politiku firem,“ </w:t>
      </w:r>
      <w:r w:rsidR="00154558">
        <w:rPr>
          <w:rFonts w:ascii="Arial" w:hAnsi="Arial" w:cs="Arial"/>
        </w:rPr>
        <w:t xml:space="preserve">říká </w:t>
      </w:r>
      <w:r w:rsidR="00154558">
        <w:rPr>
          <w:rFonts w:ascii="Arial" w:hAnsi="Arial" w:cs="Arial"/>
          <w:b/>
        </w:rPr>
        <w:t>Tomáš Koranda, člen představenstva, HOCHTIEF CZ</w:t>
      </w:r>
      <w:r w:rsidR="00154558" w:rsidRPr="00154558">
        <w:rPr>
          <w:rFonts w:ascii="Arial" w:hAnsi="Arial" w:cs="Arial"/>
          <w:bCs/>
        </w:rPr>
        <w:t>.</w:t>
      </w:r>
    </w:p>
    <w:p w:rsidR="00A017F0" w:rsidRDefault="00A017F0" w:rsidP="00D9533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A017F0" w:rsidRDefault="00A017F0" w:rsidP="00A017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017F0">
        <w:rPr>
          <w:rFonts w:ascii="Arial" w:hAnsi="Arial" w:cs="Arial"/>
          <w:color w:val="000000" w:themeColor="text1"/>
        </w:rPr>
        <w:t>Konkrétním dodavatelům bylo v období od ledna do</w:t>
      </w:r>
      <w:r>
        <w:rPr>
          <w:rFonts w:ascii="Arial" w:hAnsi="Arial" w:cs="Arial"/>
          <w:color w:val="000000" w:themeColor="text1"/>
        </w:rPr>
        <w:t xml:space="preserve"> května roku 2017 zadáno 1933 stavebních zakázek v celkové hodnotě 43,9</w:t>
      </w:r>
      <w:r w:rsidRPr="00A017F0">
        <w:rPr>
          <w:rFonts w:ascii="Arial" w:hAnsi="Arial" w:cs="Arial"/>
          <w:color w:val="000000" w:themeColor="text1"/>
        </w:rPr>
        <w:t xml:space="preserve"> miliardy korun. T</w:t>
      </w:r>
      <w:r>
        <w:rPr>
          <w:rFonts w:ascii="Arial" w:hAnsi="Arial" w:cs="Arial"/>
          <w:color w:val="000000" w:themeColor="text1"/>
        </w:rPr>
        <w:t xml:space="preserve">o v obou sledovaných kritériích </w:t>
      </w:r>
      <w:r w:rsidRPr="00A017F0">
        <w:rPr>
          <w:rFonts w:ascii="Arial" w:hAnsi="Arial" w:cs="Arial"/>
          <w:color w:val="000000" w:themeColor="text1"/>
        </w:rPr>
        <w:t>představuje v mez</w:t>
      </w:r>
      <w:r>
        <w:rPr>
          <w:rFonts w:ascii="Arial" w:hAnsi="Arial" w:cs="Arial"/>
          <w:color w:val="000000" w:themeColor="text1"/>
        </w:rPr>
        <w:t>iročním srovnání významný nárůst</w:t>
      </w:r>
      <w:r w:rsidRPr="00A017F0">
        <w:rPr>
          <w:rFonts w:ascii="Arial" w:hAnsi="Arial" w:cs="Arial"/>
          <w:color w:val="000000" w:themeColor="text1"/>
        </w:rPr>
        <w:t xml:space="preserve"> o </w:t>
      </w:r>
      <w:r>
        <w:rPr>
          <w:rFonts w:ascii="Arial" w:hAnsi="Arial" w:cs="Arial"/>
          <w:color w:val="000000" w:themeColor="text1"/>
        </w:rPr>
        <w:t xml:space="preserve">31,3, respektive 62,6 procenta. </w:t>
      </w:r>
      <w:r w:rsidR="00722394">
        <w:rPr>
          <w:rFonts w:ascii="Arial" w:hAnsi="Arial" w:cs="Arial"/>
          <w:color w:val="000000" w:themeColor="text1"/>
        </w:rPr>
        <w:t>Toto</w:t>
      </w:r>
      <w:r>
        <w:rPr>
          <w:rFonts w:ascii="Arial" w:hAnsi="Arial" w:cs="Arial"/>
          <w:color w:val="000000" w:themeColor="text1"/>
        </w:rPr>
        <w:t xml:space="preserve"> meziroční srovnání je </w:t>
      </w:r>
      <w:r w:rsidR="00722394">
        <w:rPr>
          <w:rFonts w:ascii="Arial" w:hAnsi="Arial" w:cs="Arial"/>
          <w:color w:val="000000" w:themeColor="text1"/>
        </w:rPr>
        <w:t xml:space="preserve">však </w:t>
      </w:r>
      <w:r>
        <w:rPr>
          <w:rFonts w:ascii="Arial" w:hAnsi="Arial" w:cs="Arial"/>
          <w:color w:val="000000" w:themeColor="text1"/>
        </w:rPr>
        <w:t>silně ovlivněno nízkou srovnávací základnou minulého roku</w:t>
      </w:r>
      <w:r w:rsidR="006E4185">
        <w:rPr>
          <w:rFonts w:ascii="Arial" w:hAnsi="Arial" w:cs="Arial"/>
          <w:color w:val="000000" w:themeColor="text1"/>
        </w:rPr>
        <w:t>, která pro objem činí 27 miliard korun, na rozdíl od stejného období roku 2015, kdy hodnota ukončených soutěží dosahovala 41,9 miliard</w:t>
      </w:r>
      <w:r w:rsidR="00FE0EA8">
        <w:rPr>
          <w:rFonts w:ascii="Arial" w:hAnsi="Arial" w:cs="Arial"/>
          <w:color w:val="000000" w:themeColor="text1"/>
        </w:rPr>
        <w:t>y</w:t>
      </w:r>
      <w:r w:rsidR="006E4185">
        <w:rPr>
          <w:rFonts w:ascii="Arial" w:hAnsi="Arial" w:cs="Arial"/>
          <w:color w:val="000000" w:themeColor="text1"/>
        </w:rPr>
        <w:t xml:space="preserve"> korun. </w:t>
      </w:r>
      <w:r w:rsidRPr="003C69F9">
        <w:rPr>
          <w:rFonts w:ascii="Arial" w:hAnsi="Arial" w:cs="Arial"/>
        </w:rPr>
        <w:t xml:space="preserve">Některá zadávací řízení stále </w:t>
      </w:r>
      <w:r>
        <w:rPr>
          <w:rFonts w:ascii="Arial" w:hAnsi="Arial" w:cs="Arial"/>
        </w:rPr>
        <w:t>probíhají</w:t>
      </w:r>
      <w:r w:rsidRPr="003C69F9">
        <w:rPr>
          <w:rFonts w:ascii="Arial" w:hAnsi="Arial" w:cs="Arial"/>
        </w:rPr>
        <w:t>, a proto lze očekávat, že v dalších měsících dojde ještě k aktualizaci a upřesnění dat.</w:t>
      </w:r>
    </w:p>
    <w:p w:rsidR="00413FF1" w:rsidRDefault="00413FF1" w:rsidP="00A017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13FF1" w:rsidRPr="00891687" w:rsidRDefault="00413FF1" w:rsidP="00413F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13FF1">
        <w:rPr>
          <w:rFonts w:ascii="Arial" w:hAnsi="Arial" w:cs="Arial"/>
          <w:i/>
          <w:color w:val="000000" w:themeColor="text1"/>
        </w:rPr>
        <w:t>„Myslím, že realita posledních měsíců jasně ukázala, že EIA není brzdou českého stavebnictví. A to i přesto, že se jedná asi o nejskloňovanější zkratku spojovanou právě s povolovacím procesem. Aplikace nové legislativy z roku 2015 odhalila řadu jiných klíčových faktorů, které stojí za zdržením velkých staveb. Navíc</w:t>
      </w:r>
      <w:r w:rsidR="00FE0EA8">
        <w:rPr>
          <w:rFonts w:ascii="Arial" w:hAnsi="Arial" w:cs="Arial"/>
          <w:i/>
          <w:color w:val="000000" w:themeColor="text1"/>
        </w:rPr>
        <w:t>,</w:t>
      </w:r>
      <w:r w:rsidRPr="00413FF1">
        <w:rPr>
          <w:rFonts w:ascii="Arial" w:hAnsi="Arial" w:cs="Arial"/>
          <w:i/>
          <w:color w:val="000000" w:themeColor="text1"/>
        </w:rPr>
        <w:t xml:space="preserve"> v </w:t>
      </w:r>
      <w:r w:rsidR="00FE0EA8">
        <w:rPr>
          <w:rFonts w:ascii="Arial" w:hAnsi="Arial" w:cs="Arial"/>
          <w:i/>
          <w:color w:val="000000" w:themeColor="text1"/>
        </w:rPr>
        <w:t>P</w:t>
      </w:r>
      <w:r w:rsidRPr="00413FF1">
        <w:rPr>
          <w:rFonts w:ascii="Arial" w:hAnsi="Arial" w:cs="Arial"/>
          <w:i/>
          <w:color w:val="000000" w:themeColor="text1"/>
        </w:rPr>
        <w:t>oslanecké sněmovně v těchto dnech prošla naše novela zákona EIA. Ta snižuje počet záměrů, které procesem EIA budou muset projít, zkracuje délku samotného procesu posuzování vlivů záměrů na životní prostředí, a to na standard srovnatelný se západoevropskými státy. Troufám si říct, že novela zákona EIA</w:t>
      </w:r>
      <w:r w:rsidR="00FE0EA8">
        <w:rPr>
          <w:rFonts w:ascii="Arial" w:hAnsi="Arial" w:cs="Arial"/>
          <w:i/>
          <w:color w:val="000000" w:themeColor="text1"/>
        </w:rPr>
        <w:t>,</w:t>
      </w:r>
      <w:r w:rsidRPr="00413FF1">
        <w:rPr>
          <w:rFonts w:ascii="Arial" w:hAnsi="Arial" w:cs="Arial"/>
          <w:i/>
          <w:color w:val="000000" w:themeColor="text1"/>
        </w:rPr>
        <w:t xml:space="preserve"> spolu s novelou stavebního zákona, který zavádí koordinované řízení, nepochybně výrazně zkrátí a zrychlí přípravu a realizaci projektů v ČR,“</w:t>
      </w:r>
      <w:r>
        <w:rPr>
          <w:rFonts w:ascii="Arial" w:hAnsi="Arial" w:cs="Arial"/>
          <w:color w:val="000000" w:themeColor="text1"/>
        </w:rPr>
        <w:t xml:space="preserve"> tvrdí </w:t>
      </w:r>
      <w:r w:rsidRPr="00413FF1">
        <w:rPr>
          <w:rFonts w:ascii="Arial" w:hAnsi="Arial" w:cs="Arial"/>
          <w:b/>
          <w:color w:val="000000" w:themeColor="text1"/>
        </w:rPr>
        <w:t>Richard Brabec, ministr životního prostředí ČR</w:t>
      </w:r>
      <w:r>
        <w:rPr>
          <w:rFonts w:ascii="Arial" w:hAnsi="Arial" w:cs="Arial"/>
          <w:b/>
          <w:color w:val="000000" w:themeColor="text1"/>
        </w:rPr>
        <w:t>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5C63A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2016 až 2017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743"/>
        <w:gridCol w:w="1064"/>
        <w:gridCol w:w="1048"/>
        <w:gridCol w:w="1062"/>
        <w:gridCol w:w="1069"/>
        <w:gridCol w:w="1043"/>
        <w:gridCol w:w="1065"/>
      </w:tblGrid>
      <w:tr w:rsidR="00B265DF" w:rsidTr="00705DAB">
        <w:trPr>
          <w:cantSplit/>
          <w:trHeight w:val="284"/>
        </w:trPr>
        <w:tc>
          <w:tcPr>
            <w:tcW w:w="264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Stavební zakázky</w:t>
            </w:r>
          </w:p>
        </w:tc>
        <w:tc>
          <w:tcPr>
            <w:tcW w:w="3174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177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B265DF" w:rsidTr="00705DAB">
        <w:trPr>
          <w:cantSplit/>
          <w:trHeight w:val="284"/>
        </w:trPr>
        <w:tc>
          <w:tcPr>
            <w:tcW w:w="264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705DAB" w:rsidTr="00705DAB">
        <w:trPr>
          <w:cantSplit/>
          <w:trHeight w:val="284"/>
        </w:trPr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</w:tcPr>
          <w:p w:rsidR="00705DAB" w:rsidRPr="00B265DF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  <w:vAlign w:val="center"/>
          </w:tcPr>
          <w:p w:rsidR="00705DAB" w:rsidRPr="00705DAB" w:rsidRDefault="00705DAB" w:rsidP="00705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5DAB" w:rsidRPr="00705DAB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705DAB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-36,2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13 015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705DAB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-39,0</w:t>
            </w:r>
          </w:p>
        </w:tc>
      </w:tr>
      <w:tr w:rsidR="00705DAB" w:rsidTr="00705DAB">
        <w:trPr>
          <w:cantSplit/>
          <w:trHeight w:val="284"/>
        </w:trPr>
        <w:tc>
          <w:tcPr>
            <w:tcW w:w="903" w:type="dxa"/>
            <w:vMerge/>
            <w:vAlign w:val="center"/>
          </w:tcPr>
          <w:p w:rsidR="00705DAB" w:rsidRPr="00B265DF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705DAB" w:rsidRPr="00705DAB" w:rsidRDefault="00705DAB" w:rsidP="00705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1 208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DAB" w:rsidRPr="00705DAB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705DAB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-23,7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20 811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705DAB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-40,1</w:t>
            </w:r>
          </w:p>
        </w:tc>
      </w:tr>
      <w:tr w:rsidR="00705DAB" w:rsidTr="00705DAB">
        <w:trPr>
          <w:cantSplit/>
          <w:trHeight w:val="284"/>
        </w:trPr>
        <w:tc>
          <w:tcPr>
            <w:tcW w:w="903" w:type="dxa"/>
            <w:vMerge/>
            <w:vAlign w:val="center"/>
          </w:tcPr>
          <w:p w:rsidR="00705DAB" w:rsidRPr="00B265DF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705DAB" w:rsidRPr="00705DAB" w:rsidRDefault="00705DAB" w:rsidP="00705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1 389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DAB" w:rsidRPr="00705DAB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705DAB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-26,5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25 455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705DAB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5DAB" w:rsidRPr="00705DAB" w:rsidRDefault="00705DAB" w:rsidP="00705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5DA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-31,0</w:t>
            </w:r>
          </w:p>
        </w:tc>
      </w:tr>
      <w:tr w:rsidR="004826CD" w:rsidTr="00705DAB">
        <w:trPr>
          <w:cantSplit/>
          <w:trHeight w:val="284"/>
        </w:trPr>
        <w:tc>
          <w:tcPr>
            <w:tcW w:w="903" w:type="dxa"/>
            <w:vMerge/>
            <w:vAlign w:val="center"/>
          </w:tcPr>
          <w:p w:rsidR="004826CD" w:rsidRPr="00B265DF" w:rsidRDefault="004826CD" w:rsidP="0048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vAlign w:val="center"/>
          </w:tcPr>
          <w:p w:rsidR="004826CD" w:rsidRPr="004826CD" w:rsidRDefault="004826CD" w:rsidP="00482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979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6CD" w:rsidRPr="004826CD" w:rsidRDefault="004826CD" w:rsidP="004826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4826CD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-34,6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18 902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</w:pPr>
            <w:r w:rsidRPr="004826CD">
              <w:rPr>
                <w:rFonts w:ascii="Arial" w:eastAsia="Times New Roman" w:hAnsi="Arial" w:cs="Times New Roman"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-13,2</w:t>
            </w:r>
          </w:p>
        </w:tc>
      </w:tr>
      <w:tr w:rsidR="004826CD" w:rsidTr="00705DAB">
        <w:trPr>
          <w:cantSplit/>
          <w:trHeight w:val="284"/>
        </w:trPr>
        <w:tc>
          <w:tcPr>
            <w:tcW w:w="903" w:type="dxa"/>
            <w:vMerge/>
            <w:vAlign w:val="center"/>
          </w:tcPr>
          <w:p w:rsidR="004826CD" w:rsidRPr="00B265DF" w:rsidRDefault="004826CD" w:rsidP="0048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6CD" w:rsidRPr="004826CD" w:rsidRDefault="004826CD" w:rsidP="004826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4 269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6CD" w:rsidRPr="004826CD" w:rsidRDefault="004826CD" w:rsidP="004826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</w:pPr>
            <w:r w:rsidRPr="004826CD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-29,5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78 183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</w:pPr>
            <w:r w:rsidRPr="004826CD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lang w:eastAsia="cs-CZ"/>
              </w:rPr>
              <w:sym w:font="Wingdings 3" w:char="F0C8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-31,9</w:t>
            </w:r>
          </w:p>
        </w:tc>
      </w:tr>
      <w:tr w:rsidR="004826CD" w:rsidTr="00705DAB">
        <w:trPr>
          <w:cantSplit/>
          <w:trHeight w:val="284"/>
        </w:trPr>
        <w:tc>
          <w:tcPr>
            <w:tcW w:w="903" w:type="dxa"/>
            <w:vMerge w:val="restart"/>
            <w:vAlign w:val="center"/>
          </w:tcPr>
          <w:p w:rsidR="004826CD" w:rsidRDefault="004826CD" w:rsidP="0048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2017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6CD" w:rsidRPr="004826CD" w:rsidRDefault="004826CD" w:rsidP="00482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1 196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6CD" w:rsidRPr="004826CD" w:rsidRDefault="004826CD" w:rsidP="004826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4826CD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+72,6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24 865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4826CD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+91,1</w:t>
            </w:r>
          </w:p>
        </w:tc>
      </w:tr>
      <w:tr w:rsidR="004826CD" w:rsidTr="00705DAB">
        <w:trPr>
          <w:cantSplit/>
          <w:trHeight w:val="284"/>
        </w:trPr>
        <w:tc>
          <w:tcPr>
            <w:tcW w:w="903" w:type="dxa"/>
            <w:vMerge/>
            <w:vAlign w:val="center"/>
          </w:tcPr>
          <w:p w:rsidR="004826CD" w:rsidRPr="00B265DF" w:rsidRDefault="004826CD" w:rsidP="00482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6CD" w:rsidRPr="004826CD" w:rsidRDefault="004826CD" w:rsidP="004826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 až květen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1 933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6CD" w:rsidRPr="004826CD" w:rsidRDefault="004826CD" w:rsidP="004826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4826CD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+31,3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43 874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</w:pPr>
            <w:r w:rsidRPr="004826CD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lang w:eastAsia="cs-CZ"/>
              </w:rPr>
              <w:sym w:font="Wingdings 3" w:char="F0C7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826CD" w:rsidRPr="004826CD" w:rsidRDefault="004826CD" w:rsidP="00482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4826C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+62,6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C233BB" w:rsidRDefault="00C233BB" w:rsidP="0062675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E014F3" w:rsidRPr="00E014F3" w:rsidRDefault="00E014F3" w:rsidP="00E014F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Partnery </w:t>
      </w:r>
      <w:r w:rsidR="00F90023">
        <w:rPr>
          <w:rFonts w:ascii="Arial" w:hAnsi="Arial" w:cs="Arial"/>
          <w:color w:val="000000" w:themeColor="text1"/>
        </w:rPr>
        <w:t xml:space="preserve">analýz </w:t>
      </w:r>
      <w:r>
        <w:rPr>
          <w:rFonts w:ascii="Arial" w:hAnsi="Arial" w:cs="Arial"/>
          <w:color w:val="000000" w:themeColor="text1"/>
        </w:rPr>
        <w:t>veřejných zakázek jsou firmy KPMG Česká republika, Hochtief CZ</w:t>
      </w:r>
      <w:r w:rsidR="00FE0EA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a.s., Skanska</w:t>
      </w:r>
      <w:r w:rsidR="00FE0EA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a.s., </w:t>
      </w:r>
      <w:r w:rsidRPr="009D67C6">
        <w:rPr>
          <w:rFonts w:ascii="Arial" w:hAnsi="Arial" w:cs="Arial"/>
          <w:color w:val="000000" w:themeColor="text1"/>
          <w:szCs w:val="22"/>
          <w:lang w:bidi="ar-SA"/>
        </w:rPr>
        <w:t>Saint-Gobain</w:t>
      </w:r>
      <w:r>
        <w:rPr>
          <w:rFonts w:ascii="Arial" w:hAnsi="Arial" w:cs="Arial"/>
          <w:color w:val="000000" w:themeColor="text1"/>
        </w:rPr>
        <w:t xml:space="preserve"> CZ, a.s., </w:t>
      </w:r>
      <w:r w:rsidRPr="00537716">
        <w:rPr>
          <w:rFonts w:ascii="Arial" w:hAnsi="Arial" w:cs="Arial"/>
          <w:color w:val="000000" w:themeColor="text1"/>
        </w:rPr>
        <w:t>CEMEX Czech Republic, s.r.o.</w:t>
      </w:r>
      <w:r>
        <w:rPr>
          <w:rFonts w:ascii="Arial" w:hAnsi="Arial" w:cs="Arial"/>
          <w:color w:val="000000" w:themeColor="text1"/>
        </w:rPr>
        <w:t>, Infram</w:t>
      </w:r>
      <w:r w:rsidR="00FE0EA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a.s., Metrostav, a.s., Pragoprojekt, a.s., Schindler CZ, a.s., SUDOP </w:t>
      </w:r>
      <w:r w:rsidR="00F90023">
        <w:rPr>
          <w:rFonts w:ascii="Arial" w:hAnsi="Arial" w:cs="Arial"/>
          <w:color w:val="000000" w:themeColor="text1"/>
        </w:rPr>
        <w:t>Group</w:t>
      </w:r>
      <w:r w:rsidR="00FE0EA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a.s., PUDIS a.s., HSF System</w:t>
      </w:r>
      <w:r w:rsidR="00FE0EA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a.s., </w:t>
      </w:r>
      <w:r>
        <w:rPr>
          <w:rFonts w:ascii="Arial" w:hAnsi="Arial" w:cs="Arial"/>
          <w:color w:val="000000" w:themeColor="text1"/>
        </w:rPr>
        <w:lastRenderedPageBreak/>
        <w:t>KLEMENT</w:t>
      </w:r>
      <w:r w:rsidR="00FE0EA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a.s., HBH Projekt, </w:t>
      </w:r>
      <w:r w:rsidR="00FE0EA8">
        <w:rPr>
          <w:rFonts w:ascii="Arial" w:hAnsi="Arial" w:cs="Arial"/>
          <w:color w:val="000000" w:themeColor="text1"/>
        </w:rPr>
        <w:t>spol. s r.o.</w:t>
      </w:r>
    </w:p>
    <w:p w:rsidR="00E014F3" w:rsidRDefault="00E014F3" w:rsidP="0062675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DC4B47" w:rsidP="0062675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8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C968F2" w:rsidRPr="0060750F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60750F">
        <w:rPr>
          <w:rFonts w:ascii="Arial" w:hAnsi="Arial" w:cs="Arial"/>
          <w:b/>
          <w:color w:val="000000" w:themeColor="text1"/>
        </w:rPr>
        <w:t>Kontakt pro média:</w:t>
      </w:r>
    </w:p>
    <w:p w:rsidR="00C968F2" w:rsidRPr="00E10AC5" w:rsidRDefault="00C968F2" w:rsidP="00C45298">
      <w:pPr>
        <w:spacing w:after="0" w:line="240" w:lineRule="auto"/>
        <w:rPr>
          <w:rFonts w:ascii="Arial" w:hAnsi="Arial" w:cs="Arial"/>
          <w:color w:val="000000" w:themeColor="text1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="00E10AC5" w:rsidRPr="000730D1">
        <w:rPr>
          <w:rFonts w:ascii="Arial" w:hAnsi="Arial" w:cs="Arial"/>
          <w:color w:val="000000"/>
        </w:rPr>
        <w:t>Ing. Jiří Vacek, Ph.D., MIM</w:t>
      </w:r>
      <w:r w:rsidR="00E10AC5" w:rsidRPr="000730D1">
        <w:rPr>
          <w:rFonts w:ascii="Arial" w:hAnsi="Arial" w:cs="Arial"/>
          <w:color w:val="000000"/>
        </w:rPr>
        <w:br/>
        <w:t>Ředitel společnosti</w:t>
      </w:r>
      <w:r w:rsidR="00E10AC5" w:rsidRPr="000730D1">
        <w:rPr>
          <w:rFonts w:ascii="Arial" w:hAnsi="Arial" w:cs="Arial"/>
          <w:color w:val="000000"/>
        </w:rPr>
        <w:br/>
        <w:t>CEEC Research s.r.o.</w:t>
      </w:r>
      <w:r w:rsidR="00E10AC5" w:rsidRPr="000730D1">
        <w:rPr>
          <w:rFonts w:ascii="Arial" w:hAnsi="Arial" w:cs="Arial"/>
          <w:color w:val="000000"/>
        </w:rPr>
        <w:br/>
        <w:t>E-mail: vacek@ceec.eu</w:t>
      </w:r>
      <w:r w:rsidR="00E10AC5" w:rsidRPr="000730D1">
        <w:rPr>
          <w:rFonts w:ascii="Arial" w:hAnsi="Arial" w:cs="Arial"/>
          <w:color w:val="000000"/>
        </w:rPr>
        <w:br/>
        <w:t>Tel.: +420 774 325</w:t>
      </w:r>
      <w:r w:rsidR="00E10AC5">
        <w:rPr>
          <w:rFonts w:ascii="Arial" w:hAnsi="Arial" w:cs="Arial"/>
          <w:color w:val="000000"/>
        </w:rPr>
        <w:t> </w:t>
      </w:r>
      <w:r w:rsidR="00E10AC5" w:rsidRPr="000730D1">
        <w:rPr>
          <w:rFonts w:ascii="Arial" w:hAnsi="Arial" w:cs="Arial"/>
          <w:color w:val="000000"/>
        </w:rPr>
        <w:t>111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</w:t>
      </w:r>
      <w:r w:rsidR="00FD74F5">
        <w:rPr>
          <w:rFonts w:ascii="Arial" w:hAnsi="Arial" w:cs="Arial"/>
          <w:i/>
          <w:color w:val="000000" w:themeColor="text1"/>
          <w:sz w:val="16"/>
          <w:szCs w:val="16"/>
        </w:rPr>
        <w:t>staviteli státu vybraných zemí.</w:t>
      </w:r>
    </w:p>
    <w:sectPr w:rsidR="005F0F7B" w:rsidRPr="002603EC" w:rsidSect="00CB19AF">
      <w:head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ED" w:rsidRDefault="00550EED" w:rsidP="00A76E50">
      <w:pPr>
        <w:spacing w:after="0" w:line="240" w:lineRule="auto"/>
      </w:pPr>
      <w:r>
        <w:separator/>
      </w:r>
    </w:p>
  </w:endnote>
  <w:endnote w:type="continuationSeparator" w:id="0">
    <w:p w:rsidR="00550EED" w:rsidRDefault="00550EED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ourceSans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ED" w:rsidRDefault="00550EED" w:rsidP="00A76E50">
      <w:pPr>
        <w:spacing w:after="0" w:line="240" w:lineRule="auto"/>
      </w:pPr>
      <w:r>
        <w:separator/>
      </w:r>
    </w:p>
  </w:footnote>
  <w:footnote w:type="continuationSeparator" w:id="0">
    <w:p w:rsidR="00550EED" w:rsidRDefault="00550EED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1033"/>
    <w:multiLevelType w:val="hybridMultilevel"/>
    <w:tmpl w:val="DE48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0C8F"/>
    <w:multiLevelType w:val="hybridMultilevel"/>
    <w:tmpl w:val="5EAC5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778"/>
    <w:multiLevelType w:val="hybridMultilevel"/>
    <w:tmpl w:val="55C03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548CA"/>
    <w:multiLevelType w:val="hybridMultilevel"/>
    <w:tmpl w:val="547A3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2"/>
    <w:rsid w:val="00001257"/>
    <w:rsid w:val="00002781"/>
    <w:rsid w:val="00003030"/>
    <w:rsid w:val="00003552"/>
    <w:rsid w:val="000039CF"/>
    <w:rsid w:val="00003FE0"/>
    <w:rsid w:val="0000424D"/>
    <w:rsid w:val="000110D5"/>
    <w:rsid w:val="00012349"/>
    <w:rsid w:val="00012CB9"/>
    <w:rsid w:val="00016986"/>
    <w:rsid w:val="00022F92"/>
    <w:rsid w:val="0002357B"/>
    <w:rsid w:val="00023648"/>
    <w:rsid w:val="00023F21"/>
    <w:rsid w:val="000243CB"/>
    <w:rsid w:val="00025AF7"/>
    <w:rsid w:val="00027656"/>
    <w:rsid w:val="0002793E"/>
    <w:rsid w:val="000308C5"/>
    <w:rsid w:val="00030F20"/>
    <w:rsid w:val="00031234"/>
    <w:rsid w:val="0003155E"/>
    <w:rsid w:val="00033906"/>
    <w:rsid w:val="00034237"/>
    <w:rsid w:val="00040AF2"/>
    <w:rsid w:val="000424CC"/>
    <w:rsid w:val="0004318D"/>
    <w:rsid w:val="000431B3"/>
    <w:rsid w:val="000437F8"/>
    <w:rsid w:val="00052654"/>
    <w:rsid w:val="00052956"/>
    <w:rsid w:val="00053DE6"/>
    <w:rsid w:val="00053FEE"/>
    <w:rsid w:val="00055D25"/>
    <w:rsid w:val="00055FC7"/>
    <w:rsid w:val="000601B9"/>
    <w:rsid w:val="000633FF"/>
    <w:rsid w:val="00063E50"/>
    <w:rsid w:val="00064569"/>
    <w:rsid w:val="0006538F"/>
    <w:rsid w:val="00067C5F"/>
    <w:rsid w:val="000707B8"/>
    <w:rsid w:val="00072FDF"/>
    <w:rsid w:val="00072FE8"/>
    <w:rsid w:val="00073FC5"/>
    <w:rsid w:val="00076711"/>
    <w:rsid w:val="00076EE1"/>
    <w:rsid w:val="00077A03"/>
    <w:rsid w:val="000803AD"/>
    <w:rsid w:val="00080FA0"/>
    <w:rsid w:val="000853CA"/>
    <w:rsid w:val="00092923"/>
    <w:rsid w:val="0009385E"/>
    <w:rsid w:val="00093D49"/>
    <w:rsid w:val="000957C6"/>
    <w:rsid w:val="000A03AB"/>
    <w:rsid w:val="000A0C73"/>
    <w:rsid w:val="000A23BE"/>
    <w:rsid w:val="000A2E0E"/>
    <w:rsid w:val="000A593D"/>
    <w:rsid w:val="000A715D"/>
    <w:rsid w:val="000B09D7"/>
    <w:rsid w:val="000B0EFB"/>
    <w:rsid w:val="000B1956"/>
    <w:rsid w:val="000B1FF8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2D93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0F6DC5"/>
    <w:rsid w:val="001037D9"/>
    <w:rsid w:val="00104140"/>
    <w:rsid w:val="00104D40"/>
    <w:rsid w:val="00104FFE"/>
    <w:rsid w:val="00105B57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5DB"/>
    <w:rsid w:val="001346AF"/>
    <w:rsid w:val="001350E0"/>
    <w:rsid w:val="001354F4"/>
    <w:rsid w:val="00135B19"/>
    <w:rsid w:val="00140F9C"/>
    <w:rsid w:val="00143695"/>
    <w:rsid w:val="001465CD"/>
    <w:rsid w:val="001536EE"/>
    <w:rsid w:val="00154558"/>
    <w:rsid w:val="00155D9B"/>
    <w:rsid w:val="001566B9"/>
    <w:rsid w:val="00157F57"/>
    <w:rsid w:val="00161487"/>
    <w:rsid w:val="00162531"/>
    <w:rsid w:val="0016567C"/>
    <w:rsid w:val="0016608A"/>
    <w:rsid w:val="00166DEA"/>
    <w:rsid w:val="00170C19"/>
    <w:rsid w:val="00172C66"/>
    <w:rsid w:val="00174034"/>
    <w:rsid w:val="00177A26"/>
    <w:rsid w:val="00180560"/>
    <w:rsid w:val="00182C7C"/>
    <w:rsid w:val="001854A9"/>
    <w:rsid w:val="001863C8"/>
    <w:rsid w:val="0018743F"/>
    <w:rsid w:val="00187B1C"/>
    <w:rsid w:val="00192FCA"/>
    <w:rsid w:val="001940DE"/>
    <w:rsid w:val="001960A9"/>
    <w:rsid w:val="00196346"/>
    <w:rsid w:val="0019645D"/>
    <w:rsid w:val="001A281A"/>
    <w:rsid w:val="001A4FF1"/>
    <w:rsid w:val="001A6A6E"/>
    <w:rsid w:val="001B3744"/>
    <w:rsid w:val="001B76D5"/>
    <w:rsid w:val="001C6F33"/>
    <w:rsid w:val="001C7E05"/>
    <w:rsid w:val="001D014A"/>
    <w:rsid w:val="001D063E"/>
    <w:rsid w:val="001D0C46"/>
    <w:rsid w:val="001D36EB"/>
    <w:rsid w:val="001D5798"/>
    <w:rsid w:val="001D5E13"/>
    <w:rsid w:val="001D649E"/>
    <w:rsid w:val="001D7988"/>
    <w:rsid w:val="001D7AEC"/>
    <w:rsid w:val="001E446E"/>
    <w:rsid w:val="001E4B9F"/>
    <w:rsid w:val="001E4FA2"/>
    <w:rsid w:val="001E5186"/>
    <w:rsid w:val="001E6229"/>
    <w:rsid w:val="001E715E"/>
    <w:rsid w:val="001F0196"/>
    <w:rsid w:val="001F128B"/>
    <w:rsid w:val="001F22BC"/>
    <w:rsid w:val="001F31BD"/>
    <w:rsid w:val="001F694E"/>
    <w:rsid w:val="001F7018"/>
    <w:rsid w:val="00200D14"/>
    <w:rsid w:val="002021AC"/>
    <w:rsid w:val="002071C8"/>
    <w:rsid w:val="00211533"/>
    <w:rsid w:val="00212725"/>
    <w:rsid w:val="00215389"/>
    <w:rsid w:val="002158F1"/>
    <w:rsid w:val="00215C0D"/>
    <w:rsid w:val="0022166C"/>
    <w:rsid w:val="00223578"/>
    <w:rsid w:val="002253BD"/>
    <w:rsid w:val="002262A5"/>
    <w:rsid w:val="0023054C"/>
    <w:rsid w:val="002332BE"/>
    <w:rsid w:val="0023367D"/>
    <w:rsid w:val="00233D6F"/>
    <w:rsid w:val="00233FF3"/>
    <w:rsid w:val="002353AC"/>
    <w:rsid w:val="00237274"/>
    <w:rsid w:val="00237E98"/>
    <w:rsid w:val="00242604"/>
    <w:rsid w:val="0024732A"/>
    <w:rsid w:val="00247E30"/>
    <w:rsid w:val="00251E6A"/>
    <w:rsid w:val="00253B0D"/>
    <w:rsid w:val="00253FC8"/>
    <w:rsid w:val="002560EF"/>
    <w:rsid w:val="00257FF1"/>
    <w:rsid w:val="002603EC"/>
    <w:rsid w:val="00260DD4"/>
    <w:rsid w:val="0026229F"/>
    <w:rsid w:val="00262D2F"/>
    <w:rsid w:val="00263565"/>
    <w:rsid w:val="00263639"/>
    <w:rsid w:val="0026597A"/>
    <w:rsid w:val="002678EB"/>
    <w:rsid w:val="00271171"/>
    <w:rsid w:val="00275AD4"/>
    <w:rsid w:val="002818F3"/>
    <w:rsid w:val="00286E6D"/>
    <w:rsid w:val="0029094B"/>
    <w:rsid w:val="0029141A"/>
    <w:rsid w:val="0029157C"/>
    <w:rsid w:val="00291BA0"/>
    <w:rsid w:val="002923AD"/>
    <w:rsid w:val="00293553"/>
    <w:rsid w:val="002943A5"/>
    <w:rsid w:val="00294598"/>
    <w:rsid w:val="00294841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1F50"/>
    <w:rsid w:val="002C2C67"/>
    <w:rsid w:val="002C36C3"/>
    <w:rsid w:val="002C376E"/>
    <w:rsid w:val="002C4F95"/>
    <w:rsid w:val="002C5F1D"/>
    <w:rsid w:val="002C6870"/>
    <w:rsid w:val="002D00D5"/>
    <w:rsid w:val="002D1105"/>
    <w:rsid w:val="002D1D8C"/>
    <w:rsid w:val="002D245B"/>
    <w:rsid w:val="002E1B68"/>
    <w:rsid w:val="002E1CCD"/>
    <w:rsid w:val="002E6321"/>
    <w:rsid w:val="002E6638"/>
    <w:rsid w:val="002F3B20"/>
    <w:rsid w:val="002F3CFF"/>
    <w:rsid w:val="002F4916"/>
    <w:rsid w:val="002F5151"/>
    <w:rsid w:val="002F5850"/>
    <w:rsid w:val="002F7E3F"/>
    <w:rsid w:val="003008A7"/>
    <w:rsid w:val="003014FD"/>
    <w:rsid w:val="003016AD"/>
    <w:rsid w:val="0030223A"/>
    <w:rsid w:val="00311898"/>
    <w:rsid w:val="00311BF9"/>
    <w:rsid w:val="00315AA1"/>
    <w:rsid w:val="00317466"/>
    <w:rsid w:val="00317788"/>
    <w:rsid w:val="00317CBD"/>
    <w:rsid w:val="00320FF8"/>
    <w:rsid w:val="003232D5"/>
    <w:rsid w:val="00324918"/>
    <w:rsid w:val="00324CA3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325A"/>
    <w:rsid w:val="00355142"/>
    <w:rsid w:val="003567AD"/>
    <w:rsid w:val="00357CBB"/>
    <w:rsid w:val="00357E20"/>
    <w:rsid w:val="00357E99"/>
    <w:rsid w:val="00360C25"/>
    <w:rsid w:val="00361D05"/>
    <w:rsid w:val="00367B43"/>
    <w:rsid w:val="0037029A"/>
    <w:rsid w:val="00370B08"/>
    <w:rsid w:val="00371EAB"/>
    <w:rsid w:val="00373643"/>
    <w:rsid w:val="003747F5"/>
    <w:rsid w:val="003756AA"/>
    <w:rsid w:val="00376974"/>
    <w:rsid w:val="00376E15"/>
    <w:rsid w:val="00383358"/>
    <w:rsid w:val="00387314"/>
    <w:rsid w:val="00387937"/>
    <w:rsid w:val="00390E15"/>
    <w:rsid w:val="0039142F"/>
    <w:rsid w:val="00393458"/>
    <w:rsid w:val="003953D3"/>
    <w:rsid w:val="00395602"/>
    <w:rsid w:val="003964E1"/>
    <w:rsid w:val="003A02C1"/>
    <w:rsid w:val="003A14B6"/>
    <w:rsid w:val="003A17E9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B594F"/>
    <w:rsid w:val="003B778C"/>
    <w:rsid w:val="003C0E99"/>
    <w:rsid w:val="003C17DD"/>
    <w:rsid w:val="003C2D22"/>
    <w:rsid w:val="003C361A"/>
    <w:rsid w:val="003C3BC4"/>
    <w:rsid w:val="003C5D15"/>
    <w:rsid w:val="003C5FC8"/>
    <w:rsid w:val="003C69F9"/>
    <w:rsid w:val="003C795B"/>
    <w:rsid w:val="003D1D03"/>
    <w:rsid w:val="003D47EA"/>
    <w:rsid w:val="003D48F8"/>
    <w:rsid w:val="003D630D"/>
    <w:rsid w:val="003E0E24"/>
    <w:rsid w:val="003E19D7"/>
    <w:rsid w:val="003E3C1C"/>
    <w:rsid w:val="003E3DE2"/>
    <w:rsid w:val="003E3F4A"/>
    <w:rsid w:val="003E40D1"/>
    <w:rsid w:val="003E4E1D"/>
    <w:rsid w:val="003E77A1"/>
    <w:rsid w:val="003F1964"/>
    <w:rsid w:val="003F203A"/>
    <w:rsid w:val="003F444A"/>
    <w:rsid w:val="003F59F4"/>
    <w:rsid w:val="003F7C6F"/>
    <w:rsid w:val="00402D9F"/>
    <w:rsid w:val="00413FF1"/>
    <w:rsid w:val="0041515B"/>
    <w:rsid w:val="0041710E"/>
    <w:rsid w:val="0042131A"/>
    <w:rsid w:val="00424D16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4A94"/>
    <w:rsid w:val="00444B68"/>
    <w:rsid w:val="0044519F"/>
    <w:rsid w:val="004462F7"/>
    <w:rsid w:val="00446B31"/>
    <w:rsid w:val="00446BD0"/>
    <w:rsid w:val="0045037D"/>
    <w:rsid w:val="004503E6"/>
    <w:rsid w:val="00451891"/>
    <w:rsid w:val="00451D54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26CD"/>
    <w:rsid w:val="004844AB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1A95"/>
    <w:rsid w:val="004A1EEB"/>
    <w:rsid w:val="004A5258"/>
    <w:rsid w:val="004A545D"/>
    <w:rsid w:val="004A559E"/>
    <w:rsid w:val="004A714A"/>
    <w:rsid w:val="004B085A"/>
    <w:rsid w:val="004B0D3D"/>
    <w:rsid w:val="004B21C6"/>
    <w:rsid w:val="004B2FEB"/>
    <w:rsid w:val="004B5A3E"/>
    <w:rsid w:val="004B6355"/>
    <w:rsid w:val="004B6D82"/>
    <w:rsid w:val="004C0131"/>
    <w:rsid w:val="004C14E3"/>
    <w:rsid w:val="004C778E"/>
    <w:rsid w:val="004D3CE0"/>
    <w:rsid w:val="004D75BF"/>
    <w:rsid w:val="004E20ED"/>
    <w:rsid w:val="004E474E"/>
    <w:rsid w:val="004E5881"/>
    <w:rsid w:val="004F1468"/>
    <w:rsid w:val="004F4146"/>
    <w:rsid w:val="004F5ABD"/>
    <w:rsid w:val="004F5B25"/>
    <w:rsid w:val="004F5B5A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27D79"/>
    <w:rsid w:val="00530B9B"/>
    <w:rsid w:val="00530C65"/>
    <w:rsid w:val="00532BE3"/>
    <w:rsid w:val="00533CDF"/>
    <w:rsid w:val="00535398"/>
    <w:rsid w:val="00535FE7"/>
    <w:rsid w:val="00536079"/>
    <w:rsid w:val="00540E43"/>
    <w:rsid w:val="00542B49"/>
    <w:rsid w:val="00542B8A"/>
    <w:rsid w:val="00542D5D"/>
    <w:rsid w:val="00544C64"/>
    <w:rsid w:val="00544F33"/>
    <w:rsid w:val="00545502"/>
    <w:rsid w:val="0054668A"/>
    <w:rsid w:val="0054748B"/>
    <w:rsid w:val="00550120"/>
    <w:rsid w:val="0055065F"/>
    <w:rsid w:val="00550EED"/>
    <w:rsid w:val="00551A6D"/>
    <w:rsid w:val="005556C1"/>
    <w:rsid w:val="00555D33"/>
    <w:rsid w:val="00562CAD"/>
    <w:rsid w:val="00563425"/>
    <w:rsid w:val="0056355B"/>
    <w:rsid w:val="00565634"/>
    <w:rsid w:val="005677BC"/>
    <w:rsid w:val="0057102C"/>
    <w:rsid w:val="0057145D"/>
    <w:rsid w:val="0057268D"/>
    <w:rsid w:val="005733C7"/>
    <w:rsid w:val="005738DC"/>
    <w:rsid w:val="00574400"/>
    <w:rsid w:val="00577B22"/>
    <w:rsid w:val="005822C1"/>
    <w:rsid w:val="005826BC"/>
    <w:rsid w:val="00583A14"/>
    <w:rsid w:val="00584A1E"/>
    <w:rsid w:val="0058771B"/>
    <w:rsid w:val="0059114D"/>
    <w:rsid w:val="005912D0"/>
    <w:rsid w:val="005912F8"/>
    <w:rsid w:val="00592D5D"/>
    <w:rsid w:val="00593496"/>
    <w:rsid w:val="00595471"/>
    <w:rsid w:val="005969A3"/>
    <w:rsid w:val="005A22B3"/>
    <w:rsid w:val="005A262C"/>
    <w:rsid w:val="005A2DC8"/>
    <w:rsid w:val="005A4048"/>
    <w:rsid w:val="005A498E"/>
    <w:rsid w:val="005A4B67"/>
    <w:rsid w:val="005B03B8"/>
    <w:rsid w:val="005B0BA9"/>
    <w:rsid w:val="005B4980"/>
    <w:rsid w:val="005B65D7"/>
    <w:rsid w:val="005C03A3"/>
    <w:rsid w:val="005C0FA8"/>
    <w:rsid w:val="005C63AF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9F3"/>
    <w:rsid w:val="00605FD4"/>
    <w:rsid w:val="00606925"/>
    <w:rsid w:val="0060750F"/>
    <w:rsid w:val="006134B4"/>
    <w:rsid w:val="006154D2"/>
    <w:rsid w:val="00616903"/>
    <w:rsid w:val="00620FD9"/>
    <w:rsid w:val="0062321A"/>
    <w:rsid w:val="00625010"/>
    <w:rsid w:val="00625A47"/>
    <w:rsid w:val="0062675F"/>
    <w:rsid w:val="00627790"/>
    <w:rsid w:val="00631B69"/>
    <w:rsid w:val="00632BED"/>
    <w:rsid w:val="00635232"/>
    <w:rsid w:val="006361B3"/>
    <w:rsid w:val="0063643D"/>
    <w:rsid w:val="0063751A"/>
    <w:rsid w:val="00637A4B"/>
    <w:rsid w:val="00642BCC"/>
    <w:rsid w:val="006438A3"/>
    <w:rsid w:val="00643A99"/>
    <w:rsid w:val="006462A0"/>
    <w:rsid w:val="00646C4C"/>
    <w:rsid w:val="00647C00"/>
    <w:rsid w:val="0065277B"/>
    <w:rsid w:val="006527AC"/>
    <w:rsid w:val="00653C22"/>
    <w:rsid w:val="00655C78"/>
    <w:rsid w:val="0065684B"/>
    <w:rsid w:val="00656C38"/>
    <w:rsid w:val="00657BD8"/>
    <w:rsid w:val="00657E0A"/>
    <w:rsid w:val="0066111C"/>
    <w:rsid w:val="00661312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7CA"/>
    <w:rsid w:val="00682EB2"/>
    <w:rsid w:val="00684B67"/>
    <w:rsid w:val="00687FDC"/>
    <w:rsid w:val="006914DB"/>
    <w:rsid w:val="00693299"/>
    <w:rsid w:val="00693E78"/>
    <w:rsid w:val="00693F88"/>
    <w:rsid w:val="006953F2"/>
    <w:rsid w:val="00696322"/>
    <w:rsid w:val="00697385"/>
    <w:rsid w:val="006977C9"/>
    <w:rsid w:val="006A13CF"/>
    <w:rsid w:val="006A231E"/>
    <w:rsid w:val="006A23EE"/>
    <w:rsid w:val="006A2856"/>
    <w:rsid w:val="006A3DF8"/>
    <w:rsid w:val="006A528C"/>
    <w:rsid w:val="006A594B"/>
    <w:rsid w:val="006A6C4A"/>
    <w:rsid w:val="006A7CB7"/>
    <w:rsid w:val="006B1D88"/>
    <w:rsid w:val="006B4825"/>
    <w:rsid w:val="006B5BFA"/>
    <w:rsid w:val="006B6B49"/>
    <w:rsid w:val="006C3FCC"/>
    <w:rsid w:val="006C5597"/>
    <w:rsid w:val="006C735B"/>
    <w:rsid w:val="006C7464"/>
    <w:rsid w:val="006D0161"/>
    <w:rsid w:val="006D2CD0"/>
    <w:rsid w:val="006D3AC9"/>
    <w:rsid w:val="006D6E02"/>
    <w:rsid w:val="006E20F2"/>
    <w:rsid w:val="006E4185"/>
    <w:rsid w:val="006E45F7"/>
    <w:rsid w:val="006E4E8A"/>
    <w:rsid w:val="006F0F71"/>
    <w:rsid w:val="006F29EF"/>
    <w:rsid w:val="006F2C05"/>
    <w:rsid w:val="006F5538"/>
    <w:rsid w:val="0070259F"/>
    <w:rsid w:val="00702F17"/>
    <w:rsid w:val="00703747"/>
    <w:rsid w:val="00703F7F"/>
    <w:rsid w:val="00705DAB"/>
    <w:rsid w:val="00706CF1"/>
    <w:rsid w:val="007076E0"/>
    <w:rsid w:val="00710EF9"/>
    <w:rsid w:val="007114F4"/>
    <w:rsid w:val="0071470C"/>
    <w:rsid w:val="007151ED"/>
    <w:rsid w:val="00716F81"/>
    <w:rsid w:val="00721DB4"/>
    <w:rsid w:val="00722394"/>
    <w:rsid w:val="00724D6B"/>
    <w:rsid w:val="00724E5D"/>
    <w:rsid w:val="00724EF7"/>
    <w:rsid w:val="0072505A"/>
    <w:rsid w:val="0072523F"/>
    <w:rsid w:val="00725A3E"/>
    <w:rsid w:val="007262F3"/>
    <w:rsid w:val="007265CC"/>
    <w:rsid w:val="007276DF"/>
    <w:rsid w:val="00727CA6"/>
    <w:rsid w:val="00730372"/>
    <w:rsid w:val="00733E20"/>
    <w:rsid w:val="00735637"/>
    <w:rsid w:val="00737158"/>
    <w:rsid w:val="00737E6F"/>
    <w:rsid w:val="0074021E"/>
    <w:rsid w:val="00741C6E"/>
    <w:rsid w:val="00743079"/>
    <w:rsid w:val="007430B7"/>
    <w:rsid w:val="00744A97"/>
    <w:rsid w:val="007477E0"/>
    <w:rsid w:val="00751610"/>
    <w:rsid w:val="00752F10"/>
    <w:rsid w:val="007547AB"/>
    <w:rsid w:val="00756A20"/>
    <w:rsid w:val="00757E18"/>
    <w:rsid w:val="007603AB"/>
    <w:rsid w:val="00760BCE"/>
    <w:rsid w:val="0076117B"/>
    <w:rsid w:val="0076181F"/>
    <w:rsid w:val="00762ADF"/>
    <w:rsid w:val="00763269"/>
    <w:rsid w:val="0076588A"/>
    <w:rsid w:val="00766B88"/>
    <w:rsid w:val="00767A3D"/>
    <w:rsid w:val="00770276"/>
    <w:rsid w:val="00773F91"/>
    <w:rsid w:val="0077594B"/>
    <w:rsid w:val="0077612F"/>
    <w:rsid w:val="007765E8"/>
    <w:rsid w:val="00777A89"/>
    <w:rsid w:val="00781189"/>
    <w:rsid w:val="0078131A"/>
    <w:rsid w:val="00782680"/>
    <w:rsid w:val="007827A3"/>
    <w:rsid w:val="00785B22"/>
    <w:rsid w:val="007904DE"/>
    <w:rsid w:val="007935C1"/>
    <w:rsid w:val="00797377"/>
    <w:rsid w:val="007977DF"/>
    <w:rsid w:val="007A2248"/>
    <w:rsid w:val="007A4BC1"/>
    <w:rsid w:val="007A708E"/>
    <w:rsid w:val="007B2BC0"/>
    <w:rsid w:val="007B4F0F"/>
    <w:rsid w:val="007B67E8"/>
    <w:rsid w:val="007B767C"/>
    <w:rsid w:val="007C22B5"/>
    <w:rsid w:val="007C322F"/>
    <w:rsid w:val="007C4F78"/>
    <w:rsid w:val="007C55A2"/>
    <w:rsid w:val="007C57A5"/>
    <w:rsid w:val="007C6D41"/>
    <w:rsid w:val="007C7D83"/>
    <w:rsid w:val="007D01D4"/>
    <w:rsid w:val="007D2C68"/>
    <w:rsid w:val="007D51D0"/>
    <w:rsid w:val="007D73AB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9DE"/>
    <w:rsid w:val="007F7BD4"/>
    <w:rsid w:val="00801395"/>
    <w:rsid w:val="00803C16"/>
    <w:rsid w:val="008051CA"/>
    <w:rsid w:val="0080647F"/>
    <w:rsid w:val="00806718"/>
    <w:rsid w:val="008067AB"/>
    <w:rsid w:val="00812D97"/>
    <w:rsid w:val="00814D7B"/>
    <w:rsid w:val="0081666E"/>
    <w:rsid w:val="008217D1"/>
    <w:rsid w:val="008220B0"/>
    <w:rsid w:val="00825E03"/>
    <w:rsid w:val="00827911"/>
    <w:rsid w:val="00830DC4"/>
    <w:rsid w:val="00831A70"/>
    <w:rsid w:val="00832635"/>
    <w:rsid w:val="00834A8E"/>
    <w:rsid w:val="008355D1"/>
    <w:rsid w:val="0083588F"/>
    <w:rsid w:val="0084004E"/>
    <w:rsid w:val="00841EC8"/>
    <w:rsid w:val="008428C9"/>
    <w:rsid w:val="00847C46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78D0"/>
    <w:rsid w:val="00887E5C"/>
    <w:rsid w:val="00890743"/>
    <w:rsid w:val="00891687"/>
    <w:rsid w:val="008921E6"/>
    <w:rsid w:val="00892496"/>
    <w:rsid w:val="00892803"/>
    <w:rsid w:val="0089677F"/>
    <w:rsid w:val="008A03F7"/>
    <w:rsid w:val="008A1918"/>
    <w:rsid w:val="008A2D79"/>
    <w:rsid w:val="008A2FAF"/>
    <w:rsid w:val="008A2FB6"/>
    <w:rsid w:val="008B06D7"/>
    <w:rsid w:val="008B1388"/>
    <w:rsid w:val="008B174C"/>
    <w:rsid w:val="008B2FE8"/>
    <w:rsid w:val="008B3C86"/>
    <w:rsid w:val="008B43D8"/>
    <w:rsid w:val="008B50B9"/>
    <w:rsid w:val="008B7DCF"/>
    <w:rsid w:val="008C50DE"/>
    <w:rsid w:val="008C68A1"/>
    <w:rsid w:val="008C716E"/>
    <w:rsid w:val="008C72A0"/>
    <w:rsid w:val="008D414B"/>
    <w:rsid w:val="008E1F3C"/>
    <w:rsid w:val="008E33A6"/>
    <w:rsid w:val="008E3D58"/>
    <w:rsid w:val="008E4090"/>
    <w:rsid w:val="008E51E4"/>
    <w:rsid w:val="008E70F3"/>
    <w:rsid w:val="008F0212"/>
    <w:rsid w:val="008F20F7"/>
    <w:rsid w:val="008F3AEB"/>
    <w:rsid w:val="008F4D01"/>
    <w:rsid w:val="00900A55"/>
    <w:rsid w:val="00900BF6"/>
    <w:rsid w:val="00902A00"/>
    <w:rsid w:val="00903BA9"/>
    <w:rsid w:val="00906B01"/>
    <w:rsid w:val="00914FF6"/>
    <w:rsid w:val="00916FD0"/>
    <w:rsid w:val="00917465"/>
    <w:rsid w:val="00922AEB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3740F"/>
    <w:rsid w:val="00940D4B"/>
    <w:rsid w:val="00941616"/>
    <w:rsid w:val="00942613"/>
    <w:rsid w:val="00942706"/>
    <w:rsid w:val="0094347C"/>
    <w:rsid w:val="009443F0"/>
    <w:rsid w:val="009452AD"/>
    <w:rsid w:val="0095004C"/>
    <w:rsid w:val="00951160"/>
    <w:rsid w:val="00951F58"/>
    <w:rsid w:val="009522FC"/>
    <w:rsid w:val="00955701"/>
    <w:rsid w:val="009564A3"/>
    <w:rsid w:val="00957D0D"/>
    <w:rsid w:val="00962CD2"/>
    <w:rsid w:val="00965531"/>
    <w:rsid w:val="00966031"/>
    <w:rsid w:val="00971B42"/>
    <w:rsid w:val="00971EE1"/>
    <w:rsid w:val="0097615D"/>
    <w:rsid w:val="00976DBB"/>
    <w:rsid w:val="009807AC"/>
    <w:rsid w:val="009818B0"/>
    <w:rsid w:val="00981E90"/>
    <w:rsid w:val="009838EE"/>
    <w:rsid w:val="009843F0"/>
    <w:rsid w:val="00984818"/>
    <w:rsid w:val="00984994"/>
    <w:rsid w:val="00984FAD"/>
    <w:rsid w:val="00985694"/>
    <w:rsid w:val="00985F9A"/>
    <w:rsid w:val="00987D32"/>
    <w:rsid w:val="00990B27"/>
    <w:rsid w:val="00992BC3"/>
    <w:rsid w:val="00995DB6"/>
    <w:rsid w:val="0099675C"/>
    <w:rsid w:val="009A1D73"/>
    <w:rsid w:val="009A2231"/>
    <w:rsid w:val="009A2B24"/>
    <w:rsid w:val="009A38B8"/>
    <w:rsid w:val="009A58B4"/>
    <w:rsid w:val="009A5CF9"/>
    <w:rsid w:val="009A6358"/>
    <w:rsid w:val="009A6401"/>
    <w:rsid w:val="009A6632"/>
    <w:rsid w:val="009B0A00"/>
    <w:rsid w:val="009B2A3E"/>
    <w:rsid w:val="009B3A7C"/>
    <w:rsid w:val="009B3F57"/>
    <w:rsid w:val="009B41D2"/>
    <w:rsid w:val="009B642D"/>
    <w:rsid w:val="009C099A"/>
    <w:rsid w:val="009C0B38"/>
    <w:rsid w:val="009C1C7A"/>
    <w:rsid w:val="009C246B"/>
    <w:rsid w:val="009C265B"/>
    <w:rsid w:val="009C29B1"/>
    <w:rsid w:val="009C45D0"/>
    <w:rsid w:val="009C4871"/>
    <w:rsid w:val="009C590D"/>
    <w:rsid w:val="009C7955"/>
    <w:rsid w:val="009C7C7E"/>
    <w:rsid w:val="009D01E8"/>
    <w:rsid w:val="009D117F"/>
    <w:rsid w:val="009D125D"/>
    <w:rsid w:val="009E0C2B"/>
    <w:rsid w:val="009E0CD6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1B43"/>
    <w:rsid w:val="009F318A"/>
    <w:rsid w:val="009F34CC"/>
    <w:rsid w:val="009F5081"/>
    <w:rsid w:val="00A001E9"/>
    <w:rsid w:val="00A017F0"/>
    <w:rsid w:val="00A057BE"/>
    <w:rsid w:val="00A06C3A"/>
    <w:rsid w:val="00A10099"/>
    <w:rsid w:val="00A12BF5"/>
    <w:rsid w:val="00A13A16"/>
    <w:rsid w:val="00A13B5D"/>
    <w:rsid w:val="00A13BD2"/>
    <w:rsid w:val="00A1773E"/>
    <w:rsid w:val="00A21C33"/>
    <w:rsid w:val="00A22A1A"/>
    <w:rsid w:val="00A26852"/>
    <w:rsid w:val="00A26A00"/>
    <w:rsid w:val="00A274A7"/>
    <w:rsid w:val="00A300A2"/>
    <w:rsid w:val="00A3186C"/>
    <w:rsid w:val="00A32EEE"/>
    <w:rsid w:val="00A33E87"/>
    <w:rsid w:val="00A3482C"/>
    <w:rsid w:val="00A36F2F"/>
    <w:rsid w:val="00A427D8"/>
    <w:rsid w:val="00A45442"/>
    <w:rsid w:val="00A541D4"/>
    <w:rsid w:val="00A5433D"/>
    <w:rsid w:val="00A5482F"/>
    <w:rsid w:val="00A57F97"/>
    <w:rsid w:val="00A601AE"/>
    <w:rsid w:val="00A60D42"/>
    <w:rsid w:val="00A6396C"/>
    <w:rsid w:val="00A63FAA"/>
    <w:rsid w:val="00A67559"/>
    <w:rsid w:val="00A6782D"/>
    <w:rsid w:val="00A728A3"/>
    <w:rsid w:val="00A7323A"/>
    <w:rsid w:val="00A745C1"/>
    <w:rsid w:val="00A75E6F"/>
    <w:rsid w:val="00A7649E"/>
    <w:rsid w:val="00A76799"/>
    <w:rsid w:val="00A76E50"/>
    <w:rsid w:val="00A83933"/>
    <w:rsid w:val="00A83C0E"/>
    <w:rsid w:val="00A84CE9"/>
    <w:rsid w:val="00A86339"/>
    <w:rsid w:val="00A87DB5"/>
    <w:rsid w:val="00A906AF"/>
    <w:rsid w:val="00A906B5"/>
    <w:rsid w:val="00A926D4"/>
    <w:rsid w:val="00A92CBB"/>
    <w:rsid w:val="00A94542"/>
    <w:rsid w:val="00AA1387"/>
    <w:rsid w:val="00AA4E30"/>
    <w:rsid w:val="00AA51B7"/>
    <w:rsid w:val="00AA5AD2"/>
    <w:rsid w:val="00AA5E74"/>
    <w:rsid w:val="00AA7D91"/>
    <w:rsid w:val="00AB2DE8"/>
    <w:rsid w:val="00AB3A5B"/>
    <w:rsid w:val="00AB4B89"/>
    <w:rsid w:val="00AB4C95"/>
    <w:rsid w:val="00AB523B"/>
    <w:rsid w:val="00AC0303"/>
    <w:rsid w:val="00AC0938"/>
    <w:rsid w:val="00AC22A3"/>
    <w:rsid w:val="00AC2395"/>
    <w:rsid w:val="00AC2D6D"/>
    <w:rsid w:val="00AC339F"/>
    <w:rsid w:val="00AC3D5D"/>
    <w:rsid w:val="00AC4787"/>
    <w:rsid w:val="00AC5F68"/>
    <w:rsid w:val="00AC6AD5"/>
    <w:rsid w:val="00AC6FCD"/>
    <w:rsid w:val="00AC77CF"/>
    <w:rsid w:val="00AD0157"/>
    <w:rsid w:val="00AD247B"/>
    <w:rsid w:val="00AD3926"/>
    <w:rsid w:val="00AD4919"/>
    <w:rsid w:val="00AD49A6"/>
    <w:rsid w:val="00AD5A33"/>
    <w:rsid w:val="00AD7419"/>
    <w:rsid w:val="00AE0527"/>
    <w:rsid w:val="00AE1035"/>
    <w:rsid w:val="00AE16A4"/>
    <w:rsid w:val="00AE4A1E"/>
    <w:rsid w:val="00AE6024"/>
    <w:rsid w:val="00AE6AF6"/>
    <w:rsid w:val="00AE6B78"/>
    <w:rsid w:val="00AE6E1B"/>
    <w:rsid w:val="00AE6E31"/>
    <w:rsid w:val="00AE7D28"/>
    <w:rsid w:val="00AF2A07"/>
    <w:rsid w:val="00AF4BFC"/>
    <w:rsid w:val="00AF6E92"/>
    <w:rsid w:val="00B010E3"/>
    <w:rsid w:val="00B04CD0"/>
    <w:rsid w:val="00B05A16"/>
    <w:rsid w:val="00B05FEC"/>
    <w:rsid w:val="00B1025F"/>
    <w:rsid w:val="00B12D93"/>
    <w:rsid w:val="00B12E8C"/>
    <w:rsid w:val="00B172EC"/>
    <w:rsid w:val="00B219DE"/>
    <w:rsid w:val="00B265DF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6243"/>
    <w:rsid w:val="00B47BF2"/>
    <w:rsid w:val="00B544E3"/>
    <w:rsid w:val="00B57733"/>
    <w:rsid w:val="00B63564"/>
    <w:rsid w:val="00B63AC6"/>
    <w:rsid w:val="00B64398"/>
    <w:rsid w:val="00B64AEB"/>
    <w:rsid w:val="00B652F6"/>
    <w:rsid w:val="00B660F0"/>
    <w:rsid w:val="00B676BD"/>
    <w:rsid w:val="00B7063C"/>
    <w:rsid w:val="00B7129A"/>
    <w:rsid w:val="00B718C2"/>
    <w:rsid w:val="00B801A3"/>
    <w:rsid w:val="00B81EBC"/>
    <w:rsid w:val="00B8560E"/>
    <w:rsid w:val="00B87C83"/>
    <w:rsid w:val="00B87D38"/>
    <w:rsid w:val="00B978D3"/>
    <w:rsid w:val="00BA0468"/>
    <w:rsid w:val="00BA097C"/>
    <w:rsid w:val="00BA5729"/>
    <w:rsid w:val="00BA66D5"/>
    <w:rsid w:val="00BA7055"/>
    <w:rsid w:val="00BB3010"/>
    <w:rsid w:val="00BB3929"/>
    <w:rsid w:val="00BB59B8"/>
    <w:rsid w:val="00BB6141"/>
    <w:rsid w:val="00BB6FA6"/>
    <w:rsid w:val="00BB7537"/>
    <w:rsid w:val="00BB7792"/>
    <w:rsid w:val="00BC3888"/>
    <w:rsid w:val="00BC7F46"/>
    <w:rsid w:val="00BD04FE"/>
    <w:rsid w:val="00BD23F4"/>
    <w:rsid w:val="00BD3F96"/>
    <w:rsid w:val="00BD427D"/>
    <w:rsid w:val="00BD4898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E627F"/>
    <w:rsid w:val="00BF0311"/>
    <w:rsid w:val="00BF14DC"/>
    <w:rsid w:val="00BF5799"/>
    <w:rsid w:val="00C0021E"/>
    <w:rsid w:val="00C01ADB"/>
    <w:rsid w:val="00C02553"/>
    <w:rsid w:val="00C04049"/>
    <w:rsid w:val="00C07B25"/>
    <w:rsid w:val="00C10580"/>
    <w:rsid w:val="00C10C93"/>
    <w:rsid w:val="00C13AC9"/>
    <w:rsid w:val="00C1456C"/>
    <w:rsid w:val="00C15DE0"/>
    <w:rsid w:val="00C16CC9"/>
    <w:rsid w:val="00C17127"/>
    <w:rsid w:val="00C17493"/>
    <w:rsid w:val="00C21E03"/>
    <w:rsid w:val="00C2268C"/>
    <w:rsid w:val="00C231A7"/>
    <w:rsid w:val="00C231F2"/>
    <w:rsid w:val="00C233BB"/>
    <w:rsid w:val="00C2580B"/>
    <w:rsid w:val="00C31C5B"/>
    <w:rsid w:val="00C32127"/>
    <w:rsid w:val="00C3338A"/>
    <w:rsid w:val="00C33A96"/>
    <w:rsid w:val="00C376A5"/>
    <w:rsid w:val="00C45298"/>
    <w:rsid w:val="00C456A8"/>
    <w:rsid w:val="00C52010"/>
    <w:rsid w:val="00C537D8"/>
    <w:rsid w:val="00C57142"/>
    <w:rsid w:val="00C606AD"/>
    <w:rsid w:val="00C61698"/>
    <w:rsid w:val="00C6216B"/>
    <w:rsid w:val="00C63502"/>
    <w:rsid w:val="00C64580"/>
    <w:rsid w:val="00C65B35"/>
    <w:rsid w:val="00C66B21"/>
    <w:rsid w:val="00C71D8B"/>
    <w:rsid w:val="00C7390E"/>
    <w:rsid w:val="00C74C51"/>
    <w:rsid w:val="00C75FBF"/>
    <w:rsid w:val="00C76EFB"/>
    <w:rsid w:val="00C82922"/>
    <w:rsid w:val="00C84F1D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5CDA"/>
    <w:rsid w:val="00CC7F02"/>
    <w:rsid w:val="00CD001D"/>
    <w:rsid w:val="00CD2EFD"/>
    <w:rsid w:val="00CD3FC1"/>
    <w:rsid w:val="00CD5B17"/>
    <w:rsid w:val="00CD6919"/>
    <w:rsid w:val="00CE177F"/>
    <w:rsid w:val="00CE33C0"/>
    <w:rsid w:val="00CE6E9C"/>
    <w:rsid w:val="00CF08E7"/>
    <w:rsid w:val="00CF2F03"/>
    <w:rsid w:val="00CF4725"/>
    <w:rsid w:val="00D016CD"/>
    <w:rsid w:val="00D01988"/>
    <w:rsid w:val="00D07828"/>
    <w:rsid w:val="00D1081C"/>
    <w:rsid w:val="00D1155A"/>
    <w:rsid w:val="00D11C20"/>
    <w:rsid w:val="00D12184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189"/>
    <w:rsid w:val="00D31B32"/>
    <w:rsid w:val="00D335C7"/>
    <w:rsid w:val="00D376F8"/>
    <w:rsid w:val="00D40A04"/>
    <w:rsid w:val="00D44BBE"/>
    <w:rsid w:val="00D46F1D"/>
    <w:rsid w:val="00D50A6E"/>
    <w:rsid w:val="00D52AE5"/>
    <w:rsid w:val="00D54BCA"/>
    <w:rsid w:val="00D601E1"/>
    <w:rsid w:val="00D609D4"/>
    <w:rsid w:val="00D611DB"/>
    <w:rsid w:val="00D6136A"/>
    <w:rsid w:val="00D61585"/>
    <w:rsid w:val="00D64833"/>
    <w:rsid w:val="00D64C43"/>
    <w:rsid w:val="00D6525A"/>
    <w:rsid w:val="00D6587A"/>
    <w:rsid w:val="00D66843"/>
    <w:rsid w:val="00D71728"/>
    <w:rsid w:val="00D726C0"/>
    <w:rsid w:val="00D74B72"/>
    <w:rsid w:val="00D74D14"/>
    <w:rsid w:val="00D81054"/>
    <w:rsid w:val="00D812C7"/>
    <w:rsid w:val="00D82AEE"/>
    <w:rsid w:val="00D8719A"/>
    <w:rsid w:val="00D87C1E"/>
    <w:rsid w:val="00D87C81"/>
    <w:rsid w:val="00D91433"/>
    <w:rsid w:val="00D9399B"/>
    <w:rsid w:val="00D944D6"/>
    <w:rsid w:val="00D948F5"/>
    <w:rsid w:val="00D9533F"/>
    <w:rsid w:val="00D97EBB"/>
    <w:rsid w:val="00DA1CE5"/>
    <w:rsid w:val="00DB07A6"/>
    <w:rsid w:val="00DB1C66"/>
    <w:rsid w:val="00DB21E5"/>
    <w:rsid w:val="00DB34B3"/>
    <w:rsid w:val="00DB5326"/>
    <w:rsid w:val="00DB612F"/>
    <w:rsid w:val="00DC021E"/>
    <w:rsid w:val="00DC09A9"/>
    <w:rsid w:val="00DC0FEB"/>
    <w:rsid w:val="00DC4B47"/>
    <w:rsid w:val="00DC6643"/>
    <w:rsid w:val="00DD17C8"/>
    <w:rsid w:val="00DD22F2"/>
    <w:rsid w:val="00DD2657"/>
    <w:rsid w:val="00DD367E"/>
    <w:rsid w:val="00DE2083"/>
    <w:rsid w:val="00DE5DFF"/>
    <w:rsid w:val="00DE6045"/>
    <w:rsid w:val="00DE6B4C"/>
    <w:rsid w:val="00DF10AB"/>
    <w:rsid w:val="00DF5160"/>
    <w:rsid w:val="00E014F3"/>
    <w:rsid w:val="00E018DE"/>
    <w:rsid w:val="00E03916"/>
    <w:rsid w:val="00E10585"/>
    <w:rsid w:val="00E10AC5"/>
    <w:rsid w:val="00E12712"/>
    <w:rsid w:val="00E128C6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7F64"/>
    <w:rsid w:val="00E3176C"/>
    <w:rsid w:val="00E32B62"/>
    <w:rsid w:val="00E35919"/>
    <w:rsid w:val="00E367CE"/>
    <w:rsid w:val="00E435CC"/>
    <w:rsid w:val="00E43A88"/>
    <w:rsid w:val="00E44783"/>
    <w:rsid w:val="00E44D0A"/>
    <w:rsid w:val="00E46B3F"/>
    <w:rsid w:val="00E46E96"/>
    <w:rsid w:val="00E47155"/>
    <w:rsid w:val="00E4754E"/>
    <w:rsid w:val="00E47B77"/>
    <w:rsid w:val="00E5001F"/>
    <w:rsid w:val="00E50308"/>
    <w:rsid w:val="00E508E4"/>
    <w:rsid w:val="00E50CC2"/>
    <w:rsid w:val="00E50D56"/>
    <w:rsid w:val="00E51188"/>
    <w:rsid w:val="00E5289D"/>
    <w:rsid w:val="00E529A9"/>
    <w:rsid w:val="00E56EA4"/>
    <w:rsid w:val="00E6105C"/>
    <w:rsid w:val="00E6242B"/>
    <w:rsid w:val="00E64F14"/>
    <w:rsid w:val="00E65D48"/>
    <w:rsid w:val="00E65EA3"/>
    <w:rsid w:val="00E66DD0"/>
    <w:rsid w:val="00E6747F"/>
    <w:rsid w:val="00E712D5"/>
    <w:rsid w:val="00E7214A"/>
    <w:rsid w:val="00E758AE"/>
    <w:rsid w:val="00E763DF"/>
    <w:rsid w:val="00E77BF0"/>
    <w:rsid w:val="00E83C01"/>
    <w:rsid w:val="00E84859"/>
    <w:rsid w:val="00E907AC"/>
    <w:rsid w:val="00E9100F"/>
    <w:rsid w:val="00E92382"/>
    <w:rsid w:val="00E92C0C"/>
    <w:rsid w:val="00E9337A"/>
    <w:rsid w:val="00E93E19"/>
    <w:rsid w:val="00E95B38"/>
    <w:rsid w:val="00E96228"/>
    <w:rsid w:val="00EA3622"/>
    <w:rsid w:val="00EA3F2E"/>
    <w:rsid w:val="00EA4F78"/>
    <w:rsid w:val="00EB247F"/>
    <w:rsid w:val="00EB37E6"/>
    <w:rsid w:val="00EB42E8"/>
    <w:rsid w:val="00EB524D"/>
    <w:rsid w:val="00EB5A0A"/>
    <w:rsid w:val="00EB623B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749E"/>
    <w:rsid w:val="00ED76BA"/>
    <w:rsid w:val="00EE0F00"/>
    <w:rsid w:val="00EE4A95"/>
    <w:rsid w:val="00EF0B88"/>
    <w:rsid w:val="00EF25C5"/>
    <w:rsid w:val="00EF37DB"/>
    <w:rsid w:val="00EF5F76"/>
    <w:rsid w:val="00EF68E8"/>
    <w:rsid w:val="00EF6BE0"/>
    <w:rsid w:val="00EF7BB3"/>
    <w:rsid w:val="00F01CB3"/>
    <w:rsid w:val="00F023F0"/>
    <w:rsid w:val="00F03313"/>
    <w:rsid w:val="00F10286"/>
    <w:rsid w:val="00F15EB5"/>
    <w:rsid w:val="00F17FD0"/>
    <w:rsid w:val="00F20E32"/>
    <w:rsid w:val="00F21CD3"/>
    <w:rsid w:val="00F21FD4"/>
    <w:rsid w:val="00F24528"/>
    <w:rsid w:val="00F301FC"/>
    <w:rsid w:val="00F3132D"/>
    <w:rsid w:val="00F313A6"/>
    <w:rsid w:val="00F34A68"/>
    <w:rsid w:val="00F36129"/>
    <w:rsid w:val="00F37503"/>
    <w:rsid w:val="00F407AA"/>
    <w:rsid w:val="00F43E6E"/>
    <w:rsid w:val="00F442EB"/>
    <w:rsid w:val="00F45D66"/>
    <w:rsid w:val="00F466B7"/>
    <w:rsid w:val="00F5151A"/>
    <w:rsid w:val="00F5346D"/>
    <w:rsid w:val="00F546D9"/>
    <w:rsid w:val="00F5743B"/>
    <w:rsid w:val="00F615CB"/>
    <w:rsid w:val="00F6617A"/>
    <w:rsid w:val="00F72E94"/>
    <w:rsid w:val="00F740B9"/>
    <w:rsid w:val="00F75E2A"/>
    <w:rsid w:val="00F76193"/>
    <w:rsid w:val="00F857D3"/>
    <w:rsid w:val="00F86CFA"/>
    <w:rsid w:val="00F90023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711"/>
    <w:rsid w:val="00FC2A47"/>
    <w:rsid w:val="00FC3289"/>
    <w:rsid w:val="00FD0C4C"/>
    <w:rsid w:val="00FD1948"/>
    <w:rsid w:val="00FD4B1E"/>
    <w:rsid w:val="00FD5FF9"/>
    <w:rsid w:val="00FD74F5"/>
    <w:rsid w:val="00FE0EA8"/>
    <w:rsid w:val="00FE1F07"/>
    <w:rsid w:val="00FE32AE"/>
    <w:rsid w:val="00FE4D4F"/>
    <w:rsid w:val="00FF07BB"/>
    <w:rsid w:val="00FF1841"/>
    <w:rsid w:val="00FF1DAF"/>
    <w:rsid w:val="00FF1E26"/>
    <w:rsid w:val="00FF4528"/>
    <w:rsid w:val="00FF4683"/>
    <w:rsid w:val="00FF52C6"/>
    <w:rsid w:val="00FF791C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1235A"/>
  <w15:docId w15:val="{44705482-B380-46D5-90F3-32FEAC37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5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6117B"/>
  </w:style>
  <w:style w:type="character" w:styleId="Zdraznn">
    <w:name w:val="Emphasis"/>
    <w:basedOn w:val="Standardnpsmoodstavce"/>
    <w:uiPriority w:val="20"/>
    <w:qFormat/>
    <w:rsid w:val="00761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C088-1F3C-4E46-A9E5-42BA05CF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Jiří Vacek</cp:lastModifiedBy>
  <cp:revision>2</cp:revision>
  <dcterms:created xsi:type="dcterms:W3CDTF">2017-06-26T00:24:00Z</dcterms:created>
  <dcterms:modified xsi:type="dcterms:W3CDTF">2017-06-26T00:24:00Z</dcterms:modified>
</cp:coreProperties>
</file>