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2CC" w:rsidRPr="007265CC" w:rsidRDefault="00BD0BFB" w:rsidP="00BB1A72">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První čtvrtletí roku 2017 zaznamenalo rekordní počet ukončených a zadaných zakázek, jejich nárůst však postupně slábne</w:t>
      </w:r>
    </w:p>
    <w:p w:rsidR="00C63502" w:rsidRPr="007265CC" w:rsidRDefault="00C63502" w:rsidP="00EC72CC">
      <w:pPr>
        <w:spacing w:after="0" w:line="360" w:lineRule="auto"/>
        <w:jc w:val="center"/>
        <w:rPr>
          <w:rFonts w:ascii="Arial" w:eastAsia="SimSun" w:hAnsi="Arial" w:cs="Arial"/>
          <w:b/>
          <w:bCs/>
          <w:color w:val="000000" w:themeColor="text1"/>
          <w:kern w:val="1"/>
          <w:sz w:val="32"/>
          <w:szCs w:val="32"/>
        </w:rPr>
      </w:pPr>
    </w:p>
    <w:p w:rsidR="00EE4A95" w:rsidRPr="003C69F9" w:rsidRDefault="00B718C2" w:rsidP="00494BCC">
      <w:pPr>
        <w:spacing w:after="0" w:line="360" w:lineRule="auto"/>
        <w:jc w:val="both"/>
        <w:rPr>
          <w:rFonts w:ascii="Arial" w:eastAsia="SimSun" w:hAnsi="Arial" w:cs="Arial"/>
          <w:b/>
          <w:color w:val="000000" w:themeColor="text1"/>
          <w:kern w:val="1"/>
        </w:rPr>
      </w:pPr>
      <w:r w:rsidRPr="003C69F9">
        <w:rPr>
          <w:rFonts w:ascii="Arial" w:eastAsia="SimSun" w:hAnsi="Arial" w:cs="Arial"/>
          <w:b/>
          <w:color w:val="000000" w:themeColor="text1"/>
          <w:kern w:val="1"/>
        </w:rPr>
        <w:t>Praha</w:t>
      </w:r>
      <w:r w:rsidR="001F188B">
        <w:rPr>
          <w:rFonts w:ascii="Arial" w:eastAsia="SimSun" w:hAnsi="Arial" w:cs="Arial"/>
          <w:b/>
          <w:color w:val="000000" w:themeColor="text1"/>
          <w:kern w:val="1"/>
        </w:rPr>
        <w:t xml:space="preserve"> </w:t>
      </w:r>
      <w:r w:rsidR="0013030A">
        <w:rPr>
          <w:rFonts w:ascii="Arial" w:eastAsia="SimSun" w:hAnsi="Arial" w:cs="Arial"/>
          <w:b/>
          <w:color w:val="000000" w:themeColor="text1"/>
          <w:kern w:val="1"/>
        </w:rPr>
        <w:t>18. května</w:t>
      </w:r>
      <w:r w:rsidR="001D7988" w:rsidRPr="003C69F9">
        <w:rPr>
          <w:rFonts w:ascii="Arial" w:eastAsia="SimSun" w:hAnsi="Arial" w:cs="Arial"/>
          <w:b/>
          <w:color w:val="000000" w:themeColor="text1"/>
          <w:kern w:val="1"/>
        </w:rPr>
        <w:t xml:space="preserve"> </w:t>
      </w:r>
      <w:r w:rsidR="00627790" w:rsidRPr="003C69F9">
        <w:rPr>
          <w:rFonts w:ascii="Arial" w:eastAsia="SimSun" w:hAnsi="Arial" w:cs="Arial"/>
          <w:b/>
          <w:color w:val="000000" w:themeColor="text1"/>
          <w:kern w:val="1"/>
        </w:rPr>
        <w:t>–</w:t>
      </w:r>
      <w:r w:rsidR="00FD2CA5">
        <w:rPr>
          <w:rFonts w:ascii="Arial" w:eastAsia="SimSun" w:hAnsi="Arial" w:cs="Arial"/>
          <w:b/>
          <w:color w:val="000000" w:themeColor="text1"/>
          <w:kern w:val="1"/>
        </w:rPr>
        <w:t xml:space="preserve"> Od ledna do března 2017 bylo ukončeno a zadáno dodavatelům celkem 2904</w:t>
      </w:r>
      <w:r w:rsidR="008E790D">
        <w:rPr>
          <w:rFonts w:ascii="Arial" w:eastAsia="SimSun" w:hAnsi="Arial" w:cs="Arial"/>
          <w:b/>
          <w:color w:val="000000" w:themeColor="text1"/>
          <w:kern w:val="1"/>
        </w:rPr>
        <w:t xml:space="preserve"> </w:t>
      </w:r>
      <w:r w:rsidR="00FD2CA5">
        <w:rPr>
          <w:rFonts w:ascii="Arial" w:eastAsia="SimSun" w:hAnsi="Arial" w:cs="Arial"/>
          <w:b/>
          <w:color w:val="000000" w:themeColor="text1"/>
          <w:kern w:val="1"/>
        </w:rPr>
        <w:t>výběrových řízení v hodnotě 95,2</w:t>
      </w:r>
      <w:r w:rsidR="000F477A">
        <w:rPr>
          <w:rFonts w:ascii="Arial" w:eastAsia="SimSun" w:hAnsi="Arial" w:cs="Arial"/>
          <w:b/>
          <w:color w:val="000000" w:themeColor="text1"/>
          <w:kern w:val="1"/>
        </w:rPr>
        <w:t xml:space="preserve"> miliard</w:t>
      </w:r>
      <w:r w:rsidR="00FD2CA5">
        <w:rPr>
          <w:rFonts w:ascii="Arial" w:eastAsia="SimSun" w:hAnsi="Arial" w:cs="Arial"/>
          <w:b/>
          <w:color w:val="000000" w:themeColor="text1"/>
          <w:kern w:val="1"/>
        </w:rPr>
        <w:t>y korun, což představuje nejvyšší počet zadaných zakázek za srovnatelné období za poslední tři roky a dvouleté maximum jejich objemu.</w:t>
      </w:r>
      <w:r w:rsidR="008E790D">
        <w:rPr>
          <w:rFonts w:ascii="Arial" w:eastAsia="SimSun" w:hAnsi="Arial" w:cs="Arial"/>
          <w:b/>
          <w:color w:val="000000" w:themeColor="text1"/>
          <w:kern w:val="1"/>
        </w:rPr>
        <w:t xml:space="preserve"> </w:t>
      </w:r>
      <w:r w:rsidR="00FD2CA5">
        <w:rPr>
          <w:rFonts w:ascii="Arial" w:eastAsia="SimSun" w:hAnsi="Arial" w:cs="Arial"/>
          <w:b/>
          <w:color w:val="000000" w:themeColor="text1"/>
          <w:kern w:val="1"/>
        </w:rPr>
        <w:t xml:space="preserve">V prvním čtvrtletí tohoto roku pak veřejní investoři vypsali 2029 nových výběrových řízení v hodnotě 52,6 miliardy korun. </w:t>
      </w:r>
      <w:r w:rsidR="00DC6643" w:rsidRPr="003C69F9">
        <w:rPr>
          <w:rFonts w:ascii="Arial" w:eastAsia="SimSun" w:hAnsi="Arial" w:cs="Arial"/>
          <w:b/>
          <w:color w:val="000000" w:themeColor="text1"/>
          <w:kern w:val="1"/>
        </w:rPr>
        <w:t xml:space="preserve">Vyplývá to z nejnovější analýzy zpracované analytickou společností CEEC Research na základě dat uveřejněných </w:t>
      </w:r>
      <w:r w:rsidR="00DB5326" w:rsidRPr="003C69F9">
        <w:rPr>
          <w:rFonts w:ascii="Arial" w:eastAsia="SimSun" w:hAnsi="Arial" w:cs="Arial"/>
          <w:b/>
          <w:color w:val="000000" w:themeColor="text1"/>
          <w:kern w:val="1"/>
        </w:rPr>
        <w:t xml:space="preserve">ve Věstníku veřejných zakázek </w:t>
      </w:r>
      <w:r w:rsidR="000603B3">
        <w:rPr>
          <w:rFonts w:ascii="Arial" w:eastAsia="SimSun" w:hAnsi="Arial" w:cs="Arial"/>
          <w:b/>
          <w:color w:val="000000" w:themeColor="text1"/>
          <w:kern w:val="1"/>
        </w:rPr>
        <w:t>na konci</w:t>
      </w:r>
      <w:r w:rsidR="00641BC9">
        <w:rPr>
          <w:rFonts w:ascii="Arial" w:eastAsia="SimSun" w:hAnsi="Arial" w:cs="Arial"/>
          <w:b/>
          <w:color w:val="000000" w:themeColor="text1"/>
          <w:kern w:val="1"/>
        </w:rPr>
        <w:t xml:space="preserve"> března</w:t>
      </w:r>
      <w:r w:rsidR="00CE7ABD">
        <w:rPr>
          <w:rFonts w:ascii="Arial" w:eastAsia="SimSun" w:hAnsi="Arial" w:cs="Arial"/>
          <w:b/>
          <w:color w:val="000000" w:themeColor="text1"/>
          <w:kern w:val="1"/>
        </w:rPr>
        <w:t xml:space="preserve"> 2017</w:t>
      </w:r>
      <w:r w:rsidR="00DB5326" w:rsidRPr="003C69F9">
        <w:rPr>
          <w:rFonts w:ascii="Arial" w:eastAsia="SimSun" w:hAnsi="Arial" w:cs="Arial"/>
          <w:b/>
          <w:color w:val="000000" w:themeColor="text1"/>
          <w:kern w:val="1"/>
        </w:rPr>
        <w:t>.</w:t>
      </w:r>
    </w:p>
    <w:p w:rsidR="00EE4A95" w:rsidRPr="003C69F9" w:rsidRDefault="00EE4A95" w:rsidP="00494BCC">
      <w:pPr>
        <w:spacing w:after="0" w:line="360" w:lineRule="auto"/>
        <w:jc w:val="both"/>
        <w:rPr>
          <w:rFonts w:ascii="Arial" w:hAnsi="Arial" w:cs="Arial"/>
          <w:color w:val="000000" w:themeColor="text1"/>
        </w:rPr>
      </w:pPr>
    </w:p>
    <w:p w:rsidR="00E80E1B" w:rsidRDefault="001F2AC0" w:rsidP="00954499">
      <w:pPr>
        <w:autoSpaceDE w:val="0"/>
        <w:autoSpaceDN w:val="0"/>
        <w:adjustRightInd w:val="0"/>
        <w:spacing w:after="0" w:line="360" w:lineRule="auto"/>
        <w:jc w:val="both"/>
        <w:rPr>
          <w:rFonts w:ascii="Arial" w:hAnsi="Arial" w:cs="Arial"/>
          <w:color w:val="000000" w:themeColor="text1"/>
        </w:rPr>
      </w:pPr>
      <w:r>
        <w:rPr>
          <w:rFonts w:ascii="Arial" w:hAnsi="Arial" w:cs="Arial"/>
          <w:color w:val="000000" w:themeColor="text1"/>
        </w:rPr>
        <w:t xml:space="preserve">V březnu </w:t>
      </w:r>
      <w:r w:rsidR="008A6107">
        <w:rPr>
          <w:rFonts w:ascii="Arial" w:hAnsi="Arial" w:cs="Arial"/>
          <w:color w:val="000000" w:themeColor="text1"/>
        </w:rPr>
        <w:t>letošního roku</w:t>
      </w:r>
      <w:r w:rsidR="00EE0D98">
        <w:rPr>
          <w:rFonts w:ascii="Arial" w:hAnsi="Arial" w:cs="Arial"/>
          <w:color w:val="000000" w:themeColor="text1"/>
        </w:rPr>
        <w:t xml:space="preserve"> </w:t>
      </w:r>
      <w:r w:rsidR="00767B87">
        <w:rPr>
          <w:rFonts w:ascii="Arial" w:hAnsi="Arial" w:cs="Arial"/>
          <w:color w:val="000000" w:themeColor="text1"/>
        </w:rPr>
        <w:t>vyhlásili veřejní</w:t>
      </w:r>
      <w:r w:rsidR="00635D42">
        <w:rPr>
          <w:rFonts w:ascii="Arial" w:hAnsi="Arial" w:cs="Arial"/>
          <w:color w:val="000000" w:themeColor="text1"/>
        </w:rPr>
        <w:t xml:space="preserve"> investoři </w:t>
      </w:r>
      <w:r>
        <w:rPr>
          <w:rFonts w:ascii="Arial" w:hAnsi="Arial" w:cs="Arial"/>
          <w:color w:val="000000" w:themeColor="text1"/>
        </w:rPr>
        <w:t>celkem 827</w:t>
      </w:r>
      <w:r w:rsidR="00BA7A40">
        <w:rPr>
          <w:rFonts w:ascii="Arial" w:hAnsi="Arial" w:cs="Arial"/>
          <w:color w:val="000000" w:themeColor="text1"/>
        </w:rPr>
        <w:t xml:space="preserve"> výběrových řízení v</w:t>
      </w:r>
      <w:r w:rsidR="00B265DF">
        <w:rPr>
          <w:rFonts w:ascii="Arial" w:hAnsi="Arial" w:cs="Arial"/>
          <w:color w:val="000000" w:themeColor="text1"/>
        </w:rPr>
        <w:t xml:space="preserve"> hodnotě</w:t>
      </w:r>
      <w:r>
        <w:rPr>
          <w:rFonts w:ascii="Arial" w:hAnsi="Arial" w:cs="Arial"/>
          <w:color w:val="000000" w:themeColor="text1"/>
        </w:rPr>
        <w:t xml:space="preserve"> 23</w:t>
      </w:r>
      <w:r w:rsidR="000D799A">
        <w:rPr>
          <w:rFonts w:ascii="Arial" w:hAnsi="Arial" w:cs="Arial"/>
          <w:color w:val="000000" w:themeColor="text1"/>
        </w:rPr>
        <w:t xml:space="preserve"> miliard</w:t>
      </w:r>
      <w:r w:rsidR="008A6107">
        <w:rPr>
          <w:rFonts w:ascii="Arial" w:hAnsi="Arial" w:cs="Arial"/>
          <w:color w:val="000000" w:themeColor="text1"/>
        </w:rPr>
        <w:t xml:space="preserve"> korun, což</w:t>
      </w:r>
      <w:r w:rsidR="00255540">
        <w:rPr>
          <w:rFonts w:ascii="Arial" w:hAnsi="Arial" w:cs="Arial"/>
          <w:color w:val="000000" w:themeColor="text1"/>
        </w:rPr>
        <w:t xml:space="preserve"> </w:t>
      </w:r>
      <w:r>
        <w:rPr>
          <w:rFonts w:ascii="Arial" w:hAnsi="Arial" w:cs="Arial"/>
          <w:color w:val="000000" w:themeColor="text1"/>
        </w:rPr>
        <w:t>ve srovnání s odpovídajícím</w:t>
      </w:r>
      <w:r w:rsidR="001B4354">
        <w:rPr>
          <w:rFonts w:ascii="Arial" w:hAnsi="Arial" w:cs="Arial"/>
          <w:color w:val="000000" w:themeColor="text1"/>
        </w:rPr>
        <w:t xml:space="preserve"> období</w:t>
      </w:r>
      <w:r w:rsidR="00CD6E22">
        <w:rPr>
          <w:rFonts w:ascii="Arial" w:hAnsi="Arial" w:cs="Arial"/>
          <w:color w:val="000000" w:themeColor="text1"/>
        </w:rPr>
        <w:t>m</w:t>
      </w:r>
      <w:r w:rsidR="008A6107">
        <w:rPr>
          <w:rFonts w:ascii="Arial" w:hAnsi="Arial" w:cs="Arial"/>
          <w:color w:val="000000" w:themeColor="text1"/>
        </w:rPr>
        <w:t xml:space="preserve"> minulé</w:t>
      </w:r>
      <w:r>
        <w:rPr>
          <w:rFonts w:ascii="Arial" w:hAnsi="Arial" w:cs="Arial"/>
          <w:color w:val="000000" w:themeColor="text1"/>
        </w:rPr>
        <w:t>ho roku představuje stagnaci</w:t>
      </w:r>
      <w:r w:rsidR="00783F7D">
        <w:rPr>
          <w:rFonts w:ascii="Arial" w:hAnsi="Arial" w:cs="Arial"/>
          <w:color w:val="000000" w:themeColor="text1"/>
        </w:rPr>
        <w:t xml:space="preserve"> </w:t>
      </w:r>
      <w:r>
        <w:rPr>
          <w:rFonts w:ascii="Arial" w:hAnsi="Arial" w:cs="Arial"/>
          <w:color w:val="000000" w:themeColor="text1"/>
        </w:rPr>
        <w:t>počtu (pokles 3,7</w:t>
      </w:r>
      <w:r w:rsidR="008A6107">
        <w:rPr>
          <w:rFonts w:ascii="Arial" w:hAnsi="Arial" w:cs="Arial"/>
          <w:color w:val="000000" w:themeColor="text1"/>
        </w:rPr>
        <w:t xml:space="preserve"> procenta)</w:t>
      </w:r>
      <w:r w:rsidR="001B4354">
        <w:rPr>
          <w:rFonts w:ascii="Arial" w:hAnsi="Arial" w:cs="Arial"/>
          <w:color w:val="000000" w:themeColor="text1"/>
        </w:rPr>
        <w:t xml:space="preserve"> vyhlášený</w:t>
      </w:r>
      <w:r w:rsidR="008A6107">
        <w:rPr>
          <w:rFonts w:ascii="Arial" w:hAnsi="Arial" w:cs="Arial"/>
          <w:color w:val="000000" w:themeColor="text1"/>
        </w:rPr>
        <w:t xml:space="preserve">ch soutěží a </w:t>
      </w:r>
      <w:r w:rsidR="003D7292">
        <w:rPr>
          <w:rFonts w:ascii="Arial" w:hAnsi="Arial" w:cs="Arial"/>
          <w:color w:val="000000" w:themeColor="text1"/>
        </w:rPr>
        <w:t>mírný</w:t>
      </w:r>
      <w:r w:rsidR="005A5293">
        <w:rPr>
          <w:rFonts w:ascii="Arial" w:hAnsi="Arial" w:cs="Arial"/>
          <w:color w:val="000000" w:themeColor="text1"/>
        </w:rPr>
        <w:t>,</w:t>
      </w:r>
      <w:r w:rsidR="003D7292">
        <w:rPr>
          <w:rFonts w:ascii="Arial" w:hAnsi="Arial" w:cs="Arial"/>
          <w:color w:val="000000" w:themeColor="text1"/>
        </w:rPr>
        <w:t xml:space="preserve"> </w:t>
      </w:r>
      <w:r>
        <w:rPr>
          <w:rFonts w:ascii="Arial" w:hAnsi="Arial" w:cs="Arial"/>
          <w:color w:val="000000" w:themeColor="text1"/>
        </w:rPr>
        <w:t>šestiprocentní (6,4</w:t>
      </w:r>
      <w:r w:rsidR="00783F7D">
        <w:rPr>
          <w:rFonts w:ascii="Arial" w:hAnsi="Arial" w:cs="Arial"/>
          <w:color w:val="000000" w:themeColor="text1"/>
        </w:rPr>
        <w:t xml:space="preserve"> procenta) pokles</w:t>
      </w:r>
      <w:r w:rsidR="001B4354">
        <w:rPr>
          <w:rFonts w:ascii="Arial" w:hAnsi="Arial" w:cs="Arial"/>
          <w:color w:val="000000" w:themeColor="text1"/>
        </w:rPr>
        <w:t xml:space="preserve"> jejich objem</w:t>
      </w:r>
      <w:r w:rsidR="00783F7D">
        <w:rPr>
          <w:rFonts w:ascii="Arial" w:hAnsi="Arial" w:cs="Arial"/>
          <w:color w:val="000000" w:themeColor="text1"/>
        </w:rPr>
        <w:t>u.</w:t>
      </w:r>
      <w:r w:rsidR="00645651">
        <w:rPr>
          <w:rFonts w:ascii="Arial" w:hAnsi="Arial" w:cs="Arial"/>
          <w:color w:val="000000" w:themeColor="text1"/>
        </w:rPr>
        <w:t xml:space="preserve"> </w:t>
      </w:r>
      <w:r w:rsidRPr="001F2AC0">
        <w:rPr>
          <w:rFonts w:ascii="Arial" w:hAnsi="Arial" w:cs="Arial"/>
          <w:color w:val="000000" w:themeColor="text1"/>
        </w:rPr>
        <w:t>Největší výběrové řízení tohoto měsíce v</w:t>
      </w:r>
      <w:r>
        <w:rPr>
          <w:rFonts w:ascii="Arial" w:hAnsi="Arial" w:cs="Arial"/>
          <w:color w:val="000000" w:themeColor="text1"/>
        </w:rPr>
        <w:t xml:space="preserve"> </w:t>
      </w:r>
      <w:r w:rsidRPr="001F2AC0">
        <w:rPr>
          <w:rFonts w:ascii="Arial" w:hAnsi="Arial" w:cs="Arial"/>
          <w:color w:val="000000" w:themeColor="text1"/>
        </w:rPr>
        <w:t>hodnotě 1,4 miliardy korun vypsala Správa železniční dopravní cesty na</w:t>
      </w:r>
      <w:r>
        <w:rPr>
          <w:rFonts w:ascii="Arial" w:hAnsi="Arial" w:cs="Arial"/>
          <w:color w:val="000000" w:themeColor="text1"/>
        </w:rPr>
        <w:t xml:space="preserve"> </w:t>
      </w:r>
      <w:r w:rsidRPr="001F2AC0">
        <w:rPr>
          <w:rFonts w:ascii="Arial" w:hAnsi="Arial" w:cs="Arial"/>
          <w:color w:val="000000" w:themeColor="text1"/>
        </w:rPr>
        <w:t>zvýšení traťové rychlosti v úseku Říkonín – Vlkov u Tišnova.</w:t>
      </w:r>
      <w:r w:rsidR="00604DB7">
        <w:rPr>
          <w:rFonts w:ascii="Arial" w:hAnsi="Arial" w:cs="Arial"/>
          <w:color w:val="000000" w:themeColor="text1"/>
        </w:rPr>
        <w:t xml:space="preserve"> </w:t>
      </w:r>
      <w:r w:rsidR="00604DB7" w:rsidRPr="00A05FF5">
        <w:rPr>
          <w:rFonts w:ascii="Arial" w:hAnsi="Arial" w:cs="Arial"/>
          <w:i/>
          <w:iCs/>
          <w:color w:val="000000" w:themeColor="text1"/>
        </w:rPr>
        <w:t xml:space="preserve">„Propad </w:t>
      </w:r>
      <w:r w:rsidR="00604DB7">
        <w:rPr>
          <w:rFonts w:ascii="Arial" w:hAnsi="Arial" w:cs="Arial"/>
          <w:i/>
          <w:iCs/>
          <w:color w:val="000000" w:themeColor="text1"/>
        </w:rPr>
        <w:t xml:space="preserve">prvních měsíců </w:t>
      </w:r>
      <w:r w:rsidR="00604DB7" w:rsidRPr="00A05FF5">
        <w:rPr>
          <w:rFonts w:ascii="Arial" w:hAnsi="Arial" w:cs="Arial"/>
          <w:i/>
          <w:iCs/>
          <w:color w:val="000000" w:themeColor="text1"/>
        </w:rPr>
        <w:t xml:space="preserve">ve vypisování veřejných zakázek již podle nejnovějších dat pomalu odeznívá a projevuje se zde jak pozitivní vývoj české ekonomiky, tak optimistická očekávání investorů. Do budoucna jde jednoznačně o pozitivní signál, avšak celkově </w:t>
      </w:r>
      <w:r w:rsidR="005A5293" w:rsidRPr="00A05FF5">
        <w:rPr>
          <w:rFonts w:ascii="Arial" w:hAnsi="Arial" w:cs="Arial"/>
          <w:i/>
          <w:iCs/>
          <w:color w:val="000000" w:themeColor="text1"/>
        </w:rPr>
        <w:t xml:space="preserve">očekávám </w:t>
      </w:r>
      <w:r w:rsidR="005A5293">
        <w:rPr>
          <w:rFonts w:ascii="Arial" w:hAnsi="Arial" w:cs="Arial"/>
          <w:i/>
          <w:iCs/>
          <w:color w:val="000000" w:themeColor="text1"/>
        </w:rPr>
        <w:t xml:space="preserve">v </w:t>
      </w:r>
      <w:r w:rsidR="00604DB7" w:rsidRPr="00A05FF5">
        <w:rPr>
          <w:rFonts w:ascii="Arial" w:hAnsi="Arial" w:cs="Arial"/>
          <w:i/>
          <w:iCs/>
          <w:color w:val="000000" w:themeColor="text1"/>
        </w:rPr>
        <w:t>letošní</w:t>
      </w:r>
      <w:r w:rsidR="005A5293">
        <w:rPr>
          <w:rFonts w:ascii="Arial" w:hAnsi="Arial" w:cs="Arial"/>
          <w:i/>
          <w:iCs/>
          <w:color w:val="000000" w:themeColor="text1"/>
        </w:rPr>
        <w:t>m</w:t>
      </w:r>
      <w:r w:rsidR="00604DB7" w:rsidRPr="00A05FF5">
        <w:rPr>
          <w:rFonts w:ascii="Arial" w:hAnsi="Arial" w:cs="Arial"/>
          <w:i/>
          <w:iCs/>
          <w:color w:val="000000" w:themeColor="text1"/>
        </w:rPr>
        <w:t xml:space="preserve"> ro</w:t>
      </w:r>
      <w:r w:rsidR="005A5293">
        <w:rPr>
          <w:rFonts w:ascii="Arial" w:hAnsi="Arial" w:cs="Arial"/>
          <w:i/>
          <w:iCs/>
          <w:color w:val="000000" w:themeColor="text1"/>
        </w:rPr>
        <w:t>ce</w:t>
      </w:r>
      <w:r w:rsidR="00604DB7" w:rsidRPr="00A05FF5">
        <w:rPr>
          <w:rFonts w:ascii="Arial" w:hAnsi="Arial" w:cs="Arial"/>
          <w:i/>
          <w:iCs/>
          <w:color w:val="000000" w:themeColor="text1"/>
        </w:rPr>
        <w:t xml:space="preserve"> v této oblasti jen mírný růst,“</w:t>
      </w:r>
      <w:r w:rsidR="00604DB7">
        <w:rPr>
          <w:rFonts w:ascii="Arial" w:hAnsi="Arial" w:cs="Arial"/>
          <w:color w:val="000000" w:themeColor="text1"/>
        </w:rPr>
        <w:t xml:space="preserve"> komentuje vývoj </w:t>
      </w:r>
      <w:r w:rsidR="00604DB7" w:rsidRPr="00A05FF5">
        <w:rPr>
          <w:rFonts w:ascii="Arial" w:hAnsi="Arial" w:cs="Arial"/>
          <w:b/>
          <w:bCs/>
          <w:color w:val="000000" w:themeColor="text1"/>
        </w:rPr>
        <w:t>Pavel Kliment, partner odpovědný za sektor stavebnictví a real estate v KPMG Česká republika.</w:t>
      </w:r>
    </w:p>
    <w:p w:rsidR="00604DB7" w:rsidRDefault="00604DB7" w:rsidP="00954499">
      <w:pPr>
        <w:autoSpaceDE w:val="0"/>
        <w:autoSpaceDN w:val="0"/>
        <w:adjustRightInd w:val="0"/>
        <w:spacing w:after="0" w:line="360" w:lineRule="auto"/>
        <w:jc w:val="both"/>
        <w:rPr>
          <w:rFonts w:ascii="Arial" w:hAnsi="Arial" w:cs="Arial"/>
          <w:color w:val="000000" w:themeColor="text1"/>
        </w:rPr>
      </w:pPr>
    </w:p>
    <w:p w:rsidR="007A72C5" w:rsidRDefault="00BB7924" w:rsidP="00A05FF5">
      <w:pPr>
        <w:autoSpaceDE w:val="0"/>
        <w:autoSpaceDN w:val="0"/>
        <w:adjustRightInd w:val="0"/>
        <w:spacing w:after="0" w:line="360" w:lineRule="auto"/>
        <w:jc w:val="both"/>
        <w:rPr>
          <w:rFonts w:ascii="Arial" w:hAnsi="Arial" w:cs="Arial"/>
          <w:color w:val="000000" w:themeColor="text1"/>
        </w:rPr>
      </w:pPr>
      <w:r>
        <w:rPr>
          <w:rFonts w:ascii="Arial" w:hAnsi="Arial" w:cs="Arial"/>
          <w:color w:val="000000" w:themeColor="text1"/>
        </w:rPr>
        <w:t>V prvním čtvrtletí</w:t>
      </w:r>
      <w:r w:rsidR="00E80E1B" w:rsidRPr="00E80E1B">
        <w:rPr>
          <w:rFonts w:ascii="Arial" w:hAnsi="Arial" w:cs="Arial"/>
          <w:color w:val="000000" w:themeColor="text1"/>
        </w:rPr>
        <w:t xml:space="preserve"> roku 2017 se ve Věstníku veřejn</w:t>
      </w:r>
      <w:r>
        <w:rPr>
          <w:rFonts w:ascii="Arial" w:hAnsi="Arial" w:cs="Arial"/>
          <w:color w:val="000000" w:themeColor="text1"/>
        </w:rPr>
        <w:t>ých zakázek objevilo celkem 2029</w:t>
      </w:r>
      <w:r w:rsidR="00E80E1B">
        <w:rPr>
          <w:rFonts w:ascii="Arial" w:hAnsi="Arial" w:cs="Arial"/>
          <w:color w:val="000000" w:themeColor="text1"/>
        </w:rPr>
        <w:t xml:space="preserve"> </w:t>
      </w:r>
      <w:r>
        <w:rPr>
          <w:rFonts w:ascii="Arial" w:hAnsi="Arial" w:cs="Arial"/>
          <w:color w:val="000000" w:themeColor="text1"/>
        </w:rPr>
        <w:t>soutěží v souhrnné hodnotě 52</w:t>
      </w:r>
      <w:r w:rsidR="00E80E1B" w:rsidRPr="00E80E1B">
        <w:rPr>
          <w:rFonts w:ascii="Arial" w:hAnsi="Arial" w:cs="Arial"/>
          <w:color w:val="000000" w:themeColor="text1"/>
        </w:rPr>
        <w:t>,6 miliardy korun. V meziroč</w:t>
      </w:r>
      <w:r>
        <w:rPr>
          <w:rFonts w:ascii="Arial" w:hAnsi="Arial" w:cs="Arial"/>
          <w:color w:val="000000" w:themeColor="text1"/>
        </w:rPr>
        <w:t xml:space="preserve">ním srovnání jde o mírný pětiprocentní (5,1 procenta) pokles </w:t>
      </w:r>
      <w:r w:rsidR="00E80E1B" w:rsidRPr="00E80E1B">
        <w:rPr>
          <w:rFonts w:ascii="Arial" w:hAnsi="Arial" w:cs="Arial"/>
          <w:color w:val="000000" w:themeColor="text1"/>
        </w:rPr>
        <w:t>počtu</w:t>
      </w:r>
      <w:r>
        <w:rPr>
          <w:rFonts w:ascii="Arial" w:hAnsi="Arial" w:cs="Arial"/>
          <w:color w:val="000000" w:themeColor="text1"/>
        </w:rPr>
        <w:t xml:space="preserve"> vypsaných zakázek</w:t>
      </w:r>
      <w:r w:rsidR="00E80E1B" w:rsidRPr="00E80E1B">
        <w:rPr>
          <w:rFonts w:ascii="Arial" w:hAnsi="Arial" w:cs="Arial"/>
          <w:color w:val="000000" w:themeColor="text1"/>
        </w:rPr>
        <w:t xml:space="preserve">, </w:t>
      </w:r>
      <w:r>
        <w:rPr>
          <w:rFonts w:ascii="Arial" w:hAnsi="Arial" w:cs="Arial"/>
          <w:color w:val="000000" w:themeColor="text1"/>
        </w:rPr>
        <w:t>jejich objem však vykazuje pokles více než čtvrtinový (28,6</w:t>
      </w:r>
      <w:r w:rsidR="00E80E1B">
        <w:rPr>
          <w:rFonts w:ascii="Arial" w:hAnsi="Arial" w:cs="Arial"/>
          <w:color w:val="000000" w:themeColor="text1"/>
        </w:rPr>
        <w:t xml:space="preserve"> </w:t>
      </w:r>
      <w:r>
        <w:rPr>
          <w:rFonts w:ascii="Arial" w:hAnsi="Arial" w:cs="Arial"/>
          <w:color w:val="000000" w:themeColor="text1"/>
        </w:rPr>
        <w:t>procenta)</w:t>
      </w:r>
      <w:r w:rsidR="00E80E1B" w:rsidRPr="00E80E1B">
        <w:rPr>
          <w:rFonts w:ascii="Arial" w:hAnsi="Arial" w:cs="Arial"/>
          <w:color w:val="000000" w:themeColor="text1"/>
        </w:rPr>
        <w:t>.</w:t>
      </w:r>
      <w:r>
        <w:rPr>
          <w:rFonts w:ascii="Arial" w:hAnsi="Arial" w:cs="Arial"/>
          <w:color w:val="000000" w:themeColor="text1"/>
        </w:rPr>
        <w:t xml:space="preserve"> </w:t>
      </w:r>
      <w:r w:rsidR="00604DB7">
        <w:rPr>
          <w:rFonts w:ascii="Arial" w:hAnsi="Arial" w:cs="Arial"/>
          <w:i/>
          <w:color w:val="000000" w:themeColor="text1"/>
        </w:rPr>
        <w:t>„Další vývoj v oblasti veřejných zakázek bude silně ovlivněn tím, jak se bude dařit vypisovat a dokončovat tendry v oblasti dopravního a inženýrského stavitelství. Infrastrukturní investice se však dlouhodobě potýkají s nekoncepční prací státu, a tak bude zahajování velkých zakázek velmi komplikované,“</w:t>
      </w:r>
      <w:r w:rsidR="00604DB7">
        <w:rPr>
          <w:rFonts w:ascii="Arial" w:hAnsi="Arial" w:cs="Arial"/>
          <w:color w:val="000000" w:themeColor="text1"/>
        </w:rPr>
        <w:t xml:space="preserve"> </w:t>
      </w:r>
      <w:r w:rsidR="00604DB7">
        <w:rPr>
          <w:rFonts w:ascii="Arial" w:hAnsi="Arial" w:cs="Arial"/>
          <w:bCs/>
          <w:color w:val="000000" w:themeColor="text1"/>
        </w:rPr>
        <w:t>říká</w:t>
      </w:r>
      <w:r w:rsidR="00604DB7">
        <w:rPr>
          <w:rFonts w:ascii="Arial" w:hAnsi="Arial" w:cs="Arial"/>
          <w:b/>
          <w:bCs/>
          <w:color w:val="000000" w:themeColor="text1"/>
        </w:rPr>
        <w:t xml:space="preserve"> Vladimír Steiner, provozní ředitel, SCHINDLER CZ, a.</w:t>
      </w:r>
      <w:r w:rsidR="005A5293">
        <w:rPr>
          <w:rFonts w:ascii="Arial" w:hAnsi="Arial" w:cs="Arial"/>
          <w:b/>
          <w:bCs/>
          <w:color w:val="000000" w:themeColor="text1"/>
        </w:rPr>
        <w:t xml:space="preserve"> </w:t>
      </w:r>
      <w:r w:rsidR="00604DB7">
        <w:rPr>
          <w:rFonts w:ascii="Arial" w:hAnsi="Arial" w:cs="Arial"/>
          <w:b/>
          <w:bCs/>
          <w:color w:val="000000" w:themeColor="text1"/>
        </w:rPr>
        <w:t>s.</w:t>
      </w:r>
    </w:p>
    <w:p w:rsidR="008A6107" w:rsidRDefault="008A6107" w:rsidP="008A6107">
      <w:pPr>
        <w:spacing w:after="0" w:line="360" w:lineRule="auto"/>
        <w:jc w:val="both"/>
        <w:rPr>
          <w:rFonts w:ascii="Arial" w:hAnsi="Arial" w:cs="Arial"/>
          <w:color w:val="000000" w:themeColor="text1"/>
        </w:rPr>
      </w:pPr>
    </w:p>
    <w:p w:rsidR="00931D64" w:rsidRPr="00931D64" w:rsidRDefault="00931D64" w:rsidP="00931D64">
      <w:pPr>
        <w:spacing w:after="0" w:line="240" w:lineRule="auto"/>
        <w:jc w:val="both"/>
        <w:rPr>
          <w:rFonts w:ascii="Arial" w:eastAsia="Times New Roman" w:hAnsi="Arial" w:cs="Times New Roman"/>
          <w:bCs/>
          <w:sz w:val="20"/>
          <w:szCs w:val="24"/>
          <w:lang w:eastAsia="cs-CZ"/>
        </w:rPr>
      </w:pPr>
      <w:r w:rsidRPr="00931D64">
        <w:rPr>
          <w:rFonts w:ascii="Arial" w:eastAsia="Times New Roman" w:hAnsi="Arial" w:cs="Times New Roman"/>
          <w:b/>
          <w:bCs/>
          <w:sz w:val="20"/>
          <w:szCs w:val="24"/>
          <w:lang w:eastAsia="cs-CZ"/>
        </w:rPr>
        <w:t xml:space="preserve">Meziroční změny </w:t>
      </w:r>
      <w:r w:rsidR="00093DD9">
        <w:rPr>
          <w:rFonts w:ascii="Arial" w:eastAsia="Times New Roman" w:hAnsi="Arial" w:cs="Times New Roman"/>
          <w:b/>
          <w:bCs/>
          <w:sz w:val="20"/>
          <w:szCs w:val="24"/>
          <w:lang w:eastAsia="cs-CZ"/>
        </w:rPr>
        <w:t>oznámení o zakázce v letech 2016 až 2017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
        <w:gridCol w:w="1776"/>
        <w:gridCol w:w="1074"/>
        <w:gridCol w:w="1074"/>
        <w:gridCol w:w="1075"/>
        <w:gridCol w:w="1074"/>
        <w:gridCol w:w="1074"/>
        <w:gridCol w:w="1075"/>
      </w:tblGrid>
      <w:tr w:rsidR="00383743" w:rsidTr="00C80B45">
        <w:trPr>
          <w:cantSplit/>
          <w:trHeight w:val="284"/>
        </w:trPr>
        <w:tc>
          <w:tcPr>
            <w:tcW w:w="2694" w:type="dxa"/>
            <w:gridSpan w:val="2"/>
            <w:vMerge w:val="restart"/>
            <w:tcBorders>
              <w:top w:val="nil"/>
              <w:left w:val="nil"/>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Zakázky celkem</w:t>
            </w:r>
          </w:p>
        </w:tc>
        <w:tc>
          <w:tcPr>
            <w:tcW w:w="3223" w:type="dxa"/>
            <w:gridSpan w:val="3"/>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Počet</w:t>
            </w:r>
          </w:p>
        </w:tc>
        <w:tc>
          <w:tcPr>
            <w:tcW w:w="3223" w:type="dxa"/>
            <w:gridSpan w:val="3"/>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Hodnota</w:t>
            </w:r>
          </w:p>
        </w:tc>
      </w:tr>
      <w:tr w:rsidR="00383743" w:rsidTr="00C80B45">
        <w:trPr>
          <w:cantSplit/>
          <w:trHeight w:val="284"/>
        </w:trPr>
        <w:tc>
          <w:tcPr>
            <w:tcW w:w="2694" w:type="dxa"/>
            <w:gridSpan w:val="2"/>
            <w:vMerge/>
            <w:tcBorders>
              <w:left w:val="nil"/>
              <w:bottom w:val="single" w:sz="4" w:space="0" w:color="auto"/>
            </w:tcBorders>
          </w:tcPr>
          <w:p w:rsidR="00383743" w:rsidRPr="00383743" w:rsidRDefault="00383743" w:rsidP="00383743">
            <w:pPr>
              <w:spacing w:after="0" w:line="240" w:lineRule="auto"/>
              <w:jc w:val="center"/>
              <w:rPr>
                <w:rFonts w:ascii="Arial" w:eastAsia="Times New Roman" w:hAnsi="Arial" w:cs="Arial"/>
                <w:sz w:val="18"/>
                <w:szCs w:val="16"/>
                <w:lang w:eastAsia="cs-CZ"/>
              </w:rPr>
            </w:pPr>
          </w:p>
        </w:tc>
        <w:tc>
          <w:tcPr>
            <w:tcW w:w="1074" w:type="dxa"/>
            <w:tcBorders>
              <w:bottom w:val="single" w:sz="4" w:space="0" w:color="auto"/>
              <w:right w:val="single" w:sz="4" w:space="0" w:color="auto"/>
            </w:tcBorders>
            <w:vAlign w:val="center"/>
          </w:tcPr>
          <w:p w:rsidR="00383743" w:rsidRPr="00383743" w:rsidRDefault="00CD6E22" w:rsidP="0038374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P</w:t>
            </w:r>
            <w:r w:rsidR="00383743" w:rsidRPr="00383743">
              <w:rPr>
                <w:rFonts w:ascii="Arial" w:eastAsia="Times New Roman" w:hAnsi="Arial" w:cs="Arial"/>
                <w:sz w:val="18"/>
                <w:szCs w:val="16"/>
                <w:lang w:eastAsia="cs-CZ"/>
              </w:rPr>
              <w:t>očet</w:t>
            </w:r>
          </w:p>
        </w:tc>
        <w:tc>
          <w:tcPr>
            <w:tcW w:w="2149" w:type="dxa"/>
            <w:gridSpan w:val="2"/>
            <w:tcBorders>
              <w:left w:val="single" w:sz="4" w:space="0" w:color="auto"/>
              <w:bottom w:val="single" w:sz="4" w:space="0" w:color="auto"/>
              <w:right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Meziroční změna v %</w:t>
            </w:r>
          </w:p>
        </w:tc>
        <w:tc>
          <w:tcPr>
            <w:tcW w:w="1074" w:type="dxa"/>
            <w:tcBorders>
              <w:left w:val="single" w:sz="4" w:space="0" w:color="auto"/>
              <w:bottom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mil. Kč</w:t>
            </w:r>
          </w:p>
        </w:tc>
        <w:tc>
          <w:tcPr>
            <w:tcW w:w="2149" w:type="dxa"/>
            <w:gridSpan w:val="2"/>
            <w:tcBorders>
              <w:left w:val="single" w:sz="4" w:space="0" w:color="auto"/>
              <w:bottom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Meziroční změna v %</w:t>
            </w:r>
          </w:p>
        </w:tc>
      </w:tr>
      <w:tr w:rsidR="00093DD9" w:rsidTr="00C80B45">
        <w:trPr>
          <w:cantSplit/>
          <w:trHeight w:val="284"/>
        </w:trPr>
        <w:tc>
          <w:tcPr>
            <w:tcW w:w="918" w:type="dxa"/>
            <w:vMerge w:val="restart"/>
            <w:tcBorders>
              <w:top w:val="single" w:sz="4" w:space="0" w:color="auto"/>
            </w:tcBorders>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2016</w:t>
            </w:r>
          </w:p>
        </w:tc>
        <w:tc>
          <w:tcPr>
            <w:tcW w:w="1776" w:type="dxa"/>
            <w:tcBorders>
              <w:top w:val="single" w:sz="4" w:space="0" w:color="auto"/>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2 137</w:t>
            </w:r>
          </w:p>
        </w:tc>
        <w:tc>
          <w:tcPr>
            <w:tcW w:w="1074" w:type="dxa"/>
            <w:tcBorders>
              <w:top w:val="single" w:sz="4" w:space="0" w:color="auto"/>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+10,3</w:t>
            </w:r>
          </w:p>
        </w:tc>
        <w:tc>
          <w:tcPr>
            <w:tcW w:w="1074" w:type="dxa"/>
            <w:tcBorders>
              <w:top w:val="single" w:sz="4" w:space="0" w:color="auto"/>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73 585</w:t>
            </w:r>
          </w:p>
        </w:tc>
        <w:tc>
          <w:tcPr>
            <w:tcW w:w="1074" w:type="dxa"/>
            <w:tcBorders>
              <w:top w:val="single" w:sz="4" w:space="0" w:color="auto"/>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+26,3</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2 663</w:t>
            </w:r>
          </w:p>
        </w:tc>
        <w:tc>
          <w:tcPr>
            <w:tcW w:w="1074" w:type="dxa"/>
            <w:tcBorders>
              <w:top w:val="nil"/>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+20,8</w:t>
            </w:r>
          </w:p>
        </w:tc>
        <w:tc>
          <w:tcPr>
            <w:tcW w:w="1074" w:type="dxa"/>
            <w:tcBorders>
              <w:top w:val="nil"/>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84 949</w:t>
            </w:r>
          </w:p>
        </w:tc>
        <w:tc>
          <w:tcPr>
            <w:tcW w:w="1074" w:type="dxa"/>
            <w:tcBorders>
              <w:top w:val="nil"/>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Arial"/>
                <w:sz w:val="18"/>
                <w:szCs w:val="16"/>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-14,4</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2 782</w:t>
            </w:r>
          </w:p>
        </w:tc>
        <w:tc>
          <w:tcPr>
            <w:tcW w:w="1074" w:type="dxa"/>
            <w:tcBorders>
              <w:top w:val="nil"/>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+52,4</w:t>
            </w:r>
          </w:p>
        </w:tc>
        <w:tc>
          <w:tcPr>
            <w:tcW w:w="1074" w:type="dxa"/>
            <w:tcBorders>
              <w:top w:val="nil"/>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196 854</w:t>
            </w:r>
          </w:p>
        </w:tc>
        <w:tc>
          <w:tcPr>
            <w:tcW w:w="1074" w:type="dxa"/>
            <w:tcBorders>
              <w:top w:val="nil"/>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+266,5</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single" w:sz="4" w:space="0" w:color="auto"/>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1 278</w:t>
            </w:r>
          </w:p>
        </w:tc>
        <w:tc>
          <w:tcPr>
            <w:tcW w:w="1074" w:type="dxa"/>
            <w:tcBorders>
              <w:top w:val="nil"/>
              <w:left w:val="single" w:sz="4" w:space="0" w:color="auto"/>
              <w:bottom w:val="single" w:sz="4" w:space="0" w:color="auto"/>
              <w:right w:val="nil"/>
            </w:tcBorders>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-15,1</w:t>
            </w:r>
          </w:p>
        </w:tc>
        <w:tc>
          <w:tcPr>
            <w:tcW w:w="1074" w:type="dxa"/>
            <w:tcBorders>
              <w:top w:val="nil"/>
              <w:left w:val="single" w:sz="4" w:space="0" w:color="auto"/>
              <w:bottom w:val="single" w:sz="4" w:space="0" w:color="auto"/>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36 810</w:t>
            </w:r>
          </w:p>
        </w:tc>
        <w:tc>
          <w:tcPr>
            <w:tcW w:w="1074" w:type="dxa"/>
            <w:tcBorders>
              <w:top w:val="nil"/>
              <w:left w:val="single" w:sz="4" w:space="0" w:color="auto"/>
              <w:bottom w:val="single" w:sz="4" w:space="0" w:color="auto"/>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-27,6</w:t>
            </w:r>
          </w:p>
        </w:tc>
      </w:tr>
      <w:tr w:rsidR="00093DD9" w:rsidTr="00C80B45">
        <w:trPr>
          <w:cantSplit/>
          <w:trHeight w:val="284"/>
        </w:trPr>
        <w:tc>
          <w:tcPr>
            <w:tcW w:w="918" w:type="dxa"/>
            <w:vMerge/>
            <w:tcBorders>
              <w:bottom w:val="single" w:sz="4" w:space="0" w:color="auto"/>
            </w:tcBorders>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093DD9" w:rsidRPr="00093DD9" w:rsidRDefault="00093DD9" w:rsidP="00093DD9">
            <w:pPr>
              <w:spacing w:after="0" w:line="240" w:lineRule="auto"/>
              <w:rPr>
                <w:rFonts w:ascii="Arial" w:eastAsia="Times New Roman" w:hAnsi="Arial" w:cs="Arial"/>
                <w:b/>
                <w:bCs/>
                <w:sz w:val="18"/>
                <w:szCs w:val="16"/>
                <w:lang w:eastAsia="cs-CZ"/>
              </w:rPr>
            </w:pPr>
            <w:r w:rsidRPr="00093DD9">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b/>
                <w:bCs/>
                <w:sz w:val="18"/>
                <w:szCs w:val="16"/>
                <w:lang w:eastAsia="cs-CZ"/>
              </w:rPr>
            </w:pPr>
            <w:r w:rsidRPr="00093DD9">
              <w:rPr>
                <w:rFonts w:ascii="Arial" w:eastAsia="Times New Roman" w:hAnsi="Arial" w:cs="Arial"/>
                <w:b/>
                <w:bCs/>
                <w:sz w:val="18"/>
                <w:szCs w:val="16"/>
                <w:lang w:eastAsia="cs-CZ"/>
              </w:rPr>
              <w:t>8 860</w:t>
            </w:r>
          </w:p>
        </w:tc>
        <w:tc>
          <w:tcPr>
            <w:tcW w:w="1074" w:type="dxa"/>
            <w:tcBorders>
              <w:top w:val="single" w:sz="4" w:space="0" w:color="auto"/>
              <w:left w:val="single" w:sz="4" w:space="0" w:color="auto"/>
              <w:bottom w:val="single" w:sz="4" w:space="0" w:color="auto"/>
              <w:right w:val="nil"/>
            </w:tcBorders>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b/>
                <w:bCs/>
                <w:sz w:val="18"/>
                <w:szCs w:val="16"/>
                <w:lang w:eastAsia="cs-CZ"/>
              </w:rPr>
            </w:pPr>
            <w:r w:rsidRPr="00093DD9">
              <w:rPr>
                <w:rFonts w:ascii="Arial" w:eastAsia="Times New Roman" w:hAnsi="Arial" w:cs="Arial"/>
                <w:b/>
                <w:bCs/>
                <w:sz w:val="18"/>
                <w:szCs w:val="16"/>
                <w:lang w:eastAsia="cs-CZ"/>
              </w:rPr>
              <w:t>+18,6</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b/>
                <w:bCs/>
                <w:sz w:val="18"/>
                <w:szCs w:val="16"/>
                <w:lang w:eastAsia="cs-CZ"/>
              </w:rPr>
            </w:pPr>
            <w:r w:rsidRPr="00093DD9">
              <w:rPr>
                <w:rFonts w:ascii="Arial" w:eastAsia="Times New Roman" w:hAnsi="Arial" w:cs="Arial"/>
                <w:b/>
                <w:bCs/>
                <w:sz w:val="18"/>
                <w:szCs w:val="16"/>
                <w:lang w:eastAsia="cs-CZ"/>
              </w:rPr>
              <w:t>392 199</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b/>
                <w:bCs/>
                <w:sz w:val="18"/>
                <w:szCs w:val="16"/>
                <w:lang w:eastAsia="cs-CZ"/>
              </w:rPr>
            </w:pPr>
            <w:r w:rsidRPr="00093DD9">
              <w:rPr>
                <w:rFonts w:ascii="Arial" w:eastAsia="Times New Roman" w:hAnsi="Arial" w:cs="Arial"/>
                <w:b/>
                <w:bCs/>
                <w:sz w:val="18"/>
                <w:szCs w:val="16"/>
                <w:lang w:eastAsia="cs-CZ"/>
              </w:rPr>
              <w:t>+49,7</w:t>
            </w:r>
          </w:p>
        </w:tc>
      </w:tr>
      <w:tr w:rsidR="00F32B4F" w:rsidTr="00640BE6">
        <w:trPr>
          <w:cantSplit/>
          <w:trHeight w:val="284"/>
        </w:trPr>
        <w:tc>
          <w:tcPr>
            <w:tcW w:w="918" w:type="dxa"/>
            <w:vAlign w:val="center"/>
          </w:tcPr>
          <w:p w:rsidR="00F32B4F" w:rsidRPr="00383743" w:rsidRDefault="00F32B4F" w:rsidP="0038374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2017</w:t>
            </w:r>
          </w:p>
        </w:tc>
        <w:tc>
          <w:tcPr>
            <w:tcW w:w="1776" w:type="dxa"/>
            <w:tcBorders>
              <w:top w:val="single" w:sz="4" w:space="0" w:color="auto"/>
              <w:bottom w:val="single" w:sz="4" w:space="0" w:color="auto"/>
            </w:tcBorders>
            <w:vAlign w:val="center"/>
          </w:tcPr>
          <w:p w:rsidR="00F32B4F" w:rsidRPr="00F32B4F" w:rsidRDefault="00F32B4F" w:rsidP="00F32B4F">
            <w:pPr>
              <w:spacing w:after="0" w:line="240" w:lineRule="auto"/>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Leden až březen</w:t>
            </w:r>
          </w:p>
        </w:tc>
        <w:tc>
          <w:tcPr>
            <w:tcW w:w="1074" w:type="dxa"/>
            <w:tcBorders>
              <w:top w:val="single" w:sz="4" w:space="0" w:color="auto"/>
              <w:bottom w:val="single" w:sz="4" w:space="0" w:color="auto"/>
              <w:right w:val="single" w:sz="4" w:space="0" w:color="auto"/>
            </w:tcBorders>
            <w:tcMar>
              <w:right w:w="284" w:type="dxa"/>
            </w:tcMar>
            <w:vAlign w:val="center"/>
          </w:tcPr>
          <w:p w:rsidR="00F32B4F" w:rsidRPr="00F32B4F" w:rsidRDefault="00F32B4F" w:rsidP="00F32B4F">
            <w:pPr>
              <w:spacing w:after="0" w:line="240" w:lineRule="auto"/>
              <w:jc w:val="center"/>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 xml:space="preserve">     2 029</w:t>
            </w:r>
          </w:p>
        </w:tc>
        <w:tc>
          <w:tcPr>
            <w:tcW w:w="1074" w:type="dxa"/>
            <w:tcBorders>
              <w:top w:val="single" w:sz="4" w:space="0" w:color="auto"/>
              <w:left w:val="single" w:sz="4" w:space="0" w:color="auto"/>
              <w:bottom w:val="single" w:sz="4" w:space="0" w:color="auto"/>
              <w:right w:val="nil"/>
            </w:tcBorders>
            <w:vAlign w:val="center"/>
          </w:tcPr>
          <w:p w:rsidR="00F32B4F" w:rsidRPr="00F32B4F" w:rsidRDefault="00F32B4F" w:rsidP="00F32B4F">
            <w:pPr>
              <w:spacing w:after="0" w:line="240" w:lineRule="auto"/>
              <w:jc w:val="center"/>
              <w:rPr>
                <w:rFonts w:ascii="Arial" w:eastAsia="Times New Roman" w:hAnsi="Arial" w:cs="Arial"/>
                <w:b/>
                <w:bCs/>
                <w:sz w:val="18"/>
                <w:szCs w:val="16"/>
                <w:lang w:eastAsia="cs-CZ"/>
              </w:rPr>
            </w:pPr>
            <w:r w:rsidRPr="00F32B4F">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-5,1</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52 558</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F32B4F" w:rsidRPr="00F32B4F" w:rsidRDefault="00F32B4F" w:rsidP="00F32B4F">
            <w:pPr>
              <w:spacing w:after="0" w:line="240" w:lineRule="auto"/>
              <w:jc w:val="center"/>
              <w:rPr>
                <w:rFonts w:ascii="Arial" w:eastAsia="Times New Roman" w:hAnsi="Arial" w:cs="Arial"/>
                <w:b/>
                <w:bCs/>
                <w:sz w:val="18"/>
                <w:szCs w:val="16"/>
                <w:lang w:eastAsia="cs-CZ"/>
              </w:rPr>
            </w:pPr>
            <w:r w:rsidRPr="00F32B4F">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-28,6</w:t>
            </w:r>
          </w:p>
        </w:tc>
      </w:tr>
    </w:tbl>
    <w:p w:rsidR="00931D64" w:rsidRPr="00931D64" w:rsidRDefault="00931D64" w:rsidP="00640BE6">
      <w:pPr>
        <w:tabs>
          <w:tab w:val="left" w:pos="4905"/>
        </w:tabs>
        <w:spacing w:after="0" w:line="240" w:lineRule="auto"/>
        <w:jc w:val="both"/>
        <w:rPr>
          <w:rFonts w:ascii="Arial" w:eastAsia="Times New Roman" w:hAnsi="Arial" w:cs="Times New Roman"/>
          <w:bCs/>
          <w:sz w:val="20"/>
          <w:szCs w:val="24"/>
          <w:u w:val="single"/>
          <w:lang w:eastAsia="cs-CZ"/>
        </w:rPr>
      </w:pPr>
      <w:r w:rsidRPr="00931D64">
        <w:rPr>
          <w:rFonts w:ascii="Arial" w:eastAsia="Times New Roman" w:hAnsi="Arial" w:cs="Times New Roman"/>
          <w:bCs/>
          <w:sz w:val="16"/>
          <w:szCs w:val="16"/>
          <w:lang w:eastAsia="cs-CZ"/>
        </w:rPr>
        <w:t>Zdroj: Věstník veřejných zakázek, výpočty CEEC Research</w:t>
      </w:r>
      <w:r w:rsidR="00640BE6">
        <w:rPr>
          <w:rFonts w:ascii="Arial" w:eastAsia="Times New Roman" w:hAnsi="Arial" w:cs="Times New Roman"/>
          <w:bCs/>
          <w:sz w:val="16"/>
          <w:szCs w:val="16"/>
          <w:lang w:eastAsia="cs-CZ"/>
        </w:rPr>
        <w:tab/>
      </w:r>
    </w:p>
    <w:p w:rsidR="00BB66C7" w:rsidRDefault="00BB66C7" w:rsidP="00B64AEB">
      <w:pPr>
        <w:spacing w:after="0" w:line="360" w:lineRule="auto"/>
        <w:jc w:val="both"/>
        <w:rPr>
          <w:rFonts w:ascii="Arial" w:hAnsi="Arial" w:cs="Arial"/>
          <w:color w:val="000000" w:themeColor="text1"/>
        </w:rPr>
      </w:pPr>
    </w:p>
    <w:p w:rsidR="00E80E1B" w:rsidRDefault="00E80E1B" w:rsidP="00B64AEB">
      <w:pPr>
        <w:spacing w:after="0" w:line="360" w:lineRule="auto"/>
        <w:jc w:val="both"/>
        <w:rPr>
          <w:rFonts w:ascii="Arial" w:hAnsi="Arial" w:cs="Arial"/>
          <w:color w:val="000000" w:themeColor="text1"/>
        </w:rPr>
      </w:pPr>
      <w:r w:rsidRPr="00E80E1B">
        <w:rPr>
          <w:rFonts w:ascii="Arial" w:hAnsi="Arial" w:cs="Arial"/>
          <w:color w:val="000000" w:themeColor="text1"/>
        </w:rPr>
        <w:t xml:space="preserve">Z výše uvedených výběrových řízení bylo dosud ukončeno a zadáno konkrétním </w:t>
      </w:r>
      <w:r w:rsidR="002B17F9">
        <w:rPr>
          <w:rFonts w:ascii="Arial" w:hAnsi="Arial" w:cs="Arial"/>
          <w:color w:val="000000" w:themeColor="text1"/>
        </w:rPr>
        <w:t>dodavatelům 5 procent, což představuje 4</w:t>
      </w:r>
      <w:r w:rsidRPr="00E80E1B">
        <w:rPr>
          <w:rFonts w:ascii="Arial" w:hAnsi="Arial" w:cs="Arial"/>
          <w:color w:val="000000" w:themeColor="text1"/>
        </w:rPr>
        <w:t xml:space="preserve"> procenta z celkové</w:t>
      </w:r>
      <w:r w:rsidR="002B17F9">
        <w:rPr>
          <w:rFonts w:ascii="Arial" w:hAnsi="Arial" w:cs="Arial"/>
          <w:color w:val="000000" w:themeColor="text1"/>
        </w:rPr>
        <w:t>ho objemu ve vypsané hodnotě 2,0 miliardy</w:t>
      </w:r>
      <w:r w:rsidRPr="00E80E1B">
        <w:rPr>
          <w:rFonts w:ascii="Arial" w:hAnsi="Arial" w:cs="Arial"/>
          <w:color w:val="000000" w:themeColor="text1"/>
        </w:rPr>
        <w:t xml:space="preserve"> korun. Reálně však </w:t>
      </w:r>
      <w:r w:rsidR="002B17F9">
        <w:rPr>
          <w:rFonts w:ascii="Arial" w:hAnsi="Arial" w:cs="Arial"/>
          <w:color w:val="000000" w:themeColor="text1"/>
        </w:rPr>
        <w:t>byly tyto zakázky soutěženy za 1,8 miliardy</w:t>
      </w:r>
      <w:r w:rsidRPr="00E80E1B">
        <w:rPr>
          <w:rFonts w:ascii="Arial" w:hAnsi="Arial" w:cs="Arial"/>
          <w:color w:val="000000" w:themeColor="text1"/>
        </w:rPr>
        <w:t xml:space="preserve"> korun</w:t>
      </w:r>
      <w:r w:rsidR="002B17F9">
        <w:rPr>
          <w:rFonts w:ascii="Arial" w:hAnsi="Arial" w:cs="Arial"/>
          <w:color w:val="000000" w:themeColor="text1"/>
        </w:rPr>
        <w:t>, tedy o zhruba 10 procent méně</w:t>
      </w:r>
      <w:r w:rsidR="005A5293">
        <w:rPr>
          <w:rFonts w:ascii="Arial" w:hAnsi="Arial" w:cs="Arial"/>
          <w:color w:val="000000" w:themeColor="text1"/>
        </w:rPr>
        <w:t>,</w:t>
      </w:r>
      <w:r w:rsidR="002B17F9">
        <w:rPr>
          <w:rFonts w:ascii="Arial" w:hAnsi="Arial" w:cs="Arial"/>
          <w:color w:val="000000" w:themeColor="text1"/>
        </w:rPr>
        <w:t xml:space="preserve"> než jaká byla jejich hodnota při oznámení</w:t>
      </w:r>
      <w:r w:rsidRPr="00E80E1B">
        <w:rPr>
          <w:rFonts w:ascii="Arial" w:hAnsi="Arial" w:cs="Arial"/>
          <w:color w:val="000000" w:themeColor="text1"/>
        </w:rPr>
        <w:t>. Po odečtení zadaných a zrušených zakázek</w:t>
      </w:r>
      <w:r w:rsidR="002B17F9">
        <w:rPr>
          <w:rFonts w:ascii="Arial" w:hAnsi="Arial" w:cs="Arial"/>
          <w:color w:val="000000" w:themeColor="text1"/>
        </w:rPr>
        <w:t xml:space="preserve"> (přibližně 8 procent z celkového počtu oznámených soutěží)</w:t>
      </w:r>
      <w:r w:rsidRPr="00E80E1B">
        <w:rPr>
          <w:rFonts w:ascii="Arial" w:hAnsi="Arial" w:cs="Arial"/>
          <w:color w:val="000000" w:themeColor="text1"/>
        </w:rPr>
        <w:t xml:space="preserve"> zbýva</w:t>
      </w:r>
      <w:r w:rsidR="002B17F9">
        <w:rPr>
          <w:rFonts w:ascii="Arial" w:hAnsi="Arial" w:cs="Arial"/>
          <w:color w:val="000000" w:themeColor="text1"/>
        </w:rPr>
        <w:t>jí v systému stále ještě výběrová řízení v hodnotě 46,4 miliardy</w:t>
      </w:r>
      <w:r w:rsidRPr="00E80E1B">
        <w:rPr>
          <w:rFonts w:ascii="Arial" w:hAnsi="Arial" w:cs="Arial"/>
          <w:color w:val="000000" w:themeColor="text1"/>
        </w:rPr>
        <w:t xml:space="preserve"> korun.</w:t>
      </w:r>
    </w:p>
    <w:p w:rsidR="00E80E1B" w:rsidRPr="003C69F9" w:rsidRDefault="00E80E1B" w:rsidP="00B64AEB">
      <w:pPr>
        <w:spacing w:after="0" w:line="360" w:lineRule="auto"/>
        <w:jc w:val="both"/>
        <w:rPr>
          <w:rFonts w:ascii="Arial" w:hAnsi="Arial" w:cs="Arial"/>
          <w:color w:val="000000" w:themeColor="text1"/>
        </w:rPr>
      </w:pPr>
    </w:p>
    <w:p w:rsidR="00395602" w:rsidRPr="00335483" w:rsidRDefault="005B4B98" w:rsidP="00335483">
      <w:pPr>
        <w:autoSpaceDE w:val="0"/>
        <w:autoSpaceDN w:val="0"/>
        <w:adjustRightInd w:val="0"/>
        <w:spacing w:after="0" w:line="360" w:lineRule="auto"/>
        <w:jc w:val="both"/>
        <w:rPr>
          <w:rFonts w:ascii="Arial" w:hAnsi="Arial" w:cs="Arial"/>
          <w:b/>
          <w:bCs/>
          <w:color w:val="000000" w:themeColor="text1"/>
        </w:rPr>
      </w:pPr>
      <w:r>
        <w:rPr>
          <w:rFonts w:ascii="Arial" w:hAnsi="Arial" w:cs="Arial"/>
          <w:color w:val="000000" w:themeColor="text1"/>
        </w:rPr>
        <w:t>V</w:t>
      </w:r>
      <w:r w:rsidR="002B17F9">
        <w:rPr>
          <w:rFonts w:ascii="Arial" w:hAnsi="Arial" w:cs="Arial"/>
          <w:color w:val="000000" w:themeColor="text1"/>
        </w:rPr>
        <w:t> prvních třech měsících</w:t>
      </w:r>
      <w:r w:rsidR="00E67968">
        <w:rPr>
          <w:rFonts w:ascii="Arial" w:hAnsi="Arial" w:cs="Arial"/>
          <w:color w:val="000000" w:themeColor="text1"/>
        </w:rPr>
        <w:t xml:space="preserve"> roku 2017</w:t>
      </w:r>
      <w:r w:rsidR="005D0E7A">
        <w:rPr>
          <w:rFonts w:ascii="Arial" w:hAnsi="Arial" w:cs="Arial"/>
          <w:color w:val="000000" w:themeColor="text1"/>
        </w:rPr>
        <w:t xml:space="preserve"> bylo k</w:t>
      </w:r>
      <w:r w:rsidR="00DA1CE5">
        <w:rPr>
          <w:rFonts w:ascii="Arial" w:hAnsi="Arial" w:cs="Arial"/>
          <w:color w:val="000000" w:themeColor="text1"/>
        </w:rPr>
        <w:t>onkré</w:t>
      </w:r>
      <w:r w:rsidR="002B17F9">
        <w:rPr>
          <w:rFonts w:ascii="Arial" w:hAnsi="Arial" w:cs="Arial"/>
          <w:color w:val="000000" w:themeColor="text1"/>
        </w:rPr>
        <w:t>tním dodavatelům</w:t>
      </w:r>
      <w:r w:rsidR="00D23085">
        <w:rPr>
          <w:rFonts w:ascii="Arial" w:hAnsi="Arial" w:cs="Arial"/>
          <w:color w:val="000000" w:themeColor="text1"/>
        </w:rPr>
        <w:t xml:space="preserve"> zadáno </w:t>
      </w:r>
      <w:r w:rsidR="002B17F9">
        <w:rPr>
          <w:rFonts w:ascii="Arial" w:hAnsi="Arial" w:cs="Arial"/>
          <w:color w:val="000000" w:themeColor="text1"/>
        </w:rPr>
        <w:t>celkem 2904</w:t>
      </w:r>
      <w:r w:rsidR="00DA1CE5">
        <w:rPr>
          <w:rFonts w:ascii="Arial" w:hAnsi="Arial" w:cs="Arial"/>
          <w:color w:val="000000" w:themeColor="text1"/>
        </w:rPr>
        <w:t xml:space="preserve"> zakázek</w:t>
      </w:r>
      <w:r w:rsidR="007A7DDD">
        <w:rPr>
          <w:rFonts w:ascii="Arial" w:hAnsi="Arial" w:cs="Arial"/>
          <w:color w:val="000000" w:themeColor="text1"/>
        </w:rPr>
        <w:t xml:space="preserve"> v</w:t>
      </w:r>
      <w:r w:rsidR="00E67968">
        <w:rPr>
          <w:rFonts w:ascii="Arial" w:hAnsi="Arial" w:cs="Arial"/>
          <w:color w:val="000000" w:themeColor="text1"/>
        </w:rPr>
        <w:t> </w:t>
      </w:r>
      <w:r w:rsidR="00CB3E4B">
        <w:rPr>
          <w:rFonts w:ascii="Arial" w:hAnsi="Arial" w:cs="Arial"/>
          <w:color w:val="000000" w:themeColor="text1"/>
        </w:rPr>
        <w:t xml:space="preserve">hodnotě </w:t>
      </w:r>
      <w:r w:rsidR="002B17F9">
        <w:rPr>
          <w:rFonts w:ascii="Arial" w:hAnsi="Arial" w:cs="Arial"/>
          <w:color w:val="000000" w:themeColor="text1"/>
        </w:rPr>
        <w:t>95,2</w:t>
      </w:r>
      <w:r w:rsidR="001D2A88">
        <w:rPr>
          <w:rFonts w:ascii="Arial" w:hAnsi="Arial" w:cs="Arial"/>
          <w:color w:val="000000" w:themeColor="text1"/>
        </w:rPr>
        <w:t xml:space="preserve"> miliard</w:t>
      </w:r>
      <w:r w:rsidR="00E82B1B">
        <w:rPr>
          <w:rFonts w:ascii="Arial" w:hAnsi="Arial" w:cs="Arial"/>
          <w:color w:val="000000" w:themeColor="text1"/>
        </w:rPr>
        <w:t>y</w:t>
      </w:r>
      <w:r w:rsidR="007A7DDD">
        <w:rPr>
          <w:rFonts w:ascii="Arial" w:hAnsi="Arial" w:cs="Arial"/>
          <w:color w:val="000000" w:themeColor="text1"/>
        </w:rPr>
        <w:t xml:space="preserve"> </w:t>
      </w:r>
      <w:r w:rsidR="008E17C3">
        <w:rPr>
          <w:rFonts w:ascii="Arial" w:hAnsi="Arial" w:cs="Arial"/>
          <w:color w:val="000000" w:themeColor="text1"/>
        </w:rPr>
        <w:t>koru</w:t>
      </w:r>
      <w:r w:rsidR="002B17F9">
        <w:rPr>
          <w:rFonts w:ascii="Arial" w:hAnsi="Arial" w:cs="Arial"/>
          <w:color w:val="000000" w:themeColor="text1"/>
        </w:rPr>
        <w:t>n. V</w:t>
      </w:r>
      <w:r w:rsidR="009F242C">
        <w:rPr>
          <w:rFonts w:ascii="Arial" w:hAnsi="Arial" w:cs="Arial"/>
          <w:color w:val="000000" w:themeColor="text1"/>
        </w:rPr>
        <w:t xml:space="preserve"> meziročním </w:t>
      </w:r>
      <w:r w:rsidR="000A7129">
        <w:rPr>
          <w:rFonts w:ascii="Arial" w:hAnsi="Arial" w:cs="Arial"/>
          <w:color w:val="000000" w:themeColor="text1"/>
        </w:rPr>
        <w:t xml:space="preserve">srovnání </w:t>
      </w:r>
      <w:r w:rsidR="002B17F9">
        <w:rPr>
          <w:rFonts w:ascii="Arial" w:hAnsi="Arial" w:cs="Arial"/>
          <w:color w:val="000000" w:themeColor="text1"/>
        </w:rPr>
        <w:t>tyto hodnoty představují</w:t>
      </w:r>
      <w:r w:rsidR="00D115CB">
        <w:rPr>
          <w:rFonts w:ascii="Arial" w:hAnsi="Arial" w:cs="Arial"/>
          <w:color w:val="000000" w:themeColor="text1"/>
        </w:rPr>
        <w:t xml:space="preserve"> </w:t>
      </w:r>
      <w:r w:rsidR="002B17F9">
        <w:rPr>
          <w:rFonts w:ascii="Arial" w:hAnsi="Arial" w:cs="Arial"/>
          <w:color w:val="000000" w:themeColor="text1"/>
        </w:rPr>
        <w:t>téměř poloviční (45,6</w:t>
      </w:r>
      <w:r w:rsidR="00E67968">
        <w:rPr>
          <w:rFonts w:ascii="Arial" w:hAnsi="Arial" w:cs="Arial"/>
          <w:color w:val="000000" w:themeColor="text1"/>
        </w:rPr>
        <w:t xml:space="preserve"> procent</w:t>
      </w:r>
      <w:r w:rsidR="005A5293">
        <w:rPr>
          <w:rFonts w:ascii="Arial" w:hAnsi="Arial" w:cs="Arial"/>
          <w:color w:val="000000" w:themeColor="text1"/>
        </w:rPr>
        <w:t>a</w:t>
      </w:r>
      <w:r w:rsidR="00E67968">
        <w:rPr>
          <w:rFonts w:ascii="Arial" w:hAnsi="Arial" w:cs="Arial"/>
          <w:color w:val="000000" w:themeColor="text1"/>
        </w:rPr>
        <w:t>) nárůst počtu</w:t>
      </w:r>
      <w:r w:rsidR="002F583B">
        <w:rPr>
          <w:rFonts w:ascii="Arial" w:hAnsi="Arial" w:cs="Arial"/>
          <w:color w:val="000000" w:themeColor="text1"/>
        </w:rPr>
        <w:t xml:space="preserve"> ukončených soutěží</w:t>
      </w:r>
      <w:r w:rsidR="002B17F9">
        <w:rPr>
          <w:rFonts w:ascii="Arial" w:hAnsi="Arial" w:cs="Arial"/>
          <w:color w:val="000000" w:themeColor="text1"/>
        </w:rPr>
        <w:t>, o</w:t>
      </w:r>
      <w:r w:rsidR="00D115CB">
        <w:rPr>
          <w:rFonts w:ascii="Arial" w:hAnsi="Arial" w:cs="Arial"/>
          <w:color w:val="000000" w:themeColor="text1"/>
        </w:rPr>
        <w:t>bjem zadaných zakázek pak oproti srovnatelnému období minulého roku zaznamenal nárůst</w:t>
      </w:r>
      <w:r w:rsidR="003D7292">
        <w:rPr>
          <w:rFonts w:ascii="Arial" w:hAnsi="Arial" w:cs="Arial"/>
          <w:color w:val="000000" w:themeColor="text1"/>
        </w:rPr>
        <w:t xml:space="preserve"> trojnásobný</w:t>
      </w:r>
      <w:r w:rsidR="002B17F9">
        <w:rPr>
          <w:rFonts w:ascii="Arial" w:hAnsi="Arial" w:cs="Arial"/>
          <w:color w:val="000000" w:themeColor="text1"/>
        </w:rPr>
        <w:t xml:space="preserve"> (195,1</w:t>
      </w:r>
      <w:r w:rsidR="00D115CB">
        <w:rPr>
          <w:rFonts w:ascii="Arial" w:hAnsi="Arial" w:cs="Arial"/>
          <w:color w:val="000000" w:themeColor="text1"/>
        </w:rPr>
        <w:t xml:space="preserve"> procenta). </w:t>
      </w:r>
      <w:r w:rsidR="003D7292">
        <w:rPr>
          <w:rFonts w:ascii="Arial" w:hAnsi="Arial" w:cs="Arial"/>
          <w:color w:val="000000" w:themeColor="text1"/>
        </w:rPr>
        <w:t xml:space="preserve">Zároveň jde o rekordní počet zadaných zakázek v prvním čtvrtletí za poslední tři roky, objem zakázek pak představuje dvouleté maximum. </w:t>
      </w:r>
      <w:r w:rsidR="00922AEB" w:rsidRPr="003C69F9">
        <w:rPr>
          <w:rFonts w:ascii="Arial" w:hAnsi="Arial" w:cs="Arial"/>
        </w:rPr>
        <w:t xml:space="preserve">Některá zadávací řízení stále </w:t>
      </w:r>
      <w:r w:rsidR="009F7004">
        <w:rPr>
          <w:rFonts w:ascii="Arial" w:hAnsi="Arial" w:cs="Arial"/>
        </w:rPr>
        <w:t>probíhají</w:t>
      </w:r>
      <w:r w:rsidR="00922AEB" w:rsidRPr="003C69F9">
        <w:rPr>
          <w:rFonts w:ascii="Arial" w:hAnsi="Arial" w:cs="Arial"/>
        </w:rPr>
        <w:t>, a proto lze očekávat, že v dalších měsících dojde ještě k aktualizaci a upřesnění dat.</w:t>
      </w:r>
      <w:r w:rsidR="00335483">
        <w:rPr>
          <w:rFonts w:ascii="Arial" w:hAnsi="Arial" w:cs="Arial"/>
        </w:rPr>
        <w:t xml:space="preserve"> </w:t>
      </w:r>
      <w:r w:rsidR="00335483">
        <w:rPr>
          <w:rFonts w:ascii="Arial" w:hAnsi="Arial" w:cs="Arial"/>
          <w:i/>
          <w:iCs/>
        </w:rPr>
        <w:t>„Rekordní počet i objem zahájených výběrových řízení ze třetího čtvrtletí minulého roku, který byl výsledkem obav investorů z nového zákona o zadávání veřejných zakázkách, je nyní úspěšně dokončován. Podobné výkyvy však představují pro kapacity dodavatelů velký problém, zvlášť pokud by razantní nárůst zakázek opět vystřídal díky malému počtu vyhlášených výběrových řízení ve druhé polovině roku opačný extrém,“</w:t>
      </w:r>
      <w:r w:rsidR="00335483">
        <w:rPr>
          <w:rFonts w:ascii="Arial" w:hAnsi="Arial" w:cs="Arial"/>
        </w:rPr>
        <w:t xml:space="preserve"> říká </w:t>
      </w:r>
      <w:r w:rsidR="00335483" w:rsidRPr="00EC56D6">
        <w:rPr>
          <w:rFonts w:ascii="Arial" w:hAnsi="Arial" w:cs="Arial"/>
          <w:b/>
          <w:bCs/>
        </w:rPr>
        <w:t>Tomáš Koranda, člen představenstva, HOCHTIEF CZ.</w:t>
      </w:r>
    </w:p>
    <w:p w:rsidR="00922AEB" w:rsidRDefault="00922AEB" w:rsidP="00773F91">
      <w:pPr>
        <w:spacing w:after="0" w:line="360" w:lineRule="auto"/>
        <w:jc w:val="both"/>
        <w:rPr>
          <w:rFonts w:ascii="Arial" w:hAnsi="Arial" w:cs="Arial"/>
          <w:color w:val="000000" w:themeColor="text1"/>
        </w:rPr>
      </w:pPr>
    </w:p>
    <w:p w:rsidR="00395602" w:rsidRPr="00395602" w:rsidRDefault="00395602" w:rsidP="00395602">
      <w:pPr>
        <w:spacing w:after="0" w:line="240" w:lineRule="auto"/>
        <w:jc w:val="both"/>
        <w:rPr>
          <w:rFonts w:ascii="Arial" w:eastAsia="Times New Roman" w:hAnsi="Arial" w:cs="Times New Roman"/>
          <w:b/>
          <w:bCs/>
          <w:sz w:val="20"/>
          <w:szCs w:val="24"/>
          <w:lang w:eastAsia="cs-CZ"/>
        </w:rPr>
      </w:pPr>
      <w:r w:rsidRPr="00395602">
        <w:rPr>
          <w:rFonts w:ascii="Arial" w:eastAsia="Times New Roman" w:hAnsi="Arial" w:cs="Times New Roman"/>
          <w:b/>
          <w:bCs/>
          <w:sz w:val="20"/>
          <w:szCs w:val="24"/>
          <w:lang w:eastAsia="cs-CZ"/>
        </w:rPr>
        <w:t>Meziroční změny oznámen</w:t>
      </w:r>
      <w:r w:rsidR="00383743">
        <w:rPr>
          <w:rFonts w:ascii="Arial" w:eastAsia="Times New Roman" w:hAnsi="Arial" w:cs="Times New Roman"/>
          <w:b/>
          <w:bCs/>
          <w:sz w:val="20"/>
          <w:szCs w:val="24"/>
          <w:lang w:eastAsia="cs-CZ"/>
        </w:rPr>
        <w:t>í o zadání zakázky v le</w:t>
      </w:r>
      <w:r w:rsidR="00093DD9">
        <w:rPr>
          <w:rFonts w:ascii="Arial" w:eastAsia="Times New Roman" w:hAnsi="Arial" w:cs="Times New Roman"/>
          <w:b/>
          <w:bCs/>
          <w:sz w:val="20"/>
          <w:szCs w:val="24"/>
          <w:lang w:eastAsia="cs-CZ"/>
        </w:rPr>
        <w:t>tech 2016 až 2017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
        <w:gridCol w:w="1776"/>
        <w:gridCol w:w="1074"/>
        <w:gridCol w:w="1074"/>
        <w:gridCol w:w="1075"/>
        <w:gridCol w:w="1074"/>
        <w:gridCol w:w="1074"/>
        <w:gridCol w:w="1075"/>
      </w:tblGrid>
      <w:tr w:rsidR="00383743" w:rsidTr="00C80B45">
        <w:trPr>
          <w:cantSplit/>
          <w:trHeight w:val="284"/>
        </w:trPr>
        <w:tc>
          <w:tcPr>
            <w:tcW w:w="2694" w:type="dxa"/>
            <w:gridSpan w:val="2"/>
            <w:vMerge w:val="restart"/>
            <w:tcBorders>
              <w:top w:val="nil"/>
              <w:left w:val="nil"/>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Zakázky celkem</w:t>
            </w:r>
          </w:p>
        </w:tc>
        <w:tc>
          <w:tcPr>
            <w:tcW w:w="3223" w:type="dxa"/>
            <w:gridSpan w:val="3"/>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Počet</w:t>
            </w:r>
          </w:p>
        </w:tc>
        <w:tc>
          <w:tcPr>
            <w:tcW w:w="3223" w:type="dxa"/>
            <w:gridSpan w:val="3"/>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Hodnota</w:t>
            </w:r>
          </w:p>
        </w:tc>
      </w:tr>
      <w:tr w:rsidR="00383743" w:rsidTr="00C80B45">
        <w:trPr>
          <w:cantSplit/>
          <w:trHeight w:val="284"/>
        </w:trPr>
        <w:tc>
          <w:tcPr>
            <w:tcW w:w="2694" w:type="dxa"/>
            <w:gridSpan w:val="2"/>
            <w:vMerge/>
            <w:tcBorders>
              <w:left w:val="nil"/>
              <w:bottom w:val="single" w:sz="4" w:space="0" w:color="auto"/>
            </w:tcBorders>
          </w:tcPr>
          <w:p w:rsidR="00383743" w:rsidRPr="00383743" w:rsidRDefault="00383743" w:rsidP="00383743">
            <w:pPr>
              <w:spacing w:after="0" w:line="240" w:lineRule="auto"/>
              <w:jc w:val="center"/>
              <w:rPr>
                <w:rFonts w:ascii="Arial" w:eastAsia="Times New Roman" w:hAnsi="Arial" w:cs="Arial"/>
                <w:sz w:val="18"/>
                <w:szCs w:val="16"/>
                <w:lang w:eastAsia="cs-CZ"/>
              </w:rPr>
            </w:pPr>
          </w:p>
        </w:tc>
        <w:tc>
          <w:tcPr>
            <w:tcW w:w="1074" w:type="dxa"/>
            <w:tcBorders>
              <w:bottom w:val="single" w:sz="4" w:space="0" w:color="auto"/>
              <w:right w:val="single" w:sz="4" w:space="0" w:color="auto"/>
            </w:tcBorders>
            <w:vAlign w:val="center"/>
          </w:tcPr>
          <w:p w:rsidR="00383743" w:rsidRPr="00383743" w:rsidRDefault="00E67968"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P</w:t>
            </w:r>
            <w:r w:rsidR="00383743" w:rsidRPr="00383743">
              <w:rPr>
                <w:rFonts w:ascii="Arial" w:eastAsia="Times New Roman" w:hAnsi="Arial" w:cs="Arial"/>
                <w:sz w:val="18"/>
                <w:szCs w:val="16"/>
                <w:lang w:eastAsia="cs-CZ"/>
              </w:rPr>
              <w:t>očet</w:t>
            </w:r>
          </w:p>
        </w:tc>
        <w:tc>
          <w:tcPr>
            <w:tcW w:w="2149" w:type="dxa"/>
            <w:gridSpan w:val="2"/>
            <w:tcBorders>
              <w:left w:val="single" w:sz="4" w:space="0" w:color="auto"/>
              <w:bottom w:val="single" w:sz="4" w:space="0" w:color="auto"/>
              <w:right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Meziroční změna v %</w:t>
            </w:r>
          </w:p>
        </w:tc>
        <w:tc>
          <w:tcPr>
            <w:tcW w:w="1074" w:type="dxa"/>
            <w:tcBorders>
              <w:left w:val="single" w:sz="4" w:space="0" w:color="auto"/>
              <w:bottom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mil. Kč</w:t>
            </w:r>
          </w:p>
        </w:tc>
        <w:tc>
          <w:tcPr>
            <w:tcW w:w="2149" w:type="dxa"/>
            <w:gridSpan w:val="2"/>
            <w:tcBorders>
              <w:left w:val="single" w:sz="4" w:space="0" w:color="auto"/>
              <w:bottom w:val="single" w:sz="4" w:space="0" w:color="auto"/>
            </w:tcBorders>
            <w:vAlign w:val="center"/>
          </w:tcPr>
          <w:p w:rsidR="00383743" w:rsidRPr="00383743" w:rsidRDefault="00383743" w:rsidP="00383743">
            <w:pPr>
              <w:spacing w:after="0" w:line="240" w:lineRule="auto"/>
              <w:jc w:val="center"/>
              <w:rPr>
                <w:rFonts w:ascii="Arial" w:eastAsia="Times New Roman" w:hAnsi="Arial" w:cs="Arial"/>
                <w:sz w:val="18"/>
                <w:szCs w:val="16"/>
                <w:lang w:eastAsia="cs-CZ"/>
              </w:rPr>
            </w:pPr>
            <w:r w:rsidRPr="00383743">
              <w:rPr>
                <w:rFonts w:ascii="Arial" w:eastAsia="Times New Roman" w:hAnsi="Arial" w:cs="Arial"/>
                <w:sz w:val="18"/>
                <w:szCs w:val="16"/>
                <w:lang w:eastAsia="cs-CZ"/>
              </w:rPr>
              <w:t>Meziroční změna v %</w:t>
            </w:r>
          </w:p>
        </w:tc>
      </w:tr>
      <w:tr w:rsidR="00093DD9" w:rsidTr="00C80B45">
        <w:trPr>
          <w:cantSplit/>
          <w:trHeight w:val="284"/>
        </w:trPr>
        <w:tc>
          <w:tcPr>
            <w:tcW w:w="918" w:type="dxa"/>
            <w:vMerge w:val="restart"/>
            <w:tcBorders>
              <w:top w:val="single" w:sz="4" w:space="0" w:color="auto"/>
            </w:tcBorders>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lastRenderedPageBreak/>
              <w:t>2016</w:t>
            </w:r>
          </w:p>
        </w:tc>
        <w:tc>
          <w:tcPr>
            <w:tcW w:w="1776" w:type="dxa"/>
            <w:tcBorders>
              <w:top w:val="single" w:sz="4" w:space="0" w:color="auto"/>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1 995</w:t>
            </w:r>
          </w:p>
        </w:tc>
        <w:tc>
          <w:tcPr>
            <w:tcW w:w="1074" w:type="dxa"/>
            <w:tcBorders>
              <w:top w:val="single" w:sz="4" w:space="0" w:color="auto"/>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-29,4</w:t>
            </w:r>
          </w:p>
        </w:tc>
        <w:tc>
          <w:tcPr>
            <w:tcW w:w="1074" w:type="dxa"/>
            <w:tcBorders>
              <w:top w:val="single" w:sz="4" w:space="0" w:color="auto"/>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32 241</w:t>
            </w:r>
          </w:p>
        </w:tc>
        <w:tc>
          <w:tcPr>
            <w:tcW w:w="1074" w:type="dxa"/>
            <w:tcBorders>
              <w:top w:val="single" w:sz="4" w:space="0" w:color="auto"/>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-32,5</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2 744</w:t>
            </w:r>
          </w:p>
        </w:tc>
        <w:tc>
          <w:tcPr>
            <w:tcW w:w="1074" w:type="dxa"/>
            <w:tcBorders>
              <w:top w:val="nil"/>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-23,2</w:t>
            </w:r>
          </w:p>
        </w:tc>
        <w:tc>
          <w:tcPr>
            <w:tcW w:w="1074" w:type="dxa"/>
            <w:tcBorders>
              <w:top w:val="nil"/>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40 623</w:t>
            </w:r>
          </w:p>
        </w:tc>
        <w:tc>
          <w:tcPr>
            <w:tcW w:w="1074" w:type="dxa"/>
            <w:tcBorders>
              <w:top w:val="nil"/>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-28,8</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3 039</w:t>
            </w:r>
          </w:p>
        </w:tc>
        <w:tc>
          <w:tcPr>
            <w:tcW w:w="1074" w:type="dxa"/>
            <w:tcBorders>
              <w:top w:val="nil"/>
              <w:left w:val="single" w:sz="4" w:space="0" w:color="auto"/>
              <w:bottom w:val="nil"/>
              <w:right w:val="nil"/>
            </w:tcBorders>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-33,1</w:t>
            </w:r>
          </w:p>
        </w:tc>
        <w:tc>
          <w:tcPr>
            <w:tcW w:w="1074" w:type="dxa"/>
            <w:tcBorders>
              <w:top w:val="nil"/>
              <w:left w:val="single" w:sz="4" w:space="0" w:color="auto"/>
              <w:bottom w:val="nil"/>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60 623</w:t>
            </w:r>
          </w:p>
        </w:tc>
        <w:tc>
          <w:tcPr>
            <w:tcW w:w="1074" w:type="dxa"/>
            <w:tcBorders>
              <w:top w:val="nil"/>
              <w:left w:val="single" w:sz="4" w:space="0" w:color="auto"/>
              <w:bottom w:val="nil"/>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-13,8</w:t>
            </w:r>
          </w:p>
        </w:tc>
      </w:tr>
      <w:tr w:rsidR="00093DD9"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nil"/>
              <w:bottom w:val="single" w:sz="4" w:space="0" w:color="auto"/>
            </w:tcBorders>
            <w:vAlign w:val="center"/>
          </w:tcPr>
          <w:p w:rsidR="00093DD9" w:rsidRPr="00093DD9" w:rsidRDefault="00093DD9" w:rsidP="00093DD9">
            <w:pPr>
              <w:spacing w:after="0" w:line="240" w:lineRule="auto"/>
              <w:rPr>
                <w:rFonts w:ascii="Arial" w:eastAsia="Times New Roman" w:hAnsi="Arial" w:cs="Arial"/>
                <w:sz w:val="18"/>
                <w:szCs w:val="16"/>
                <w:lang w:eastAsia="cs-CZ"/>
              </w:rPr>
            </w:pPr>
            <w:r w:rsidRPr="00093DD9">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3 149</w:t>
            </w:r>
          </w:p>
        </w:tc>
        <w:tc>
          <w:tcPr>
            <w:tcW w:w="1074" w:type="dxa"/>
            <w:tcBorders>
              <w:top w:val="nil"/>
              <w:left w:val="single" w:sz="4" w:space="0" w:color="auto"/>
              <w:bottom w:val="single" w:sz="4" w:space="0" w:color="auto"/>
              <w:right w:val="nil"/>
            </w:tcBorders>
            <w:vAlign w:val="center"/>
          </w:tcPr>
          <w:p w:rsidR="00093DD9" w:rsidRPr="00093DD9" w:rsidRDefault="00093DD9" w:rsidP="00093DD9">
            <w:pPr>
              <w:spacing w:after="0" w:line="240" w:lineRule="auto"/>
              <w:jc w:val="center"/>
              <w:rPr>
                <w:rFonts w:ascii="Arial" w:eastAsia="Times New Roman" w:hAnsi="Arial" w:cs="Times New Roman"/>
                <w:bCs/>
                <w:color w:val="FF0000"/>
                <w:sz w:val="28"/>
                <w:szCs w:val="28"/>
                <w:lang w:eastAsia="cs-CZ"/>
              </w:rPr>
            </w:pPr>
            <w:r w:rsidRPr="00093DD9">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-23,9</w:t>
            </w:r>
          </w:p>
        </w:tc>
        <w:tc>
          <w:tcPr>
            <w:tcW w:w="1074" w:type="dxa"/>
            <w:tcBorders>
              <w:top w:val="nil"/>
              <w:left w:val="single" w:sz="4" w:space="0" w:color="auto"/>
              <w:bottom w:val="single" w:sz="4" w:space="0" w:color="auto"/>
              <w:right w:val="single" w:sz="4" w:space="0" w:color="auto"/>
            </w:tcBorders>
            <w:tcMar>
              <w:right w:w="227"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126 571</w:t>
            </w:r>
          </w:p>
        </w:tc>
        <w:tc>
          <w:tcPr>
            <w:tcW w:w="1074" w:type="dxa"/>
            <w:tcBorders>
              <w:top w:val="nil"/>
              <w:left w:val="single" w:sz="4" w:space="0" w:color="auto"/>
              <w:bottom w:val="single" w:sz="4" w:space="0" w:color="auto"/>
              <w:right w:val="nil"/>
            </w:tcBorders>
            <w:tcMar>
              <w:left w:w="0" w:type="dxa"/>
              <w:right w:w="0" w:type="dxa"/>
            </w:tcMar>
            <w:vAlign w:val="center"/>
          </w:tcPr>
          <w:p w:rsidR="00093DD9" w:rsidRPr="00093DD9" w:rsidRDefault="00093DD9" w:rsidP="00093DD9">
            <w:pPr>
              <w:spacing w:after="0" w:line="240" w:lineRule="auto"/>
              <w:jc w:val="center"/>
              <w:rPr>
                <w:rFonts w:ascii="Arial" w:eastAsia="Times New Roman" w:hAnsi="Arial" w:cs="Times New Roman"/>
                <w:b/>
                <w:bCs/>
                <w:color w:val="92D050"/>
                <w:sz w:val="28"/>
                <w:szCs w:val="28"/>
                <w:lang w:eastAsia="cs-CZ"/>
              </w:rPr>
            </w:pPr>
            <w:r w:rsidRPr="00093DD9">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single" w:sz="4" w:space="0" w:color="auto"/>
            </w:tcBorders>
            <w:tcMar>
              <w:right w:w="284" w:type="dxa"/>
            </w:tcMar>
            <w:vAlign w:val="center"/>
          </w:tcPr>
          <w:p w:rsidR="00093DD9" w:rsidRPr="00093DD9" w:rsidRDefault="00093DD9" w:rsidP="00093DD9">
            <w:pPr>
              <w:spacing w:after="0" w:line="240" w:lineRule="auto"/>
              <w:jc w:val="right"/>
              <w:rPr>
                <w:rFonts w:ascii="Arial" w:eastAsia="Times New Roman" w:hAnsi="Arial" w:cs="Arial"/>
                <w:sz w:val="18"/>
                <w:szCs w:val="16"/>
                <w:lang w:eastAsia="cs-CZ"/>
              </w:rPr>
            </w:pPr>
            <w:r w:rsidRPr="00093DD9">
              <w:rPr>
                <w:rFonts w:ascii="Arial" w:eastAsia="Times New Roman" w:hAnsi="Arial" w:cs="Arial"/>
                <w:sz w:val="18"/>
                <w:szCs w:val="16"/>
                <w:lang w:eastAsia="cs-CZ"/>
              </w:rPr>
              <w:t>+42,5</w:t>
            </w:r>
          </w:p>
        </w:tc>
      </w:tr>
      <w:tr w:rsidR="00093DD9" w:rsidRPr="006567AA" w:rsidTr="00C80B45">
        <w:trPr>
          <w:cantSplit/>
          <w:trHeight w:val="284"/>
        </w:trPr>
        <w:tc>
          <w:tcPr>
            <w:tcW w:w="918" w:type="dxa"/>
            <w:vMerge/>
            <w:vAlign w:val="center"/>
          </w:tcPr>
          <w:p w:rsidR="00093DD9" w:rsidRPr="00383743" w:rsidRDefault="00093DD9" w:rsidP="0038374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093DD9" w:rsidRPr="007D6E31" w:rsidRDefault="00093DD9" w:rsidP="00093DD9">
            <w:pPr>
              <w:spacing w:after="0" w:line="240" w:lineRule="auto"/>
              <w:rPr>
                <w:rFonts w:ascii="Arial" w:eastAsia="Times New Roman" w:hAnsi="Arial" w:cs="Arial"/>
                <w:b/>
                <w:bCs/>
                <w:sz w:val="18"/>
                <w:szCs w:val="16"/>
                <w:lang w:eastAsia="cs-CZ"/>
              </w:rPr>
            </w:pPr>
            <w:r w:rsidRPr="007D6E31">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093DD9" w:rsidRPr="007D6E31" w:rsidRDefault="00093DD9" w:rsidP="00093DD9">
            <w:pPr>
              <w:spacing w:after="0" w:line="240" w:lineRule="auto"/>
              <w:jc w:val="right"/>
              <w:rPr>
                <w:rFonts w:ascii="Arial" w:eastAsia="Times New Roman" w:hAnsi="Arial" w:cs="Arial"/>
                <w:b/>
                <w:bCs/>
                <w:sz w:val="18"/>
                <w:szCs w:val="16"/>
                <w:lang w:eastAsia="cs-CZ"/>
              </w:rPr>
            </w:pPr>
            <w:r w:rsidRPr="007D6E31">
              <w:rPr>
                <w:rFonts w:ascii="Arial" w:eastAsia="Times New Roman" w:hAnsi="Arial" w:cs="Arial"/>
                <w:b/>
                <w:bCs/>
                <w:sz w:val="18"/>
                <w:szCs w:val="16"/>
                <w:lang w:eastAsia="cs-CZ"/>
              </w:rPr>
              <w:t>10 927</w:t>
            </w:r>
          </w:p>
        </w:tc>
        <w:tc>
          <w:tcPr>
            <w:tcW w:w="1074" w:type="dxa"/>
            <w:tcBorders>
              <w:top w:val="single" w:sz="4" w:space="0" w:color="auto"/>
              <w:left w:val="single" w:sz="4" w:space="0" w:color="auto"/>
              <w:bottom w:val="single" w:sz="4" w:space="0" w:color="auto"/>
              <w:right w:val="nil"/>
            </w:tcBorders>
            <w:vAlign w:val="center"/>
          </w:tcPr>
          <w:p w:rsidR="00093DD9" w:rsidRPr="007D6E31" w:rsidRDefault="00093DD9" w:rsidP="00093DD9">
            <w:pPr>
              <w:spacing w:after="0" w:line="240" w:lineRule="auto"/>
              <w:jc w:val="center"/>
              <w:rPr>
                <w:rFonts w:ascii="Arial" w:eastAsia="Times New Roman" w:hAnsi="Arial" w:cs="Times New Roman"/>
                <w:b/>
                <w:bCs/>
                <w:color w:val="FF0000"/>
                <w:sz w:val="28"/>
                <w:szCs w:val="28"/>
                <w:lang w:eastAsia="cs-CZ"/>
              </w:rPr>
            </w:pPr>
            <w:r w:rsidRPr="007D6E31">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093DD9" w:rsidRPr="007D6E31" w:rsidRDefault="00093DD9" w:rsidP="00093DD9">
            <w:pPr>
              <w:spacing w:after="0" w:line="240" w:lineRule="auto"/>
              <w:jc w:val="right"/>
              <w:rPr>
                <w:rFonts w:ascii="Arial" w:eastAsia="Times New Roman" w:hAnsi="Arial" w:cs="Arial"/>
                <w:b/>
                <w:bCs/>
                <w:sz w:val="18"/>
                <w:szCs w:val="16"/>
                <w:lang w:eastAsia="cs-CZ"/>
              </w:rPr>
            </w:pPr>
            <w:r w:rsidRPr="007D6E31">
              <w:rPr>
                <w:rFonts w:ascii="Arial" w:eastAsia="Times New Roman" w:hAnsi="Arial" w:cs="Arial"/>
                <w:b/>
                <w:bCs/>
                <w:sz w:val="18"/>
                <w:szCs w:val="16"/>
                <w:lang w:eastAsia="cs-CZ"/>
              </w:rPr>
              <w:t>-27,5</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093DD9" w:rsidRPr="007D6E31" w:rsidRDefault="00093DD9" w:rsidP="00093DD9">
            <w:pPr>
              <w:spacing w:after="0" w:line="240" w:lineRule="auto"/>
              <w:jc w:val="right"/>
              <w:rPr>
                <w:rFonts w:ascii="Arial" w:eastAsia="Times New Roman" w:hAnsi="Arial" w:cs="Arial"/>
                <w:b/>
                <w:bCs/>
                <w:sz w:val="18"/>
                <w:szCs w:val="16"/>
                <w:lang w:eastAsia="cs-CZ"/>
              </w:rPr>
            </w:pPr>
            <w:r w:rsidRPr="007D6E31">
              <w:rPr>
                <w:rFonts w:ascii="Arial" w:eastAsia="Times New Roman" w:hAnsi="Arial" w:cs="Arial"/>
                <w:b/>
                <w:bCs/>
                <w:sz w:val="18"/>
                <w:szCs w:val="16"/>
                <w:lang w:eastAsia="cs-CZ"/>
              </w:rPr>
              <w:t>260 058</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093DD9" w:rsidRPr="007D6E31" w:rsidRDefault="00093DD9" w:rsidP="00093DD9">
            <w:pPr>
              <w:spacing w:after="0" w:line="240" w:lineRule="auto"/>
              <w:jc w:val="center"/>
              <w:rPr>
                <w:rFonts w:ascii="Arial" w:eastAsia="Times New Roman" w:hAnsi="Arial" w:cs="Times New Roman"/>
                <w:b/>
                <w:bCs/>
                <w:color w:val="FF0000"/>
                <w:sz w:val="28"/>
                <w:szCs w:val="28"/>
                <w:lang w:eastAsia="cs-CZ"/>
              </w:rPr>
            </w:pPr>
            <w:r w:rsidRPr="007D6E31">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093DD9" w:rsidRPr="007D6E31" w:rsidRDefault="00093DD9" w:rsidP="00093DD9">
            <w:pPr>
              <w:spacing w:after="0" w:line="240" w:lineRule="auto"/>
              <w:jc w:val="right"/>
              <w:rPr>
                <w:rFonts w:ascii="Arial" w:eastAsia="Times New Roman" w:hAnsi="Arial" w:cs="Arial"/>
                <w:b/>
                <w:bCs/>
                <w:sz w:val="18"/>
                <w:szCs w:val="16"/>
                <w:lang w:eastAsia="cs-CZ"/>
              </w:rPr>
            </w:pPr>
            <w:r w:rsidRPr="007D6E31">
              <w:rPr>
                <w:rFonts w:ascii="Arial" w:eastAsia="Times New Roman" w:hAnsi="Arial" w:cs="Arial"/>
                <w:b/>
                <w:bCs/>
                <w:sz w:val="18"/>
                <w:szCs w:val="16"/>
                <w:lang w:eastAsia="cs-CZ"/>
              </w:rPr>
              <w:t>-1,5</w:t>
            </w:r>
          </w:p>
        </w:tc>
      </w:tr>
      <w:tr w:rsidR="00F32B4F" w:rsidRPr="006567AA" w:rsidTr="00C80B45">
        <w:trPr>
          <w:cantSplit/>
          <w:trHeight w:val="284"/>
        </w:trPr>
        <w:tc>
          <w:tcPr>
            <w:tcW w:w="918" w:type="dxa"/>
            <w:vAlign w:val="center"/>
          </w:tcPr>
          <w:p w:rsidR="00F32B4F" w:rsidRPr="00383743" w:rsidRDefault="00F32B4F" w:rsidP="0038374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2017</w:t>
            </w:r>
          </w:p>
        </w:tc>
        <w:tc>
          <w:tcPr>
            <w:tcW w:w="1776" w:type="dxa"/>
            <w:tcBorders>
              <w:top w:val="single" w:sz="4" w:space="0" w:color="auto"/>
              <w:bottom w:val="single" w:sz="4" w:space="0" w:color="auto"/>
            </w:tcBorders>
            <w:vAlign w:val="center"/>
          </w:tcPr>
          <w:p w:rsidR="00F32B4F" w:rsidRPr="00F32B4F" w:rsidRDefault="00F32B4F" w:rsidP="00F32B4F">
            <w:pPr>
              <w:spacing w:after="0" w:line="240" w:lineRule="auto"/>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Leden až březen</w:t>
            </w:r>
          </w:p>
        </w:tc>
        <w:tc>
          <w:tcPr>
            <w:tcW w:w="1074" w:type="dxa"/>
            <w:tcBorders>
              <w:top w:val="single" w:sz="4" w:space="0" w:color="auto"/>
              <w:bottom w:val="single" w:sz="4" w:space="0" w:color="auto"/>
              <w:right w:val="single" w:sz="4" w:space="0" w:color="auto"/>
            </w:tcBorders>
            <w:tcMar>
              <w:right w:w="284"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2 904</w:t>
            </w:r>
          </w:p>
        </w:tc>
        <w:tc>
          <w:tcPr>
            <w:tcW w:w="1074" w:type="dxa"/>
            <w:tcBorders>
              <w:top w:val="single" w:sz="4" w:space="0" w:color="auto"/>
              <w:left w:val="single" w:sz="4" w:space="0" w:color="auto"/>
              <w:bottom w:val="single" w:sz="4" w:space="0" w:color="auto"/>
              <w:right w:val="nil"/>
            </w:tcBorders>
            <w:vAlign w:val="center"/>
          </w:tcPr>
          <w:p w:rsidR="00F32B4F" w:rsidRPr="00F32B4F" w:rsidRDefault="00F32B4F" w:rsidP="00F32B4F">
            <w:pPr>
              <w:spacing w:after="0" w:line="240" w:lineRule="auto"/>
              <w:jc w:val="center"/>
              <w:rPr>
                <w:rFonts w:ascii="Arial" w:eastAsia="Times New Roman" w:hAnsi="Arial" w:cs="Arial"/>
                <w:b/>
                <w:bCs/>
                <w:sz w:val="18"/>
                <w:szCs w:val="16"/>
                <w:lang w:eastAsia="cs-CZ"/>
              </w:rPr>
            </w:pPr>
            <w:r w:rsidRPr="00F32B4F">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+45,6</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95 152</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F32B4F" w:rsidRPr="00F32B4F" w:rsidRDefault="00F32B4F" w:rsidP="00F32B4F">
            <w:pPr>
              <w:spacing w:after="0" w:line="240" w:lineRule="auto"/>
              <w:jc w:val="center"/>
              <w:rPr>
                <w:rFonts w:ascii="Arial" w:eastAsia="Times New Roman" w:hAnsi="Arial" w:cs="Arial"/>
                <w:b/>
                <w:bCs/>
                <w:sz w:val="18"/>
                <w:szCs w:val="16"/>
                <w:lang w:eastAsia="cs-CZ"/>
              </w:rPr>
            </w:pPr>
            <w:r w:rsidRPr="00F32B4F">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F32B4F" w:rsidRPr="00F32B4F" w:rsidRDefault="00F32B4F" w:rsidP="00F32B4F">
            <w:pPr>
              <w:spacing w:after="0" w:line="240" w:lineRule="auto"/>
              <w:jc w:val="right"/>
              <w:rPr>
                <w:rFonts w:ascii="Arial" w:eastAsia="Times New Roman" w:hAnsi="Arial" w:cs="Arial"/>
                <w:b/>
                <w:bCs/>
                <w:sz w:val="18"/>
                <w:szCs w:val="16"/>
                <w:lang w:eastAsia="cs-CZ"/>
              </w:rPr>
            </w:pPr>
            <w:r w:rsidRPr="00F32B4F">
              <w:rPr>
                <w:rFonts w:ascii="Arial" w:eastAsia="Times New Roman" w:hAnsi="Arial" w:cs="Arial"/>
                <w:b/>
                <w:bCs/>
                <w:sz w:val="18"/>
                <w:szCs w:val="16"/>
                <w:lang w:eastAsia="cs-CZ"/>
              </w:rPr>
              <w:t>+195,1</w:t>
            </w:r>
          </w:p>
        </w:tc>
      </w:tr>
    </w:tbl>
    <w:p w:rsidR="00395602" w:rsidRPr="00395602" w:rsidRDefault="00395602" w:rsidP="00395602">
      <w:pPr>
        <w:spacing w:after="0" w:line="240" w:lineRule="auto"/>
        <w:jc w:val="both"/>
        <w:rPr>
          <w:rFonts w:ascii="Arial" w:eastAsia="Times New Roman" w:hAnsi="Arial" w:cs="Times New Roman"/>
          <w:bCs/>
          <w:sz w:val="16"/>
          <w:szCs w:val="16"/>
          <w:lang w:eastAsia="cs-CZ"/>
        </w:rPr>
      </w:pPr>
      <w:r w:rsidRPr="00395602">
        <w:rPr>
          <w:rFonts w:ascii="Arial" w:eastAsia="Times New Roman" w:hAnsi="Arial" w:cs="Times New Roman"/>
          <w:bCs/>
          <w:sz w:val="16"/>
          <w:szCs w:val="16"/>
          <w:lang w:eastAsia="cs-CZ"/>
        </w:rPr>
        <w:t>Zdroj: Věstník veřejných zakázek, výpočty CEEC Research</w:t>
      </w:r>
    </w:p>
    <w:p w:rsidR="00395602" w:rsidRDefault="00395602" w:rsidP="00773F91">
      <w:pPr>
        <w:spacing w:after="0" w:line="360" w:lineRule="auto"/>
        <w:jc w:val="both"/>
        <w:rPr>
          <w:rFonts w:ascii="Arial" w:hAnsi="Arial" w:cs="Arial"/>
          <w:color w:val="000000" w:themeColor="text1"/>
        </w:rPr>
      </w:pPr>
    </w:p>
    <w:p w:rsidR="006C7464" w:rsidRDefault="00DC4B47" w:rsidP="00DC4B47">
      <w:pPr>
        <w:spacing w:after="0" w:line="360" w:lineRule="auto"/>
        <w:jc w:val="center"/>
        <w:rPr>
          <w:rFonts w:ascii="Arial" w:hAnsi="Arial" w:cs="Arial"/>
          <w:b/>
          <w:color w:val="000000" w:themeColor="text1"/>
        </w:rPr>
      </w:pPr>
      <w:bookmarkStart w:id="0" w:name="_GoBack"/>
      <w:bookmarkEnd w:id="0"/>
      <w:r w:rsidRPr="00DC4B47">
        <w:rPr>
          <w:rFonts w:ascii="Arial" w:hAnsi="Arial" w:cs="Arial"/>
          <w:b/>
          <w:color w:val="000000" w:themeColor="text1"/>
        </w:rPr>
        <w:t xml:space="preserve">Více na </w:t>
      </w:r>
      <w:hyperlink r:id="rId7" w:history="1">
        <w:r w:rsidRPr="00FD72F5">
          <w:rPr>
            <w:rStyle w:val="Hypertextovodkaz"/>
            <w:rFonts w:ascii="Arial" w:hAnsi="Arial" w:cs="Arial"/>
            <w:b/>
          </w:rPr>
          <w:t>www.ceec.eu</w:t>
        </w:r>
      </w:hyperlink>
    </w:p>
    <w:p w:rsidR="006C7464" w:rsidRDefault="006C7464" w:rsidP="006A6C4A">
      <w:pPr>
        <w:spacing w:after="0" w:line="360" w:lineRule="auto"/>
        <w:jc w:val="both"/>
        <w:rPr>
          <w:rFonts w:ascii="Arial" w:hAnsi="Arial" w:cs="Arial"/>
          <w:color w:val="000000" w:themeColor="text1"/>
        </w:rPr>
      </w:pPr>
    </w:p>
    <w:p w:rsidR="00C968F2" w:rsidRPr="000730D1" w:rsidRDefault="00C968F2" w:rsidP="00C45298">
      <w:pPr>
        <w:spacing w:after="0" w:line="240" w:lineRule="auto"/>
        <w:rPr>
          <w:rFonts w:ascii="Arial" w:hAnsi="Arial" w:cs="Arial"/>
          <w:b/>
          <w:color w:val="000000" w:themeColor="text1"/>
        </w:rPr>
      </w:pPr>
      <w:r w:rsidRPr="000730D1">
        <w:rPr>
          <w:rFonts w:ascii="Arial" w:hAnsi="Arial" w:cs="Arial"/>
          <w:b/>
          <w:color w:val="000000" w:themeColor="text1"/>
        </w:rPr>
        <w:t>Kontakt pro média:</w:t>
      </w:r>
    </w:p>
    <w:p w:rsidR="00C968F2" w:rsidRPr="000730D1" w:rsidRDefault="00C968F2" w:rsidP="00C45298">
      <w:pPr>
        <w:spacing w:after="0" w:line="240" w:lineRule="auto"/>
        <w:rPr>
          <w:rFonts w:ascii="Arial" w:hAnsi="Arial" w:cs="Arial"/>
          <w:color w:val="000000" w:themeColor="text1"/>
        </w:rPr>
      </w:pPr>
      <w:r w:rsidRPr="000730D1">
        <w:rPr>
          <w:rFonts w:ascii="Arial" w:hAnsi="Arial" w:cs="Arial"/>
          <w:b/>
          <w:color w:val="000000" w:themeColor="text1"/>
        </w:rPr>
        <w:br/>
      </w:r>
      <w:r w:rsidR="00EA19EF" w:rsidRPr="000730D1">
        <w:rPr>
          <w:rFonts w:ascii="Arial" w:hAnsi="Arial" w:cs="Arial"/>
          <w:color w:val="000000"/>
        </w:rPr>
        <w:t>Ing. Jiří Vacek, Ph.D., MIM</w:t>
      </w:r>
      <w:r w:rsidR="00EA19EF" w:rsidRPr="000730D1">
        <w:rPr>
          <w:rFonts w:ascii="Arial" w:hAnsi="Arial" w:cs="Arial"/>
          <w:color w:val="000000"/>
        </w:rPr>
        <w:br/>
        <w:t>Ředitel společnosti</w:t>
      </w:r>
      <w:r w:rsidR="00EA19EF" w:rsidRPr="000730D1">
        <w:rPr>
          <w:rFonts w:ascii="Arial" w:hAnsi="Arial" w:cs="Arial"/>
          <w:color w:val="000000"/>
        </w:rPr>
        <w:br/>
        <w:t>CEEC Research s.r.o.</w:t>
      </w:r>
      <w:r w:rsidR="00EA19EF" w:rsidRPr="000730D1">
        <w:rPr>
          <w:rFonts w:ascii="Arial" w:hAnsi="Arial" w:cs="Arial"/>
          <w:color w:val="000000"/>
        </w:rPr>
        <w:br/>
        <w:t>E-mail: vacek@ceec.eu</w:t>
      </w:r>
      <w:r w:rsidR="00EA19EF" w:rsidRPr="000730D1">
        <w:rPr>
          <w:rFonts w:ascii="Arial" w:hAnsi="Arial" w:cs="Arial"/>
          <w:color w:val="000000"/>
        </w:rPr>
        <w:br/>
        <w:t>Tel.: +420 774 325 111</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95" w:rsidRDefault="00100F95" w:rsidP="00A76E50">
      <w:pPr>
        <w:spacing w:after="0" w:line="240" w:lineRule="auto"/>
      </w:pPr>
      <w:r>
        <w:separator/>
      </w:r>
    </w:p>
  </w:endnote>
  <w:endnote w:type="continuationSeparator" w:id="0">
    <w:p w:rsidR="00100F95" w:rsidRDefault="00100F95"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Myanmar Text">
    <w:altName w:val="Times New Roman"/>
    <w:panose1 w:val="020B0502040204020203"/>
    <w:charset w:val="00"/>
    <w:family w:val="swiss"/>
    <w:pitch w:val="variable"/>
    <w:sig w:usb0="80000003" w:usb1="00000000" w:usb2="00000400" w:usb3="00000000" w:csb0="00000001"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95" w:rsidRDefault="00100F95" w:rsidP="00A76E50">
      <w:pPr>
        <w:spacing w:after="0" w:line="240" w:lineRule="auto"/>
      </w:pPr>
      <w:r>
        <w:separator/>
      </w:r>
    </w:p>
  </w:footnote>
  <w:footnote w:type="continuationSeparator" w:id="0">
    <w:p w:rsidR="00100F95" w:rsidRDefault="00100F95"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337" w:rsidRDefault="0093333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933337" w:rsidRDefault="0076588A" w:rsidP="0029094B">
    <w:pPr>
      <w:pStyle w:val="Zhlav"/>
      <w:tabs>
        <w:tab w:val="clear" w:pos="4536"/>
        <w:tab w:val="clear" w:pos="9072"/>
        <w:tab w:val="left" w:pos="3585"/>
      </w:tabs>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sidR="00933337" w:rsidRPr="00484806">
      <w:rPr>
        <w:b/>
        <w:noProof/>
        <w:color w:val="808080" w:themeColor="background1" w:themeShade="80"/>
        <w:sz w:val="60"/>
        <w:szCs w:val="60"/>
        <w:lang w:eastAsia="cs-CZ"/>
      </w:rPr>
      <w:t>Tisková zpráva</w:t>
    </w:r>
  </w:p>
  <w:p w:rsidR="00933337" w:rsidRPr="00AC2D6D" w:rsidRDefault="00933337" w:rsidP="00BD7803">
    <w:pPr>
      <w:pStyle w:val="Zhlav"/>
      <w:tabs>
        <w:tab w:val="clear" w:pos="4536"/>
        <w:tab w:val="clear" w:pos="9072"/>
        <w:tab w:val="left" w:pos="3585"/>
      </w:tabs>
      <w:jc w:val="center"/>
      <w:rPr>
        <w:b/>
        <w:color w:val="808080" w:themeColor="background1" w:themeShade="80"/>
        <w:sz w:val="18"/>
        <w:szCs w:val="18"/>
      </w:rPr>
    </w:pPr>
  </w:p>
  <w:p w:rsidR="00933337" w:rsidRDefault="0093333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1257"/>
    <w:rsid w:val="00002781"/>
    <w:rsid w:val="00003552"/>
    <w:rsid w:val="000039CF"/>
    <w:rsid w:val="00003FE0"/>
    <w:rsid w:val="0000424D"/>
    <w:rsid w:val="000110D5"/>
    <w:rsid w:val="00012CB9"/>
    <w:rsid w:val="00014EB4"/>
    <w:rsid w:val="00016986"/>
    <w:rsid w:val="00020C96"/>
    <w:rsid w:val="0002357B"/>
    <w:rsid w:val="000240BC"/>
    <w:rsid w:val="000243CB"/>
    <w:rsid w:val="00027656"/>
    <w:rsid w:val="00030F20"/>
    <w:rsid w:val="0003155E"/>
    <w:rsid w:val="00034237"/>
    <w:rsid w:val="00040AF2"/>
    <w:rsid w:val="0004318D"/>
    <w:rsid w:val="000431B3"/>
    <w:rsid w:val="00052956"/>
    <w:rsid w:val="00053DE6"/>
    <w:rsid w:val="00055D25"/>
    <w:rsid w:val="00055FC7"/>
    <w:rsid w:val="000601B9"/>
    <w:rsid w:val="000603B3"/>
    <w:rsid w:val="00062F27"/>
    <w:rsid w:val="000633FF"/>
    <w:rsid w:val="00064569"/>
    <w:rsid w:val="0006538F"/>
    <w:rsid w:val="0006685E"/>
    <w:rsid w:val="00067C5F"/>
    <w:rsid w:val="00072FDF"/>
    <w:rsid w:val="00072FE8"/>
    <w:rsid w:val="000730D1"/>
    <w:rsid w:val="00073FC5"/>
    <w:rsid w:val="00076EE1"/>
    <w:rsid w:val="00077A03"/>
    <w:rsid w:val="000803AD"/>
    <w:rsid w:val="00080FA0"/>
    <w:rsid w:val="00084990"/>
    <w:rsid w:val="000853CA"/>
    <w:rsid w:val="00092923"/>
    <w:rsid w:val="0009385E"/>
    <w:rsid w:val="00093D49"/>
    <w:rsid w:val="00093DD9"/>
    <w:rsid w:val="0009543E"/>
    <w:rsid w:val="000957C6"/>
    <w:rsid w:val="000A03AB"/>
    <w:rsid w:val="000A0C73"/>
    <w:rsid w:val="000A2E0E"/>
    <w:rsid w:val="000A593D"/>
    <w:rsid w:val="000A7129"/>
    <w:rsid w:val="000B09D7"/>
    <w:rsid w:val="000B0EFB"/>
    <w:rsid w:val="000B1956"/>
    <w:rsid w:val="000B2314"/>
    <w:rsid w:val="000B3A8B"/>
    <w:rsid w:val="000B5DD2"/>
    <w:rsid w:val="000C0093"/>
    <w:rsid w:val="000C079A"/>
    <w:rsid w:val="000C2B3C"/>
    <w:rsid w:val="000C4278"/>
    <w:rsid w:val="000C583F"/>
    <w:rsid w:val="000C5911"/>
    <w:rsid w:val="000C6F7C"/>
    <w:rsid w:val="000C7333"/>
    <w:rsid w:val="000C7B62"/>
    <w:rsid w:val="000D031A"/>
    <w:rsid w:val="000D3395"/>
    <w:rsid w:val="000D45D3"/>
    <w:rsid w:val="000D5EC9"/>
    <w:rsid w:val="000D799A"/>
    <w:rsid w:val="000E0530"/>
    <w:rsid w:val="000E0FE0"/>
    <w:rsid w:val="000E13CB"/>
    <w:rsid w:val="000E18ED"/>
    <w:rsid w:val="000E2F47"/>
    <w:rsid w:val="000E620E"/>
    <w:rsid w:val="000E71B9"/>
    <w:rsid w:val="000F03A2"/>
    <w:rsid w:val="000F477A"/>
    <w:rsid w:val="000F4820"/>
    <w:rsid w:val="000F58C9"/>
    <w:rsid w:val="000F5D71"/>
    <w:rsid w:val="00100F95"/>
    <w:rsid w:val="001037D9"/>
    <w:rsid w:val="00104140"/>
    <w:rsid w:val="00104FFE"/>
    <w:rsid w:val="00105B57"/>
    <w:rsid w:val="00106389"/>
    <w:rsid w:val="00110295"/>
    <w:rsid w:val="001111BA"/>
    <w:rsid w:val="001131DD"/>
    <w:rsid w:val="00113FDE"/>
    <w:rsid w:val="00116FFB"/>
    <w:rsid w:val="00120111"/>
    <w:rsid w:val="001210D4"/>
    <w:rsid w:val="00121151"/>
    <w:rsid w:val="00122E6D"/>
    <w:rsid w:val="00125253"/>
    <w:rsid w:val="0012555E"/>
    <w:rsid w:val="00127951"/>
    <w:rsid w:val="0013030A"/>
    <w:rsid w:val="00130900"/>
    <w:rsid w:val="001346AF"/>
    <w:rsid w:val="001350E0"/>
    <w:rsid w:val="00140F9C"/>
    <w:rsid w:val="00143695"/>
    <w:rsid w:val="001536EE"/>
    <w:rsid w:val="001566B9"/>
    <w:rsid w:val="00162187"/>
    <w:rsid w:val="00164D20"/>
    <w:rsid w:val="0016567C"/>
    <w:rsid w:val="00166DEA"/>
    <w:rsid w:val="00172C66"/>
    <w:rsid w:val="00180560"/>
    <w:rsid w:val="001854A9"/>
    <w:rsid w:val="0018743F"/>
    <w:rsid w:val="00187B1C"/>
    <w:rsid w:val="00196346"/>
    <w:rsid w:val="0019645D"/>
    <w:rsid w:val="00197FD3"/>
    <w:rsid w:val="001A281A"/>
    <w:rsid w:val="001A6A6E"/>
    <w:rsid w:val="001B4354"/>
    <w:rsid w:val="001B76D5"/>
    <w:rsid w:val="001C6C27"/>
    <w:rsid w:val="001C6F33"/>
    <w:rsid w:val="001C7E05"/>
    <w:rsid w:val="001D014A"/>
    <w:rsid w:val="001D063E"/>
    <w:rsid w:val="001D0C46"/>
    <w:rsid w:val="001D2A88"/>
    <w:rsid w:val="001D36EB"/>
    <w:rsid w:val="001D5798"/>
    <w:rsid w:val="001D649E"/>
    <w:rsid w:val="001D7988"/>
    <w:rsid w:val="001D7AEC"/>
    <w:rsid w:val="001D7BFD"/>
    <w:rsid w:val="001E446E"/>
    <w:rsid w:val="001E715E"/>
    <w:rsid w:val="001F117F"/>
    <w:rsid w:val="001F128B"/>
    <w:rsid w:val="001F188B"/>
    <w:rsid w:val="001F22BC"/>
    <w:rsid w:val="001F2AC0"/>
    <w:rsid w:val="001F2F78"/>
    <w:rsid w:val="00200D14"/>
    <w:rsid w:val="002021AC"/>
    <w:rsid w:val="00202AF9"/>
    <w:rsid w:val="00211533"/>
    <w:rsid w:val="00212725"/>
    <w:rsid w:val="00214818"/>
    <w:rsid w:val="00215C0D"/>
    <w:rsid w:val="00223578"/>
    <w:rsid w:val="002240EE"/>
    <w:rsid w:val="002253BD"/>
    <w:rsid w:val="002262A5"/>
    <w:rsid w:val="0023367D"/>
    <w:rsid w:val="00233D6F"/>
    <w:rsid w:val="002353AC"/>
    <w:rsid w:val="00237274"/>
    <w:rsid w:val="00237E98"/>
    <w:rsid w:val="00247E30"/>
    <w:rsid w:val="00253B0D"/>
    <w:rsid w:val="00253FC8"/>
    <w:rsid w:val="00255540"/>
    <w:rsid w:val="002560EF"/>
    <w:rsid w:val="00256358"/>
    <w:rsid w:val="00257FF1"/>
    <w:rsid w:val="002603EC"/>
    <w:rsid w:val="00260DD4"/>
    <w:rsid w:val="0026229F"/>
    <w:rsid w:val="002624D1"/>
    <w:rsid w:val="00263565"/>
    <w:rsid w:val="0026597A"/>
    <w:rsid w:val="002678EB"/>
    <w:rsid w:val="00271171"/>
    <w:rsid w:val="00275AD4"/>
    <w:rsid w:val="00276B91"/>
    <w:rsid w:val="002818F3"/>
    <w:rsid w:val="00284502"/>
    <w:rsid w:val="00286E6D"/>
    <w:rsid w:val="0029094B"/>
    <w:rsid w:val="0029141A"/>
    <w:rsid w:val="0029157C"/>
    <w:rsid w:val="00291BA0"/>
    <w:rsid w:val="00293553"/>
    <w:rsid w:val="002943A5"/>
    <w:rsid w:val="00294841"/>
    <w:rsid w:val="002970C3"/>
    <w:rsid w:val="00297D3C"/>
    <w:rsid w:val="002A0398"/>
    <w:rsid w:val="002A05C0"/>
    <w:rsid w:val="002A0D8C"/>
    <w:rsid w:val="002A2466"/>
    <w:rsid w:val="002A43FD"/>
    <w:rsid w:val="002A59E2"/>
    <w:rsid w:val="002A6CC8"/>
    <w:rsid w:val="002A7D2C"/>
    <w:rsid w:val="002B11B5"/>
    <w:rsid w:val="002B17F9"/>
    <w:rsid w:val="002B1925"/>
    <w:rsid w:val="002B3053"/>
    <w:rsid w:val="002B69EB"/>
    <w:rsid w:val="002B7003"/>
    <w:rsid w:val="002C1116"/>
    <w:rsid w:val="002C1E4C"/>
    <w:rsid w:val="002C2C67"/>
    <w:rsid w:val="002C376E"/>
    <w:rsid w:val="002C5F1D"/>
    <w:rsid w:val="002C6870"/>
    <w:rsid w:val="002C6D04"/>
    <w:rsid w:val="002D00D5"/>
    <w:rsid w:val="002D1105"/>
    <w:rsid w:val="002D1D8C"/>
    <w:rsid w:val="002D797F"/>
    <w:rsid w:val="002E1B68"/>
    <w:rsid w:val="002E1CCD"/>
    <w:rsid w:val="002E36F3"/>
    <w:rsid w:val="002E6321"/>
    <w:rsid w:val="002F3CFF"/>
    <w:rsid w:val="002F401B"/>
    <w:rsid w:val="002F4916"/>
    <w:rsid w:val="002F5151"/>
    <w:rsid w:val="002F583B"/>
    <w:rsid w:val="002F5850"/>
    <w:rsid w:val="002F7E3F"/>
    <w:rsid w:val="003001E4"/>
    <w:rsid w:val="003008A7"/>
    <w:rsid w:val="003014FD"/>
    <w:rsid w:val="003016AD"/>
    <w:rsid w:val="00306C4F"/>
    <w:rsid w:val="00311898"/>
    <w:rsid w:val="00311BF9"/>
    <w:rsid w:val="00315AA1"/>
    <w:rsid w:val="00317CBD"/>
    <w:rsid w:val="00320FF8"/>
    <w:rsid w:val="00324918"/>
    <w:rsid w:val="00325137"/>
    <w:rsid w:val="003267D4"/>
    <w:rsid w:val="00326977"/>
    <w:rsid w:val="00327098"/>
    <w:rsid w:val="00332EC1"/>
    <w:rsid w:val="00335483"/>
    <w:rsid w:val="00336791"/>
    <w:rsid w:val="003409B3"/>
    <w:rsid w:val="00341337"/>
    <w:rsid w:val="00343FE1"/>
    <w:rsid w:val="00345FAA"/>
    <w:rsid w:val="0034764A"/>
    <w:rsid w:val="00350B86"/>
    <w:rsid w:val="00352DA2"/>
    <w:rsid w:val="00355142"/>
    <w:rsid w:val="003567AD"/>
    <w:rsid w:val="00357CBB"/>
    <w:rsid w:val="00360C25"/>
    <w:rsid w:val="00367B43"/>
    <w:rsid w:val="00370B08"/>
    <w:rsid w:val="00373643"/>
    <w:rsid w:val="003747F5"/>
    <w:rsid w:val="003756AA"/>
    <w:rsid w:val="00376974"/>
    <w:rsid w:val="00376E15"/>
    <w:rsid w:val="00383358"/>
    <w:rsid w:val="00383743"/>
    <w:rsid w:val="00387314"/>
    <w:rsid w:val="00387937"/>
    <w:rsid w:val="00390E15"/>
    <w:rsid w:val="003953D3"/>
    <w:rsid w:val="00395602"/>
    <w:rsid w:val="003964E1"/>
    <w:rsid w:val="003A02C1"/>
    <w:rsid w:val="003A14B6"/>
    <w:rsid w:val="003A181B"/>
    <w:rsid w:val="003A3434"/>
    <w:rsid w:val="003A4007"/>
    <w:rsid w:val="003A4732"/>
    <w:rsid w:val="003A4FD1"/>
    <w:rsid w:val="003A6F3A"/>
    <w:rsid w:val="003A7A48"/>
    <w:rsid w:val="003A7E88"/>
    <w:rsid w:val="003B2226"/>
    <w:rsid w:val="003B24B6"/>
    <w:rsid w:val="003B2E18"/>
    <w:rsid w:val="003B78AB"/>
    <w:rsid w:val="003B78E0"/>
    <w:rsid w:val="003C0E99"/>
    <w:rsid w:val="003C3BC4"/>
    <w:rsid w:val="003C5FC8"/>
    <w:rsid w:val="003C69F9"/>
    <w:rsid w:val="003C773D"/>
    <w:rsid w:val="003C795B"/>
    <w:rsid w:val="003D47EA"/>
    <w:rsid w:val="003D48F8"/>
    <w:rsid w:val="003D630D"/>
    <w:rsid w:val="003D7292"/>
    <w:rsid w:val="003E19D7"/>
    <w:rsid w:val="003E3B49"/>
    <w:rsid w:val="003E3DE2"/>
    <w:rsid w:val="003E3F4A"/>
    <w:rsid w:val="003E40D1"/>
    <w:rsid w:val="003E77A1"/>
    <w:rsid w:val="003F1964"/>
    <w:rsid w:val="003F203A"/>
    <w:rsid w:val="003F59F4"/>
    <w:rsid w:val="003F7C6F"/>
    <w:rsid w:val="00401C39"/>
    <w:rsid w:val="00402D9F"/>
    <w:rsid w:val="0041515B"/>
    <w:rsid w:val="0042131A"/>
    <w:rsid w:val="00422A81"/>
    <w:rsid w:val="00426A92"/>
    <w:rsid w:val="004316C7"/>
    <w:rsid w:val="00433364"/>
    <w:rsid w:val="0043543D"/>
    <w:rsid w:val="004370C0"/>
    <w:rsid w:val="00437237"/>
    <w:rsid w:val="00437D6C"/>
    <w:rsid w:val="00441736"/>
    <w:rsid w:val="0044390B"/>
    <w:rsid w:val="00443F0A"/>
    <w:rsid w:val="0044519F"/>
    <w:rsid w:val="004462F7"/>
    <w:rsid w:val="00446B31"/>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0A99"/>
    <w:rsid w:val="00481DB4"/>
    <w:rsid w:val="00485B59"/>
    <w:rsid w:val="004861FD"/>
    <w:rsid w:val="00490688"/>
    <w:rsid w:val="004907FF"/>
    <w:rsid w:val="00492AE9"/>
    <w:rsid w:val="00493E4C"/>
    <w:rsid w:val="00494BCC"/>
    <w:rsid w:val="00494EF8"/>
    <w:rsid w:val="0049504A"/>
    <w:rsid w:val="00497129"/>
    <w:rsid w:val="00497993"/>
    <w:rsid w:val="004A0102"/>
    <w:rsid w:val="004A0F96"/>
    <w:rsid w:val="004A1A95"/>
    <w:rsid w:val="004A5258"/>
    <w:rsid w:val="004A545D"/>
    <w:rsid w:val="004A559E"/>
    <w:rsid w:val="004A714A"/>
    <w:rsid w:val="004B0D3D"/>
    <w:rsid w:val="004B21C6"/>
    <w:rsid w:val="004B2FEB"/>
    <w:rsid w:val="004B5A3E"/>
    <w:rsid w:val="004B6355"/>
    <w:rsid w:val="004C14E3"/>
    <w:rsid w:val="004C778E"/>
    <w:rsid w:val="004D3CE0"/>
    <w:rsid w:val="004D75BF"/>
    <w:rsid w:val="004D7BC0"/>
    <w:rsid w:val="004E144C"/>
    <w:rsid w:val="004E20ED"/>
    <w:rsid w:val="004E468A"/>
    <w:rsid w:val="004E474E"/>
    <w:rsid w:val="004F1468"/>
    <w:rsid w:val="004F4146"/>
    <w:rsid w:val="004F5B25"/>
    <w:rsid w:val="004F5B5A"/>
    <w:rsid w:val="00504492"/>
    <w:rsid w:val="005065B9"/>
    <w:rsid w:val="005073A6"/>
    <w:rsid w:val="0051183B"/>
    <w:rsid w:val="00511B85"/>
    <w:rsid w:val="0051332B"/>
    <w:rsid w:val="005171E3"/>
    <w:rsid w:val="00517883"/>
    <w:rsid w:val="0052175E"/>
    <w:rsid w:val="00524ADB"/>
    <w:rsid w:val="00530536"/>
    <w:rsid w:val="00530B9B"/>
    <w:rsid w:val="00530C65"/>
    <w:rsid w:val="00532BE3"/>
    <w:rsid w:val="00535FE7"/>
    <w:rsid w:val="00536079"/>
    <w:rsid w:val="00540E43"/>
    <w:rsid w:val="00542B49"/>
    <w:rsid w:val="00542B8A"/>
    <w:rsid w:val="00542D5D"/>
    <w:rsid w:val="00545502"/>
    <w:rsid w:val="00545869"/>
    <w:rsid w:val="0054668A"/>
    <w:rsid w:val="0054748B"/>
    <w:rsid w:val="00547A99"/>
    <w:rsid w:val="0055065F"/>
    <w:rsid w:val="00551A6D"/>
    <w:rsid w:val="005527AA"/>
    <w:rsid w:val="005556C1"/>
    <w:rsid w:val="00555D33"/>
    <w:rsid w:val="00562CAD"/>
    <w:rsid w:val="00562E2E"/>
    <w:rsid w:val="00565634"/>
    <w:rsid w:val="005677BC"/>
    <w:rsid w:val="0057102C"/>
    <w:rsid w:val="0057145D"/>
    <w:rsid w:val="0057268D"/>
    <w:rsid w:val="005733C7"/>
    <w:rsid w:val="00574400"/>
    <w:rsid w:val="005826BC"/>
    <w:rsid w:val="00584A1E"/>
    <w:rsid w:val="0058771B"/>
    <w:rsid w:val="005912D0"/>
    <w:rsid w:val="005912F8"/>
    <w:rsid w:val="005969A3"/>
    <w:rsid w:val="00596BCB"/>
    <w:rsid w:val="005A262C"/>
    <w:rsid w:val="005A2DC8"/>
    <w:rsid w:val="005A4048"/>
    <w:rsid w:val="005A498E"/>
    <w:rsid w:val="005A4F0E"/>
    <w:rsid w:val="005A5293"/>
    <w:rsid w:val="005A6CE2"/>
    <w:rsid w:val="005B03B8"/>
    <w:rsid w:val="005B286F"/>
    <w:rsid w:val="005B4980"/>
    <w:rsid w:val="005B4B98"/>
    <w:rsid w:val="005B55AB"/>
    <w:rsid w:val="005C03A3"/>
    <w:rsid w:val="005C0FA8"/>
    <w:rsid w:val="005C2533"/>
    <w:rsid w:val="005C7342"/>
    <w:rsid w:val="005D0E7A"/>
    <w:rsid w:val="005D15C7"/>
    <w:rsid w:val="005D32BF"/>
    <w:rsid w:val="005D3E08"/>
    <w:rsid w:val="005D6391"/>
    <w:rsid w:val="005E2954"/>
    <w:rsid w:val="005E295F"/>
    <w:rsid w:val="005E30D6"/>
    <w:rsid w:val="005E5D45"/>
    <w:rsid w:val="005E76DC"/>
    <w:rsid w:val="005E7D50"/>
    <w:rsid w:val="005E7F75"/>
    <w:rsid w:val="005F0023"/>
    <w:rsid w:val="005F01F8"/>
    <w:rsid w:val="005F0F7B"/>
    <w:rsid w:val="005F208B"/>
    <w:rsid w:val="005F436D"/>
    <w:rsid w:val="005F49DC"/>
    <w:rsid w:val="005F4CAE"/>
    <w:rsid w:val="005F515D"/>
    <w:rsid w:val="00602228"/>
    <w:rsid w:val="00602EB8"/>
    <w:rsid w:val="006033B0"/>
    <w:rsid w:val="0060359F"/>
    <w:rsid w:val="00604DB7"/>
    <w:rsid w:val="00605FD4"/>
    <w:rsid w:val="006134B4"/>
    <w:rsid w:val="006154D2"/>
    <w:rsid w:val="00616903"/>
    <w:rsid w:val="0062321A"/>
    <w:rsid w:val="00623FBE"/>
    <w:rsid w:val="00625010"/>
    <w:rsid w:val="00627790"/>
    <w:rsid w:val="00631B69"/>
    <w:rsid w:val="00635232"/>
    <w:rsid w:val="00635D42"/>
    <w:rsid w:val="0063643D"/>
    <w:rsid w:val="0063751A"/>
    <w:rsid w:val="00637A4B"/>
    <w:rsid w:val="00640BE6"/>
    <w:rsid w:val="00641BC9"/>
    <w:rsid w:val="00642BCC"/>
    <w:rsid w:val="006438A3"/>
    <w:rsid w:val="00643A99"/>
    <w:rsid w:val="00645651"/>
    <w:rsid w:val="006527AC"/>
    <w:rsid w:val="00655A07"/>
    <w:rsid w:val="00655C78"/>
    <w:rsid w:val="0065684B"/>
    <w:rsid w:val="00656C38"/>
    <w:rsid w:val="00657E0A"/>
    <w:rsid w:val="0066111C"/>
    <w:rsid w:val="00661312"/>
    <w:rsid w:val="00664729"/>
    <w:rsid w:val="00665412"/>
    <w:rsid w:val="006655F2"/>
    <w:rsid w:val="00665B5E"/>
    <w:rsid w:val="006702E4"/>
    <w:rsid w:val="006718DD"/>
    <w:rsid w:val="006724BA"/>
    <w:rsid w:val="00672B58"/>
    <w:rsid w:val="00672B96"/>
    <w:rsid w:val="00672BB7"/>
    <w:rsid w:val="00673835"/>
    <w:rsid w:val="006744DE"/>
    <w:rsid w:val="00677213"/>
    <w:rsid w:val="006801BB"/>
    <w:rsid w:val="00682EB2"/>
    <w:rsid w:val="00684B67"/>
    <w:rsid w:val="006914DB"/>
    <w:rsid w:val="00693299"/>
    <w:rsid w:val="00693E78"/>
    <w:rsid w:val="006953F2"/>
    <w:rsid w:val="00696038"/>
    <w:rsid w:val="00696322"/>
    <w:rsid w:val="006971F2"/>
    <w:rsid w:val="00697385"/>
    <w:rsid w:val="006A13CF"/>
    <w:rsid w:val="006A231E"/>
    <w:rsid w:val="006A23EE"/>
    <w:rsid w:val="006A528C"/>
    <w:rsid w:val="006A5362"/>
    <w:rsid w:val="006A594B"/>
    <w:rsid w:val="006A6C4A"/>
    <w:rsid w:val="006B05FD"/>
    <w:rsid w:val="006B1D88"/>
    <w:rsid w:val="006B5BFA"/>
    <w:rsid w:val="006B6B49"/>
    <w:rsid w:val="006C536C"/>
    <w:rsid w:val="006C5597"/>
    <w:rsid w:val="006C735B"/>
    <w:rsid w:val="006C7464"/>
    <w:rsid w:val="006D2CD0"/>
    <w:rsid w:val="006D67A7"/>
    <w:rsid w:val="006E0DCA"/>
    <w:rsid w:val="006E20F2"/>
    <w:rsid w:val="006E4E8A"/>
    <w:rsid w:val="006E5521"/>
    <w:rsid w:val="006F0DA6"/>
    <w:rsid w:val="006F0F71"/>
    <w:rsid w:val="006F29EF"/>
    <w:rsid w:val="006F2C05"/>
    <w:rsid w:val="006F5538"/>
    <w:rsid w:val="00702F17"/>
    <w:rsid w:val="00703F7F"/>
    <w:rsid w:val="00706CF1"/>
    <w:rsid w:val="007076E0"/>
    <w:rsid w:val="00710EF9"/>
    <w:rsid w:val="007114F4"/>
    <w:rsid w:val="0071470C"/>
    <w:rsid w:val="007151ED"/>
    <w:rsid w:val="00716B52"/>
    <w:rsid w:val="00716F81"/>
    <w:rsid w:val="00721DB4"/>
    <w:rsid w:val="00724EF7"/>
    <w:rsid w:val="0072505A"/>
    <w:rsid w:val="0072523F"/>
    <w:rsid w:val="00725A3E"/>
    <w:rsid w:val="00725AB9"/>
    <w:rsid w:val="007262F3"/>
    <w:rsid w:val="007265CC"/>
    <w:rsid w:val="00730372"/>
    <w:rsid w:val="00733E20"/>
    <w:rsid w:val="007347B2"/>
    <w:rsid w:val="00737158"/>
    <w:rsid w:val="00737E6F"/>
    <w:rsid w:val="0074021E"/>
    <w:rsid w:val="00741C6E"/>
    <w:rsid w:val="0074201C"/>
    <w:rsid w:val="007430B7"/>
    <w:rsid w:val="00744A97"/>
    <w:rsid w:val="00744FDB"/>
    <w:rsid w:val="007477E0"/>
    <w:rsid w:val="00751610"/>
    <w:rsid w:val="00752F10"/>
    <w:rsid w:val="007547AB"/>
    <w:rsid w:val="00756A20"/>
    <w:rsid w:val="00757E18"/>
    <w:rsid w:val="007603AB"/>
    <w:rsid w:val="00760BCE"/>
    <w:rsid w:val="0076181F"/>
    <w:rsid w:val="00762ADF"/>
    <w:rsid w:val="00763269"/>
    <w:rsid w:val="0076376C"/>
    <w:rsid w:val="0076588A"/>
    <w:rsid w:val="00766B88"/>
    <w:rsid w:val="00767B87"/>
    <w:rsid w:val="00770276"/>
    <w:rsid w:val="00773BB8"/>
    <w:rsid w:val="00773F91"/>
    <w:rsid w:val="0077594B"/>
    <w:rsid w:val="0077612F"/>
    <w:rsid w:val="007765E8"/>
    <w:rsid w:val="00777A89"/>
    <w:rsid w:val="00781C7A"/>
    <w:rsid w:val="00782680"/>
    <w:rsid w:val="00783F7D"/>
    <w:rsid w:val="00785220"/>
    <w:rsid w:val="00785B22"/>
    <w:rsid w:val="007910F4"/>
    <w:rsid w:val="00797377"/>
    <w:rsid w:val="007977DF"/>
    <w:rsid w:val="007A4BC1"/>
    <w:rsid w:val="007A708E"/>
    <w:rsid w:val="007A717B"/>
    <w:rsid w:val="007A72C5"/>
    <w:rsid w:val="007A7DDD"/>
    <w:rsid w:val="007B2BC0"/>
    <w:rsid w:val="007B4F0F"/>
    <w:rsid w:val="007B67E8"/>
    <w:rsid w:val="007B767C"/>
    <w:rsid w:val="007C22B5"/>
    <w:rsid w:val="007C55A2"/>
    <w:rsid w:val="007C57A5"/>
    <w:rsid w:val="007C6D41"/>
    <w:rsid w:val="007C7D83"/>
    <w:rsid w:val="007D01D4"/>
    <w:rsid w:val="007D51D0"/>
    <w:rsid w:val="007D6E31"/>
    <w:rsid w:val="007D73AB"/>
    <w:rsid w:val="007E1CF7"/>
    <w:rsid w:val="007E21DE"/>
    <w:rsid w:val="007E2491"/>
    <w:rsid w:val="007E36F5"/>
    <w:rsid w:val="007E36FA"/>
    <w:rsid w:val="007E3F5D"/>
    <w:rsid w:val="007E5D4A"/>
    <w:rsid w:val="007E60FA"/>
    <w:rsid w:val="007F0ADF"/>
    <w:rsid w:val="007F4298"/>
    <w:rsid w:val="007F5413"/>
    <w:rsid w:val="007F7BD4"/>
    <w:rsid w:val="00801395"/>
    <w:rsid w:val="00803C16"/>
    <w:rsid w:val="008051CA"/>
    <w:rsid w:val="00806718"/>
    <w:rsid w:val="00812D97"/>
    <w:rsid w:val="0081666E"/>
    <w:rsid w:val="008217D1"/>
    <w:rsid w:val="008220B0"/>
    <w:rsid w:val="00825E03"/>
    <w:rsid w:val="00830DC4"/>
    <w:rsid w:val="00831A70"/>
    <w:rsid w:val="00832635"/>
    <w:rsid w:val="00834A8E"/>
    <w:rsid w:val="0084004E"/>
    <w:rsid w:val="00841EC8"/>
    <w:rsid w:val="008428C9"/>
    <w:rsid w:val="00850157"/>
    <w:rsid w:val="008531F1"/>
    <w:rsid w:val="00855382"/>
    <w:rsid w:val="0086225D"/>
    <w:rsid w:val="00862954"/>
    <w:rsid w:val="00865A71"/>
    <w:rsid w:val="00871E1E"/>
    <w:rsid w:val="0087210A"/>
    <w:rsid w:val="00872C5B"/>
    <w:rsid w:val="00873C3E"/>
    <w:rsid w:val="00875846"/>
    <w:rsid w:val="00875B48"/>
    <w:rsid w:val="0088009B"/>
    <w:rsid w:val="00881C63"/>
    <w:rsid w:val="00882E09"/>
    <w:rsid w:val="0088365C"/>
    <w:rsid w:val="008848C2"/>
    <w:rsid w:val="008878D0"/>
    <w:rsid w:val="00890743"/>
    <w:rsid w:val="00892496"/>
    <w:rsid w:val="00892803"/>
    <w:rsid w:val="00896CF7"/>
    <w:rsid w:val="008A1918"/>
    <w:rsid w:val="008A2D79"/>
    <w:rsid w:val="008A2FAF"/>
    <w:rsid w:val="008A2FB6"/>
    <w:rsid w:val="008A567B"/>
    <w:rsid w:val="008A6107"/>
    <w:rsid w:val="008B1388"/>
    <w:rsid w:val="008B2595"/>
    <w:rsid w:val="008B2FE8"/>
    <w:rsid w:val="008B3C86"/>
    <w:rsid w:val="008B43D8"/>
    <w:rsid w:val="008B50B9"/>
    <w:rsid w:val="008B7DCF"/>
    <w:rsid w:val="008C3279"/>
    <w:rsid w:val="008C50DE"/>
    <w:rsid w:val="008C68A1"/>
    <w:rsid w:val="008C716E"/>
    <w:rsid w:val="008C72A0"/>
    <w:rsid w:val="008D414B"/>
    <w:rsid w:val="008E17C3"/>
    <w:rsid w:val="008E1F3C"/>
    <w:rsid w:val="008E3D58"/>
    <w:rsid w:val="008E4090"/>
    <w:rsid w:val="008E51E4"/>
    <w:rsid w:val="008E70F3"/>
    <w:rsid w:val="008E790D"/>
    <w:rsid w:val="008F20D4"/>
    <w:rsid w:val="008F20F7"/>
    <w:rsid w:val="008F22CC"/>
    <w:rsid w:val="008F3AEB"/>
    <w:rsid w:val="008F4D01"/>
    <w:rsid w:val="009022B6"/>
    <w:rsid w:val="0090242E"/>
    <w:rsid w:val="00902A00"/>
    <w:rsid w:val="00903BAA"/>
    <w:rsid w:val="009048B5"/>
    <w:rsid w:val="00906B01"/>
    <w:rsid w:val="009074A2"/>
    <w:rsid w:val="00910AD9"/>
    <w:rsid w:val="00914FF6"/>
    <w:rsid w:val="00916FD0"/>
    <w:rsid w:val="00917465"/>
    <w:rsid w:val="0092049F"/>
    <w:rsid w:val="00922AEB"/>
    <w:rsid w:val="00922B89"/>
    <w:rsid w:val="00927E6C"/>
    <w:rsid w:val="00930100"/>
    <w:rsid w:val="00930BEC"/>
    <w:rsid w:val="00930CA6"/>
    <w:rsid w:val="00931D64"/>
    <w:rsid w:val="00931E7E"/>
    <w:rsid w:val="00932481"/>
    <w:rsid w:val="009329E4"/>
    <w:rsid w:val="00933337"/>
    <w:rsid w:val="009356AB"/>
    <w:rsid w:val="00935BE4"/>
    <w:rsid w:val="00937100"/>
    <w:rsid w:val="00940D4B"/>
    <w:rsid w:val="00941616"/>
    <w:rsid w:val="00941B64"/>
    <w:rsid w:val="00942613"/>
    <w:rsid w:val="00942706"/>
    <w:rsid w:val="009443F0"/>
    <w:rsid w:val="009452AD"/>
    <w:rsid w:val="00946433"/>
    <w:rsid w:val="0095004C"/>
    <w:rsid w:val="00951160"/>
    <w:rsid w:val="009522FC"/>
    <w:rsid w:val="00954499"/>
    <w:rsid w:val="00955701"/>
    <w:rsid w:val="009564A3"/>
    <w:rsid w:val="00957D0D"/>
    <w:rsid w:val="00962CD2"/>
    <w:rsid w:val="00965531"/>
    <w:rsid w:val="00966031"/>
    <w:rsid w:val="00971EE1"/>
    <w:rsid w:val="0097615D"/>
    <w:rsid w:val="00976DBB"/>
    <w:rsid w:val="009818B0"/>
    <w:rsid w:val="00981E90"/>
    <w:rsid w:val="00984818"/>
    <w:rsid w:val="00984994"/>
    <w:rsid w:val="00985694"/>
    <w:rsid w:val="00985F9A"/>
    <w:rsid w:val="00987D32"/>
    <w:rsid w:val="00990B27"/>
    <w:rsid w:val="00992BC3"/>
    <w:rsid w:val="009A1D73"/>
    <w:rsid w:val="009A2231"/>
    <w:rsid w:val="009A38B8"/>
    <w:rsid w:val="009A4C67"/>
    <w:rsid w:val="009A58B4"/>
    <w:rsid w:val="009A6632"/>
    <w:rsid w:val="009B0A00"/>
    <w:rsid w:val="009B2A3E"/>
    <w:rsid w:val="009B37FD"/>
    <w:rsid w:val="009B3A7C"/>
    <w:rsid w:val="009B41D2"/>
    <w:rsid w:val="009B642D"/>
    <w:rsid w:val="009C099A"/>
    <w:rsid w:val="009C23AC"/>
    <w:rsid w:val="009C246B"/>
    <w:rsid w:val="009C265B"/>
    <w:rsid w:val="009C4871"/>
    <w:rsid w:val="009C590D"/>
    <w:rsid w:val="009C7C7E"/>
    <w:rsid w:val="009D01E8"/>
    <w:rsid w:val="009D117F"/>
    <w:rsid w:val="009D125D"/>
    <w:rsid w:val="009E0C2B"/>
    <w:rsid w:val="009E166B"/>
    <w:rsid w:val="009E295C"/>
    <w:rsid w:val="009E38E2"/>
    <w:rsid w:val="009E4135"/>
    <w:rsid w:val="009E635F"/>
    <w:rsid w:val="009E663B"/>
    <w:rsid w:val="009E679D"/>
    <w:rsid w:val="009E6FA2"/>
    <w:rsid w:val="009E72B1"/>
    <w:rsid w:val="009F07BC"/>
    <w:rsid w:val="009F1B43"/>
    <w:rsid w:val="009F242C"/>
    <w:rsid w:val="009F318A"/>
    <w:rsid w:val="009F44FD"/>
    <w:rsid w:val="009F5081"/>
    <w:rsid w:val="009F7004"/>
    <w:rsid w:val="00A001E9"/>
    <w:rsid w:val="00A02D78"/>
    <w:rsid w:val="00A04A9D"/>
    <w:rsid w:val="00A057BE"/>
    <w:rsid w:val="00A05FF5"/>
    <w:rsid w:val="00A10099"/>
    <w:rsid w:val="00A12BF5"/>
    <w:rsid w:val="00A13A16"/>
    <w:rsid w:val="00A13B5D"/>
    <w:rsid w:val="00A13BD2"/>
    <w:rsid w:val="00A1773E"/>
    <w:rsid w:val="00A23DFE"/>
    <w:rsid w:val="00A26852"/>
    <w:rsid w:val="00A26A00"/>
    <w:rsid w:val="00A274A7"/>
    <w:rsid w:val="00A300A2"/>
    <w:rsid w:val="00A32EEE"/>
    <w:rsid w:val="00A3482C"/>
    <w:rsid w:val="00A45442"/>
    <w:rsid w:val="00A541D4"/>
    <w:rsid w:val="00A5433D"/>
    <w:rsid w:val="00A5482F"/>
    <w:rsid w:val="00A601AE"/>
    <w:rsid w:val="00A60D42"/>
    <w:rsid w:val="00A63FAA"/>
    <w:rsid w:val="00A6782D"/>
    <w:rsid w:val="00A728A3"/>
    <w:rsid w:val="00A7323A"/>
    <w:rsid w:val="00A745C1"/>
    <w:rsid w:val="00A76799"/>
    <w:rsid w:val="00A76E50"/>
    <w:rsid w:val="00A83933"/>
    <w:rsid w:val="00A84CE9"/>
    <w:rsid w:val="00A87DB5"/>
    <w:rsid w:val="00A906AF"/>
    <w:rsid w:val="00A906B5"/>
    <w:rsid w:val="00A926D4"/>
    <w:rsid w:val="00A92CBB"/>
    <w:rsid w:val="00A92E9C"/>
    <w:rsid w:val="00A94542"/>
    <w:rsid w:val="00AA1387"/>
    <w:rsid w:val="00AA4BF5"/>
    <w:rsid w:val="00AA5AD2"/>
    <w:rsid w:val="00AA5E74"/>
    <w:rsid w:val="00AB2DE8"/>
    <w:rsid w:val="00AB3A5B"/>
    <w:rsid w:val="00AB4B89"/>
    <w:rsid w:val="00AB55BE"/>
    <w:rsid w:val="00AC0303"/>
    <w:rsid w:val="00AC22A3"/>
    <w:rsid w:val="00AC2395"/>
    <w:rsid w:val="00AC2D6D"/>
    <w:rsid w:val="00AC339F"/>
    <w:rsid w:val="00AC3D5D"/>
    <w:rsid w:val="00AC5F68"/>
    <w:rsid w:val="00AC6AD5"/>
    <w:rsid w:val="00AC77CF"/>
    <w:rsid w:val="00AD0157"/>
    <w:rsid w:val="00AD247B"/>
    <w:rsid w:val="00AD4919"/>
    <w:rsid w:val="00AD49A6"/>
    <w:rsid w:val="00AE0527"/>
    <w:rsid w:val="00AE1035"/>
    <w:rsid w:val="00AE16A4"/>
    <w:rsid w:val="00AE5670"/>
    <w:rsid w:val="00AE6024"/>
    <w:rsid w:val="00AE6AF6"/>
    <w:rsid w:val="00AE6E1B"/>
    <w:rsid w:val="00AE6E31"/>
    <w:rsid w:val="00AE76A8"/>
    <w:rsid w:val="00AF186C"/>
    <w:rsid w:val="00AF2A07"/>
    <w:rsid w:val="00AF4BFC"/>
    <w:rsid w:val="00AF73EB"/>
    <w:rsid w:val="00B04CD0"/>
    <w:rsid w:val="00B05FEC"/>
    <w:rsid w:val="00B12D93"/>
    <w:rsid w:val="00B12E8C"/>
    <w:rsid w:val="00B150A6"/>
    <w:rsid w:val="00B172EC"/>
    <w:rsid w:val="00B219DE"/>
    <w:rsid w:val="00B265DF"/>
    <w:rsid w:val="00B273A5"/>
    <w:rsid w:val="00B30D0D"/>
    <w:rsid w:val="00B313C0"/>
    <w:rsid w:val="00B319B5"/>
    <w:rsid w:val="00B31C13"/>
    <w:rsid w:val="00B33367"/>
    <w:rsid w:val="00B4059A"/>
    <w:rsid w:val="00B41CB4"/>
    <w:rsid w:val="00B42338"/>
    <w:rsid w:val="00B42D41"/>
    <w:rsid w:val="00B42E63"/>
    <w:rsid w:val="00B46243"/>
    <w:rsid w:val="00B47BF2"/>
    <w:rsid w:val="00B51BAF"/>
    <w:rsid w:val="00B544E3"/>
    <w:rsid w:val="00B602E2"/>
    <w:rsid w:val="00B63AC6"/>
    <w:rsid w:val="00B64398"/>
    <w:rsid w:val="00B64AEB"/>
    <w:rsid w:val="00B652F6"/>
    <w:rsid w:val="00B660F0"/>
    <w:rsid w:val="00B676BD"/>
    <w:rsid w:val="00B7063C"/>
    <w:rsid w:val="00B718C2"/>
    <w:rsid w:val="00B8560E"/>
    <w:rsid w:val="00B87C83"/>
    <w:rsid w:val="00B87D38"/>
    <w:rsid w:val="00B93544"/>
    <w:rsid w:val="00B97724"/>
    <w:rsid w:val="00B978D3"/>
    <w:rsid w:val="00BA0468"/>
    <w:rsid w:val="00BA097C"/>
    <w:rsid w:val="00BA5729"/>
    <w:rsid w:val="00BA7A40"/>
    <w:rsid w:val="00BB1A72"/>
    <w:rsid w:val="00BB3010"/>
    <w:rsid w:val="00BB34CC"/>
    <w:rsid w:val="00BB66C7"/>
    <w:rsid w:val="00BB6FA6"/>
    <w:rsid w:val="00BB7537"/>
    <w:rsid w:val="00BB7792"/>
    <w:rsid w:val="00BB7924"/>
    <w:rsid w:val="00BC1CE2"/>
    <w:rsid w:val="00BC3888"/>
    <w:rsid w:val="00BC7F46"/>
    <w:rsid w:val="00BD029A"/>
    <w:rsid w:val="00BD05CF"/>
    <w:rsid w:val="00BD0BFB"/>
    <w:rsid w:val="00BD23F4"/>
    <w:rsid w:val="00BD3F96"/>
    <w:rsid w:val="00BD4FC3"/>
    <w:rsid w:val="00BD5B82"/>
    <w:rsid w:val="00BD65DC"/>
    <w:rsid w:val="00BD6790"/>
    <w:rsid w:val="00BD7803"/>
    <w:rsid w:val="00BE0FB2"/>
    <w:rsid w:val="00BE1FCB"/>
    <w:rsid w:val="00BE37CF"/>
    <w:rsid w:val="00BE4C84"/>
    <w:rsid w:val="00BE4C87"/>
    <w:rsid w:val="00BE50C4"/>
    <w:rsid w:val="00BE62AC"/>
    <w:rsid w:val="00BF0311"/>
    <w:rsid w:val="00BF14DC"/>
    <w:rsid w:val="00C0020B"/>
    <w:rsid w:val="00C0021E"/>
    <w:rsid w:val="00C00B6D"/>
    <w:rsid w:val="00C01ADB"/>
    <w:rsid w:val="00C04049"/>
    <w:rsid w:val="00C07B25"/>
    <w:rsid w:val="00C07F0C"/>
    <w:rsid w:val="00C10580"/>
    <w:rsid w:val="00C1456C"/>
    <w:rsid w:val="00C16CC9"/>
    <w:rsid w:val="00C17127"/>
    <w:rsid w:val="00C17493"/>
    <w:rsid w:val="00C231A7"/>
    <w:rsid w:val="00C231F2"/>
    <w:rsid w:val="00C31C5B"/>
    <w:rsid w:val="00C32127"/>
    <w:rsid w:val="00C33A96"/>
    <w:rsid w:val="00C3682A"/>
    <w:rsid w:val="00C4019C"/>
    <w:rsid w:val="00C45298"/>
    <w:rsid w:val="00C456A8"/>
    <w:rsid w:val="00C52010"/>
    <w:rsid w:val="00C57142"/>
    <w:rsid w:val="00C606AD"/>
    <w:rsid w:val="00C61698"/>
    <w:rsid w:val="00C63502"/>
    <w:rsid w:val="00C65B35"/>
    <w:rsid w:val="00C66B21"/>
    <w:rsid w:val="00C71D8B"/>
    <w:rsid w:val="00C7390E"/>
    <w:rsid w:val="00C75FBF"/>
    <w:rsid w:val="00C76EFB"/>
    <w:rsid w:val="00C82922"/>
    <w:rsid w:val="00C91307"/>
    <w:rsid w:val="00C9176D"/>
    <w:rsid w:val="00C93D89"/>
    <w:rsid w:val="00C93F8A"/>
    <w:rsid w:val="00C94082"/>
    <w:rsid w:val="00C945F2"/>
    <w:rsid w:val="00C95A8C"/>
    <w:rsid w:val="00C968F2"/>
    <w:rsid w:val="00C96933"/>
    <w:rsid w:val="00CA03A3"/>
    <w:rsid w:val="00CA3F6B"/>
    <w:rsid w:val="00CB0D45"/>
    <w:rsid w:val="00CB134A"/>
    <w:rsid w:val="00CB19AF"/>
    <w:rsid w:val="00CB2C3F"/>
    <w:rsid w:val="00CB3E4B"/>
    <w:rsid w:val="00CB46BD"/>
    <w:rsid w:val="00CB5E6C"/>
    <w:rsid w:val="00CB6DBA"/>
    <w:rsid w:val="00CC15D8"/>
    <w:rsid w:val="00CC1A54"/>
    <w:rsid w:val="00CC3C58"/>
    <w:rsid w:val="00CC7F02"/>
    <w:rsid w:val="00CD001D"/>
    <w:rsid w:val="00CD2EFD"/>
    <w:rsid w:val="00CD6919"/>
    <w:rsid w:val="00CD6E22"/>
    <w:rsid w:val="00CE177F"/>
    <w:rsid w:val="00CE6E9C"/>
    <w:rsid w:val="00CE7ABD"/>
    <w:rsid w:val="00CF08E7"/>
    <w:rsid w:val="00CF2F03"/>
    <w:rsid w:val="00CF3228"/>
    <w:rsid w:val="00CF6C0F"/>
    <w:rsid w:val="00D016CD"/>
    <w:rsid w:val="00D01988"/>
    <w:rsid w:val="00D07AA6"/>
    <w:rsid w:val="00D1081C"/>
    <w:rsid w:val="00D1155A"/>
    <w:rsid w:val="00D115CB"/>
    <w:rsid w:val="00D11AFC"/>
    <w:rsid w:val="00D11C20"/>
    <w:rsid w:val="00D14998"/>
    <w:rsid w:val="00D14C0C"/>
    <w:rsid w:val="00D16BDE"/>
    <w:rsid w:val="00D16C44"/>
    <w:rsid w:val="00D17B2A"/>
    <w:rsid w:val="00D17F2B"/>
    <w:rsid w:val="00D21B76"/>
    <w:rsid w:val="00D23085"/>
    <w:rsid w:val="00D262A9"/>
    <w:rsid w:val="00D27A45"/>
    <w:rsid w:val="00D308FE"/>
    <w:rsid w:val="00D3106C"/>
    <w:rsid w:val="00D31B32"/>
    <w:rsid w:val="00D335C7"/>
    <w:rsid w:val="00D33D19"/>
    <w:rsid w:val="00D376F8"/>
    <w:rsid w:val="00D46F1D"/>
    <w:rsid w:val="00D50A6E"/>
    <w:rsid w:val="00D52AE5"/>
    <w:rsid w:val="00D601E1"/>
    <w:rsid w:val="00D609D4"/>
    <w:rsid w:val="00D611DB"/>
    <w:rsid w:val="00D61585"/>
    <w:rsid w:val="00D64833"/>
    <w:rsid w:val="00D6525A"/>
    <w:rsid w:val="00D6587A"/>
    <w:rsid w:val="00D66843"/>
    <w:rsid w:val="00D66F82"/>
    <w:rsid w:val="00D670A2"/>
    <w:rsid w:val="00D74B72"/>
    <w:rsid w:val="00D81054"/>
    <w:rsid w:val="00D82AEE"/>
    <w:rsid w:val="00D8719A"/>
    <w:rsid w:val="00D87C81"/>
    <w:rsid w:val="00D91433"/>
    <w:rsid w:val="00D948F5"/>
    <w:rsid w:val="00D97EBB"/>
    <w:rsid w:val="00DA1CE5"/>
    <w:rsid w:val="00DA1EAC"/>
    <w:rsid w:val="00DB07A6"/>
    <w:rsid w:val="00DB1EAA"/>
    <w:rsid w:val="00DB21E5"/>
    <w:rsid w:val="00DB34B3"/>
    <w:rsid w:val="00DB522F"/>
    <w:rsid w:val="00DB5326"/>
    <w:rsid w:val="00DC4B47"/>
    <w:rsid w:val="00DC6643"/>
    <w:rsid w:val="00DD367E"/>
    <w:rsid w:val="00DE2083"/>
    <w:rsid w:val="00DE5DFF"/>
    <w:rsid w:val="00DE6045"/>
    <w:rsid w:val="00DE6B4C"/>
    <w:rsid w:val="00DF10AB"/>
    <w:rsid w:val="00DF6635"/>
    <w:rsid w:val="00DF6B94"/>
    <w:rsid w:val="00DF7693"/>
    <w:rsid w:val="00E00F9B"/>
    <w:rsid w:val="00E018DE"/>
    <w:rsid w:val="00E022AB"/>
    <w:rsid w:val="00E03916"/>
    <w:rsid w:val="00E10585"/>
    <w:rsid w:val="00E12712"/>
    <w:rsid w:val="00E128C6"/>
    <w:rsid w:val="00E141BC"/>
    <w:rsid w:val="00E15271"/>
    <w:rsid w:val="00E1528D"/>
    <w:rsid w:val="00E15E35"/>
    <w:rsid w:val="00E17213"/>
    <w:rsid w:val="00E17F40"/>
    <w:rsid w:val="00E2169B"/>
    <w:rsid w:val="00E22420"/>
    <w:rsid w:val="00E22B32"/>
    <w:rsid w:val="00E250FF"/>
    <w:rsid w:val="00E25CA4"/>
    <w:rsid w:val="00E276CE"/>
    <w:rsid w:val="00E27F64"/>
    <w:rsid w:val="00E308B5"/>
    <w:rsid w:val="00E32B62"/>
    <w:rsid w:val="00E349E5"/>
    <w:rsid w:val="00E35919"/>
    <w:rsid w:val="00E367CE"/>
    <w:rsid w:val="00E43A88"/>
    <w:rsid w:val="00E44783"/>
    <w:rsid w:val="00E44D0A"/>
    <w:rsid w:val="00E46B3F"/>
    <w:rsid w:val="00E474E1"/>
    <w:rsid w:val="00E4754E"/>
    <w:rsid w:val="00E47B77"/>
    <w:rsid w:val="00E5001F"/>
    <w:rsid w:val="00E50308"/>
    <w:rsid w:val="00E508E4"/>
    <w:rsid w:val="00E50CC2"/>
    <w:rsid w:val="00E5289D"/>
    <w:rsid w:val="00E529A9"/>
    <w:rsid w:val="00E56EA4"/>
    <w:rsid w:val="00E6105C"/>
    <w:rsid w:val="00E64F14"/>
    <w:rsid w:val="00E65EA3"/>
    <w:rsid w:val="00E6747F"/>
    <w:rsid w:val="00E67968"/>
    <w:rsid w:val="00E758AE"/>
    <w:rsid w:val="00E763DF"/>
    <w:rsid w:val="00E764AA"/>
    <w:rsid w:val="00E80E1B"/>
    <w:rsid w:val="00E82B1B"/>
    <w:rsid w:val="00E907AC"/>
    <w:rsid w:val="00E9100F"/>
    <w:rsid w:val="00E92382"/>
    <w:rsid w:val="00E92C0C"/>
    <w:rsid w:val="00E9337A"/>
    <w:rsid w:val="00E95B38"/>
    <w:rsid w:val="00E96228"/>
    <w:rsid w:val="00EA19EF"/>
    <w:rsid w:val="00EA3622"/>
    <w:rsid w:val="00EA3F2E"/>
    <w:rsid w:val="00EA4F78"/>
    <w:rsid w:val="00EB318C"/>
    <w:rsid w:val="00EB37E6"/>
    <w:rsid w:val="00EB3930"/>
    <w:rsid w:val="00EB6829"/>
    <w:rsid w:val="00EB6ACF"/>
    <w:rsid w:val="00EC008B"/>
    <w:rsid w:val="00EC17F7"/>
    <w:rsid w:val="00EC3B66"/>
    <w:rsid w:val="00EC548D"/>
    <w:rsid w:val="00EC5FD4"/>
    <w:rsid w:val="00EC5FE5"/>
    <w:rsid w:val="00EC6620"/>
    <w:rsid w:val="00EC72CC"/>
    <w:rsid w:val="00ED749E"/>
    <w:rsid w:val="00ED76BA"/>
    <w:rsid w:val="00EE0D98"/>
    <w:rsid w:val="00EE0F00"/>
    <w:rsid w:val="00EE4A95"/>
    <w:rsid w:val="00EF0B88"/>
    <w:rsid w:val="00EF25C5"/>
    <w:rsid w:val="00EF295A"/>
    <w:rsid w:val="00EF37DB"/>
    <w:rsid w:val="00EF68E8"/>
    <w:rsid w:val="00EF6BE0"/>
    <w:rsid w:val="00EF7BB3"/>
    <w:rsid w:val="00F01CB3"/>
    <w:rsid w:val="00F023F0"/>
    <w:rsid w:val="00F15EB5"/>
    <w:rsid w:val="00F17FD0"/>
    <w:rsid w:val="00F20826"/>
    <w:rsid w:val="00F20E32"/>
    <w:rsid w:val="00F21CD3"/>
    <w:rsid w:val="00F21FD4"/>
    <w:rsid w:val="00F24528"/>
    <w:rsid w:val="00F301FC"/>
    <w:rsid w:val="00F3132D"/>
    <w:rsid w:val="00F313A6"/>
    <w:rsid w:val="00F32B4F"/>
    <w:rsid w:val="00F34A68"/>
    <w:rsid w:val="00F36129"/>
    <w:rsid w:val="00F368B1"/>
    <w:rsid w:val="00F407AA"/>
    <w:rsid w:val="00F43E5C"/>
    <w:rsid w:val="00F442EB"/>
    <w:rsid w:val="00F45D66"/>
    <w:rsid w:val="00F5151A"/>
    <w:rsid w:val="00F5346D"/>
    <w:rsid w:val="00F546D9"/>
    <w:rsid w:val="00F562F8"/>
    <w:rsid w:val="00F615CB"/>
    <w:rsid w:val="00F6447D"/>
    <w:rsid w:val="00F65B93"/>
    <w:rsid w:val="00F6617A"/>
    <w:rsid w:val="00F72E94"/>
    <w:rsid w:val="00F740B9"/>
    <w:rsid w:val="00F90113"/>
    <w:rsid w:val="00F915C5"/>
    <w:rsid w:val="00F91934"/>
    <w:rsid w:val="00F922F7"/>
    <w:rsid w:val="00F94DB2"/>
    <w:rsid w:val="00F976FB"/>
    <w:rsid w:val="00FA048C"/>
    <w:rsid w:val="00FA3564"/>
    <w:rsid w:val="00FA7065"/>
    <w:rsid w:val="00FA7766"/>
    <w:rsid w:val="00FB282F"/>
    <w:rsid w:val="00FB5454"/>
    <w:rsid w:val="00FB55E5"/>
    <w:rsid w:val="00FC25F3"/>
    <w:rsid w:val="00FC2A47"/>
    <w:rsid w:val="00FD0C4C"/>
    <w:rsid w:val="00FD1948"/>
    <w:rsid w:val="00FD2CA5"/>
    <w:rsid w:val="00FD4B1E"/>
    <w:rsid w:val="00FD512F"/>
    <w:rsid w:val="00FD5FF9"/>
    <w:rsid w:val="00FD630A"/>
    <w:rsid w:val="00FE1F07"/>
    <w:rsid w:val="00FE32AE"/>
    <w:rsid w:val="00FE4D4F"/>
    <w:rsid w:val="00FE6CF4"/>
    <w:rsid w:val="00FF07BB"/>
    <w:rsid w:val="00FF1841"/>
    <w:rsid w:val="00FF1E26"/>
    <w:rsid w:val="00FF4528"/>
    <w:rsid w:val="00FF4683"/>
    <w:rsid w:val="00FF52C6"/>
    <w:rsid w:val="00FF5FD4"/>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7FB74B-EE3D-4D29-A0D2-4D1678A94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 w:type="table" w:styleId="Mkatabulky">
    <w:name w:val="Table Grid"/>
    <w:basedOn w:val="Normlntabulka"/>
    <w:uiPriority w:val="59"/>
    <w:rsid w:val="00E1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8639118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33610596">
      <w:bodyDiv w:val="1"/>
      <w:marLeft w:val="0"/>
      <w:marRight w:val="0"/>
      <w:marTop w:val="0"/>
      <w:marBottom w:val="0"/>
      <w:divBdr>
        <w:top w:val="none" w:sz="0" w:space="0" w:color="auto"/>
        <w:left w:val="none" w:sz="0" w:space="0" w:color="auto"/>
        <w:bottom w:val="none" w:sz="0" w:space="0" w:color="auto"/>
        <w:right w:val="none" w:sz="0" w:space="0" w:color="auto"/>
      </w:divBdr>
    </w:div>
    <w:div w:id="34867598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502863152">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ec.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52625-3594-48E3-A055-931EB8C46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860</Words>
  <Characters>5077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Jiří Vacek</cp:lastModifiedBy>
  <cp:revision>8</cp:revision>
  <dcterms:created xsi:type="dcterms:W3CDTF">2017-05-12T06:12:00Z</dcterms:created>
  <dcterms:modified xsi:type="dcterms:W3CDTF">2017-05-18T06:35:00Z</dcterms:modified>
</cp:coreProperties>
</file>