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CA" w:rsidRPr="00B25BCA" w:rsidRDefault="00B25BCA" w:rsidP="00170C56">
      <w:pPr>
        <w:spacing w:line="360" w:lineRule="auto"/>
        <w:jc w:val="center"/>
        <w:rPr>
          <w:b/>
          <w:bCs/>
          <w:sz w:val="32"/>
          <w:szCs w:val="32"/>
        </w:rPr>
      </w:pPr>
      <w:r>
        <w:rPr>
          <w:b/>
          <w:bCs/>
          <w:sz w:val="32"/>
          <w:szCs w:val="32"/>
        </w:rPr>
        <w:t>Rok 2016 zaznamenal v aktivite investorov rekordné štvorročné minimum</w:t>
      </w:r>
    </w:p>
    <w:p w:rsidR="00B25BCA" w:rsidRPr="00B25BCA" w:rsidRDefault="00776CF1" w:rsidP="00315F24">
      <w:pPr>
        <w:spacing w:line="360" w:lineRule="auto"/>
        <w:jc w:val="both"/>
        <w:rPr>
          <w:b/>
          <w:bCs/>
        </w:rPr>
      </w:pPr>
      <w:r>
        <w:rPr>
          <w:b/>
          <w:bCs/>
        </w:rPr>
        <w:t xml:space="preserve">Bratislava 26. </w:t>
      </w:r>
      <w:bookmarkStart w:id="0" w:name="_GoBack"/>
      <w:bookmarkEnd w:id="0"/>
      <w:r>
        <w:rPr>
          <w:b/>
          <w:bCs/>
        </w:rPr>
        <w:t>1.</w:t>
      </w:r>
      <w:r w:rsidR="00B25BCA">
        <w:rPr>
          <w:b/>
          <w:bCs/>
        </w:rPr>
        <w:t xml:space="preserve"> – V priebehu roka 2016 vyhlásili investori 4 870 verejných obstarávaní v celkovej hodnote 4,46 miliardy EUR. To predstavuje vôbec najnižší počet vyhlásených verejných obstarávaní aj objem investícií za posledné štyri roky, teda za sledované obdobie. Rekordné štvorročné minimum tiež zaznamenal počet aj objem ukončených verejných obstarávaní a zadaných zákaziek. Vyplýva to z najnovšej analýzy spracovanej analytickou spoločnosťou CEEC Research na základe údajov poskytnutých Úradom pre verejné obstarávanie ku koncu decembra 2016. </w:t>
      </w:r>
    </w:p>
    <w:p w:rsidR="00B25BCA" w:rsidRPr="00B25BCA" w:rsidRDefault="00B25BCA" w:rsidP="00DD3DC0">
      <w:pPr>
        <w:spacing w:line="360" w:lineRule="auto"/>
        <w:jc w:val="both"/>
        <w:rPr>
          <w:rStyle w:val="Hypertextovodkaz"/>
          <w:rFonts w:cs="Arial"/>
          <w:color w:val="auto"/>
          <w:u w:val="none"/>
        </w:rPr>
      </w:pPr>
      <w:r>
        <w:rPr>
          <w:rStyle w:val="Hypertextovodkaz"/>
          <w:rFonts w:cs="Arial"/>
          <w:color w:val="auto"/>
          <w:u w:val="none"/>
        </w:rPr>
        <w:t xml:space="preserve">V decembri 2016 </w:t>
      </w:r>
      <w:r w:rsidRPr="00B25BCA">
        <w:rPr>
          <w:rStyle w:val="Hypertextovodkaz"/>
          <w:rFonts w:cs="Arial"/>
          <w:color w:val="auto"/>
          <w:u w:val="none"/>
        </w:rPr>
        <w:t xml:space="preserve">vyhlásili verejní obstarávatelia, obstarávatelia a subjekty, ktorým bola poskytnutá dotácia </w:t>
      </w:r>
      <w:r>
        <w:rPr>
          <w:rStyle w:val="Hypertextovodkaz"/>
          <w:rFonts w:cs="Arial"/>
          <w:color w:val="auto"/>
          <w:u w:val="none"/>
        </w:rPr>
        <w:t>celko</w:t>
      </w:r>
      <w:r w:rsidRPr="00B25BCA">
        <w:rPr>
          <w:rStyle w:val="Hypertextovodkaz"/>
          <w:rFonts w:cs="Arial"/>
          <w:color w:val="auto"/>
          <w:u w:val="none"/>
        </w:rPr>
        <w:t>m 227</w:t>
      </w:r>
      <w:r>
        <w:rPr>
          <w:rStyle w:val="Hypertextovodkaz"/>
          <w:rFonts w:cs="Arial"/>
          <w:color w:val="auto"/>
          <w:u w:val="none"/>
        </w:rPr>
        <w:t xml:space="preserve"> verejných obstaráva</w:t>
      </w:r>
      <w:r w:rsidRPr="00B25BCA">
        <w:rPr>
          <w:rStyle w:val="Hypertextovodkaz"/>
          <w:rFonts w:cs="Arial"/>
          <w:color w:val="auto"/>
          <w:u w:val="none"/>
        </w:rPr>
        <w:t>ní</w:t>
      </w:r>
      <w:r>
        <w:rPr>
          <w:rStyle w:val="Hypertextovodkaz"/>
          <w:rFonts w:cs="Arial"/>
          <w:color w:val="auto"/>
          <w:u w:val="none"/>
        </w:rPr>
        <w:t xml:space="preserve"> v celkovej hodnote 354 miliónov EUR, čo v medziročnom porovnaní predstavuje významný štvorpätinový (81,3 percenta) pokles počtu a zároveň dvojpätinový (43,7 percenta) pokles objemu vyhlásených verejných obstarávaní. Najväčšie verejné obstarávanie tohto mesiaca v celkovej hodnote 69,5 milióna EUR vyhlásila Žele</w:t>
      </w:r>
      <w:r w:rsidR="004F30BD">
        <w:rPr>
          <w:rStyle w:val="Hypertextovodkaz"/>
          <w:rFonts w:cs="Arial"/>
          <w:color w:val="auto"/>
          <w:u w:val="none"/>
        </w:rPr>
        <w:t>zničná spoločnosť Slovensko, a.</w:t>
      </w:r>
      <w:r>
        <w:rPr>
          <w:rStyle w:val="Hypertextovodkaz"/>
          <w:rFonts w:cs="Arial"/>
          <w:color w:val="auto"/>
          <w:u w:val="none"/>
        </w:rPr>
        <w:t xml:space="preserve">s. na nákup osobných vozňov do diaľkovej dopravy. </w:t>
      </w:r>
    </w:p>
    <w:p w:rsidR="00B25BCA" w:rsidRDefault="00B25BCA" w:rsidP="00DD3DC0">
      <w:pPr>
        <w:spacing w:line="360" w:lineRule="auto"/>
        <w:jc w:val="both"/>
        <w:rPr>
          <w:rStyle w:val="Hypertextovodkaz"/>
          <w:rFonts w:cs="Arial"/>
          <w:color w:val="auto"/>
          <w:u w:val="none"/>
        </w:rPr>
      </w:pPr>
      <w:r>
        <w:rPr>
          <w:rStyle w:val="Hypertextovodkaz"/>
          <w:rFonts w:cs="Arial"/>
          <w:color w:val="auto"/>
          <w:u w:val="none"/>
        </w:rPr>
        <w:t xml:space="preserve">V roku </w:t>
      </w:r>
      <w:r w:rsidR="00B67186">
        <w:rPr>
          <w:rStyle w:val="Hypertextovodkaz"/>
          <w:rFonts w:cs="Arial"/>
          <w:color w:val="auto"/>
          <w:u w:val="none"/>
        </w:rPr>
        <w:t>2016 bolo vo Vestníku</w:t>
      </w:r>
      <w:r>
        <w:rPr>
          <w:rStyle w:val="Hypertextovodkaz"/>
          <w:rFonts w:cs="Arial"/>
          <w:color w:val="auto"/>
          <w:u w:val="none"/>
        </w:rPr>
        <w:t xml:space="preserve"> verejného obstarávania zverejnených </w:t>
      </w:r>
      <w:r w:rsidR="004F30BD">
        <w:rPr>
          <w:rStyle w:val="Hypertextovodkaz"/>
          <w:rFonts w:cs="Arial"/>
          <w:color w:val="auto"/>
          <w:u w:val="none"/>
        </w:rPr>
        <w:t xml:space="preserve">celkom </w:t>
      </w:r>
      <w:r>
        <w:rPr>
          <w:rStyle w:val="Hypertextovodkaz"/>
          <w:rFonts w:cs="Arial"/>
          <w:color w:val="auto"/>
          <w:u w:val="none"/>
        </w:rPr>
        <w:t xml:space="preserve">4 870 verejných súťaží v celkovej hodnote 4,46 miliardy EUR. Oproti roku 2015 ide z hľadiska počtu vyhlásených </w:t>
      </w:r>
      <w:r w:rsidR="00B67186">
        <w:rPr>
          <w:rStyle w:val="Hypertextovodkaz"/>
          <w:rFonts w:cs="Arial"/>
          <w:color w:val="auto"/>
          <w:u w:val="none"/>
        </w:rPr>
        <w:t xml:space="preserve">verejných </w:t>
      </w:r>
      <w:r>
        <w:rPr>
          <w:rStyle w:val="Hypertextovodkaz"/>
          <w:rFonts w:cs="Arial"/>
          <w:color w:val="auto"/>
          <w:u w:val="none"/>
        </w:rPr>
        <w:t>obstarávaní o</w:t>
      </w:r>
      <w:r w:rsidR="00B67186">
        <w:rPr>
          <w:rStyle w:val="Hypertextovodkaz"/>
          <w:rFonts w:cs="Arial"/>
          <w:color w:val="auto"/>
          <w:u w:val="none"/>
        </w:rPr>
        <w:t> tretinový (33,6 percenta) pokles a z hľadiska ich objemu dokonca o dvojpätinový (41,7 percenta) pokles. Jedná sa tiež o rekordné minimum počtu pripravovaných zákaziek aj objemu vyhlásených verejných obstarávaní za posledné štyri roky, teda za sledo</w:t>
      </w:r>
      <w:r w:rsidR="00BA7C73">
        <w:rPr>
          <w:rStyle w:val="Hypertextovodkaz"/>
          <w:rFonts w:cs="Arial"/>
          <w:color w:val="auto"/>
          <w:u w:val="none"/>
        </w:rPr>
        <w:t>vané obdobie.</w:t>
      </w:r>
    </w:p>
    <w:p w:rsidR="00BA7C73" w:rsidRDefault="00ED53AF" w:rsidP="00BA7C73">
      <w:pPr>
        <w:spacing w:line="360" w:lineRule="auto"/>
        <w:jc w:val="both"/>
        <w:rPr>
          <w:rStyle w:val="Hypertextovodkaz"/>
          <w:rFonts w:cs="Arial"/>
          <w:b/>
          <w:bCs/>
          <w:color w:val="auto"/>
          <w:u w:val="none"/>
        </w:rPr>
      </w:pPr>
      <w:r w:rsidRPr="00ED53AF">
        <w:rPr>
          <w:rStyle w:val="Hypertextovodkaz"/>
          <w:rFonts w:cs="Arial"/>
          <w:i/>
          <w:iCs/>
          <w:color w:val="auto"/>
          <w:u w:val="none"/>
        </w:rPr>
        <w:t>„</w:t>
      </w:r>
      <w:r w:rsidR="00BA7C73" w:rsidRPr="00ED53AF">
        <w:rPr>
          <w:rStyle w:val="Hypertextovodkaz"/>
          <w:rFonts w:cs="Arial"/>
          <w:i/>
          <w:iCs/>
          <w:color w:val="auto"/>
          <w:u w:val="none"/>
        </w:rPr>
        <w:t>Samotná výstavba dopravnej infraštruktúry v roku 2016 síce pokračovala, ale v projektovej príprave bol výrazný útlm. Na prípravu stavieb modernizácie železničnej infraštr</w:t>
      </w:r>
      <w:r w:rsidR="006C0DA4">
        <w:rPr>
          <w:rStyle w:val="Hypertextovodkaz"/>
          <w:rFonts w:cs="Arial"/>
          <w:i/>
          <w:iCs/>
          <w:color w:val="auto"/>
          <w:u w:val="none"/>
        </w:rPr>
        <w:t>uktúry nebola v roku 2016 vyhláse</w:t>
      </w:r>
      <w:r w:rsidR="00BA7C73" w:rsidRPr="00ED53AF">
        <w:rPr>
          <w:rStyle w:val="Hypertextovodkaz"/>
          <w:rFonts w:cs="Arial"/>
          <w:i/>
          <w:iCs/>
          <w:color w:val="auto"/>
          <w:u w:val="none"/>
        </w:rPr>
        <w:t>ná žiadna súťaž.</w:t>
      </w:r>
      <w:r>
        <w:rPr>
          <w:rStyle w:val="Hypertextovodkaz"/>
          <w:rFonts w:cs="Arial"/>
          <w:color w:val="auto"/>
          <w:u w:val="none"/>
        </w:rPr>
        <w:t xml:space="preserve"> </w:t>
      </w:r>
      <w:r w:rsidR="00BA7C73" w:rsidRPr="00BA7C73">
        <w:rPr>
          <w:rStyle w:val="Hypertextovodkaz"/>
          <w:rFonts w:cs="Arial"/>
          <w:i/>
          <w:iCs/>
          <w:color w:val="auto"/>
          <w:u w:val="none"/>
        </w:rPr>
        <w:t>Je to dôsledok nepriaznivého vývoja po parlamentných voľbách. Na Ministerstve dopravy a výstavby SR, ale aj na ním riadených štátnych organizáciách, akými sú napríklad Železnice Slovenskej republiky, boli via</w:t>
      </w:r>
      <w:r w:rsidR="006C0DA4">
        <w:rPr>
          <w:rStyle w:val="Hypertextovodkaz"/>
          <w:rFonts w:cs="Arial"/>
          <w:i/>
          <w:iCs/>
          <w:color w:val="auto"/>
          <w:u w:val="none"/>
        </w:rPr>
        <w:t>cnásobné personálne zmeny často</w:t>
      </w:r>
      <w:r w:rsidR="00BA7C73" w:rsidRPr="00BA7C73">
        <w:rPr>
          <w:rStyle w:val="Hypertextovodkaz"/>
          <w:rFonts w:cs="Arial"/>
          <w:i/>
          <w:iCs/>
          <w:color w:val="auto"/>
          <w:u w:val="none"/>
        </w:rPr>
        <w:t>krát dočasné. Okrem negatívneho ekonomického dopadu na projektové a inžinierske firmy, ktorým v roku 2016 klesli obraty až o</w:t>
      </w:r>
      <w:r w:rsidR="006C0DA4">
        <w:rPr>
          <w:rStyle w:val="Hypertextovodkaz"/>
          <w:rFonts w:cs="Arial"/>
          <w:i/>
          <w:iCs/>
          <w:color w:val="auto"/>
          <w:u w:val="none"/>
        </w:rPr>
        <w:t> </w:t>
      </w:r>
      <w:r w:rsidR="00BA7C73" w:rsidRPr="00BA7C73">
        <w:rPr>
          <w:rStyle w:val="Hypertextovodkaz"/>
          <w:rFonts w:cs="Arial"/>
          <w:i/>
          <w:iCs/>
          <w:color w:val="auto"/>
          <w:u w:val="none"/>
        </w:rPr>
        <w:t>50</w:t>
      </w:r>
      <w:r w:rsidR="006C0DA4">
        <w:rPr>
          <w:rStyle w:val="Hypertextovodkaz"/>
          <w:rFonts w:cs="Arial"/>
          <w:i/>
          <w:iCs/>
          <w:color w:val="auto"/>
          <w:u w:val="none"/>
        </w:rPr>
        <w:t xml:space="preserve"> </w:t>
      </w:r>
      <w:r w:rsidR="00BA7C73" w:rsidRPr="00BA7C73">
        <w:rPr>
          <w:rStyle w:val="Hypertextovodkaz"/>
          <w:rFonts w:cs="Arial"/>
          <w:i/>
          <w:iCs/>
          <w:color w:val="auto"/>
          <w:u w:val="none"/>
        </w:rPr>
        <w:t>%</w:t>
      </w:r>
      <w:r w:rsidR="006C0DA4">
        <w:rPr>
          <w:rStyle w:val="Hypertextovodkaz"/>
          <w:rFonts w:cs="Arial"/>
          <w:i/>
          <w:iCs/>
          <w:color w:val="auto"/>
          <w:u w:val="none"/>
        </w:rPr>
        <w:t>,</w:t>
      </w:r>
      <w:r w:rsidR="00BA7C73" w:rsidRPr="00BA7C73">
        <w:rPr>
          <w:rStyle w:val="Hypertextovodkaz"/>
          <w:rFonts w:cs="Arial"/>
          <w:i/>
          <w:iCs/>
          <w:color w:val="auto"/>
          <w:u w:val="none"/>
        </w:rPr>
        <w:t xml:space="preserve"> oproti roku 2015, </w:t>
      </w:r>
      <w:r w:rsidR="006C0DA4">
        <w:rPr>
          <w:rStyle w:val="Hypertextovodkaz"/>
          <w:rFonts w:cs="Arial"/>
          <w:i/>
          <w:iCs/>
          <w:color w:val="auto"/>
          <w:u w:val="none"/>
        </w:rPr>
        <w:t xml:space="preserve">to bude </w:t>
      </w:r>
      <w:r w:rsidR="00BA7C73" w:rsidRPr="00BA7C73">
        <w:rPr>
          <w:rStyle w:val="Hypertextovodkaz"/>
          <w:rFonts w:cs="Arial"/>
          <w:i/>
          <w:iCs/>
          <w:color w:val="auto"/>
          <w:u w:val="none"/>
        </w:rPr>
        <w:t>mať v nasledujúcich rokoch dôsledky aj v realizácii, pretože nové stavby nebudú včas a kvalitne pripravené,“</w:t>
      </w:r>
      <w:r w:rsidR="006C0DA4">
        <w:rPr>
          <w:rStyle w:val="Hypertextovodkaz"/>
          <w:rFonts w:cs="Arial"/>
          <w:color w:val="auto"/>
          <w:u w:val="none"/>
        </w:rPr>
        <w:t xml:space="preserve"> popisuje situá</w:t>
      </w:r>
      <w:r w:rsidR="00BA7C73">
        <w:rPr>
          <w:rStyle w:val="Hypertextovodkaz"/>
          <w:rFonts w:cs="Arial"/>
          <w:color w:val="auto"/>
          <w:u w:val="none"/>
        </w:rPr>
        <w:t>c</w:t>
      </w:r>
      <w:r w:rsidR="006C0DA4">
        <w:rPr>
          <w:rStyle w:val="Hypertextovodkaz"/>
          <w:rFonts w:cs="Arial"/>
          <w:color w:val="auto"/>
          <w:u w:val="none"/>
        </w:rPr>
        <w:t>iu</w:t>
      </w:r>
      <w:r w:rsidR="00BA7C73">
        <w:rPr>
          <w:rStyle w:val="Hypertextovodkaz"/>
          <w:rFonts w:cs="Arial"/>
          <w:color w:val="auto"/>
          <w:u w:val="none"/>
        </w:rPr>
        <w:t xml:space="preserve"> </w:t>
      </w:r>
      <w:r w:rsidR="00BA7C73" w:rsidRPr="00BA7C73">
        <w:rPr>
          <w:rStyle w:val="Hypertextovodkaz"/>
          <w:rFonts w:cs="Arial"/>
          <w:b/>
          <w:bCs/>
          <w:color w:val="auto"/>
          <w:u w:val="none"/>
        </w:rPr>
        <w:t>Ing. Slavomír</w:t>
      </w:r>
      <w:r w:rsidR="000933F8">
        <w:rPr>
          <w:rStyle w:val="Hypertextovodkaz"/>
          <w:rFonts w:cs="Arial"/>
          <w:b/>
          <w:bCs/>
          <w:color w:val="auto"/>
          <w:u w:val="none"/>
        </w:rPr>
        <w:t xml:space="preserve"> Podmanický, generálny riaditeľ </w:t>
      </w:r>
      <w:r w:rsidR="00BA7C73" w:rsidRPr="00BA7C73">
        <w:rPr>
          <w:rStyle w:val="Hypertextovodkaz"/>
          <w:rFonts w:cs="Arial"/>
          <w:b/>
          <w:bCs/>
          <w:color w:val="auto"/>
          <w:u w:val="none"/>
        </w:rPr>
        <w:t xml:space="preserve"> </w:t>
      </w:r>
      <w:r w:rsidR="00F01FFE" w:rsidRPr="000933F8">
        <w:rPr>
          <w:rStyle w:val="Hypertextovodkaz"/>
          <w:rFonts w:cs="Arial"/>
          <w:b/>
          <w:bCs/>
          <w:color w:val="auto"/>
          <w:u w:val="none"/>
        </w:rPr>
        <w:t>spoločnosti</w:t>
      </w:r>
      <w:r w:rsidR="00F01FFE">
        <w:rPr>
          <w:rStyle w:val="Hypertextovodkaz"/>
          <w:rFonts w:cs="Arial"/>
          <w:b/>
          <w:bCs/>
          <w:color w:val="auto"/>
          <w:u w:val="none"/>
        </w:rPr>
        <w:t xml:space="preserve"> </w:t>
      </w:r>
      <w:r w:rsidR="00BA7C73" w:rsidRPr="00BA7C73">
        <w:rPr>
          <w:rStyle w:val="Hypertextovodkaz"/>
          <w:rFonts w:cs="Arial"/>
          <w:b/>
          <w:bCs/>
          <w:color w:val="auto"/>
          <w:u w:val="none"/>
        </w:rPr>
        <w:t>REMING Consult a.s.</w:t>
      </w:r>
    </w:p>
    <w:p w:rsidR="000933F8" w:rsidRPr="00B25BCA" w:rsidRDefault="000933F8" w:rsidP="00BA7C73">
      <w:pPr>
        <w:spacing w:line="360" w:lineRule="auto"/>
        <w:jc w:val="both"/>
        <w:rPr>
          <w:rStyle w:val="Hypertextovodkaz"/>
          <w:rFonts w:cs="Arial"/>
          <w:color w:val="auto"/>
          <w:u w:val="none"/>
        </w:rPr>
      </w:pPr>
      <w:r w:rsidRPr="000933F8">
        <w:rPr>
          <w:rStyle w:val="Hypertextovodkaz"/>
          <w:rFonts w:cs="Arial"/>
          <w:i/>
          <w:iCs/>
          <w:color w:val="auto"/>
          <w:u w:val="none"/>
        </w:rPr>
        <w:lastRenderedPageBreak/>
        <w:t>„Pokles v objeme pripravovaných zákaziek je cítiť a celkom iste to bude mať negatívny dopad na budúci vývoj slovenskej ekonomiky,“</w:t>
      </w:r>
      <w:r>
        <w:rPr>
          <w:rStyle w:val="Hypertextovodkaz"/>
          <w:rFonts w:cs="Arial"/>
          <w:color w:val="auto"/>
          <w:u w:val="none"/>
        </w:rPr>
        <w:t xml:space="preserve"> </w:t>
      </w:r>
      <w:r w:rsidRPr="000933F8">
        <w:rPr>
          <w:rStyle w:val="Hypertextovodkaz"/>
          <w:rFonts w:cs="Arial"/>
          <w:color w:val="auto"/>
          <w:u w:val="none"/>
        </w:rPr>
        <w:t xml:space="preserve"> </w:t>
      </w:r>
      <w:r>
        <w:rPr>
          <w:rStyle w:val="Hypertextovodkaz"/>
          <w:rFonts w:cs="Arial"/>
          <w:color w:val="auto"/>
          <w:u w:val="none"/>
        </w:rPr>
        <w:t xml:space="preserve">doplňuje </w:t>
      </w:r>
      <w:r w:rsidRPr="00C6628F">
        <w:rPr>
          <w:rStyle w:val="Hypertextovodkaz"/>
          <w:rFonts w:cs="Arial"/>
          <w:b/>
          <w:bCs/>
          <w:color w:val="auto"/>
          <w:u w:val="none"/>
        </w:rPr>
        <w:t>Mário Červenka, riaditeľ spoločnosti O.M.C Invest.</w:t>
      </w:r>
    </w:p>
    <w:p w:rsidR="00601270" w:rsidRPr="00B25BCA" w:rsidRDefault="00601270" w:rsidP="00601270">
      <w:pPr>
        <w:spacing w:after="0" w:line="240" w:lineRule="auto"/>
        <w:jc w:val="both"/>
        <w:rPr>
          <w:rFonts w:ascii="Arial" w:eastAsia="Times New Roman" w:hAnsi="Arial" w:cs="Times New Roman"/>
          <w:bCs/>
          <w:sz w:val="20"/>
          <w:szCs w:val="24"/>
          <w:lang w:eastAsia="cs-CZ"/>
        </w:rPr>
      </w:pPr>
      <w:r w:rsidRPr="00B25BCA">
        <w:rPr>
          <w:rFonts w:ascii="Arial" w:eastAsia="Times New Roman" w:hAnsi="Arial" w:cs="Times New Roman"/>
          <w:b/>
          <w:bCs/>
          <w:sz w:val="20"/>
          <w:szCs w:val="24"/>
          <w:lang w:eastAsia="cs-CZ"/>
        </w:rPr>
        <w:t>Počet a obj</w:t>
      </w:r>
      <w:r w:rsidR="00B67186">
        <w:rPr>
          <w:rFonts w:ascii="Arial" w:eastAsia="Times New Roman" w:hAnsi="Arial" w:cs="Times New Roman"/>
          <w:b/>
          <w:bCs/>
          <w:sz w:val="20"/>
          <w:szCs w:val="24"/>
          <w:lang w:eastAsia="cs-CZ"/>
        </w:rPr>
        <w:t>em vyhlásených verejných obstaráva</w:t>
      </w:r>
      <w:r w:rsidR="006B0F91" w:rsidRPr="00B25BCA">
        <w:rPr>
          <w:rFonts w:ascii="Arial" w:eastAsia="Times New Roman" w:hAnsi="Arial" w:cs="Times New Roman"/>
          <w:b/>
          <w:bCs/>
          <w:sz w:val="20"/>
          <w:szCs w:val="24"/>
          <w:lang w:eastAsia="cs-CZ"/>
        </w:rPr>
        <w:t>ní</w:t>
      </w:r>
      <w:r w:rsidR="006B0F91" w:rsidRPr="00B25BCA">
        <w:rPr>
          <w:rFonts w:ascii="Arial" w:eastAsia="Times New Roman" w:hAnsi="Arial" w:cs="Times New Roman"/>
          <w:b/>
          <w:bCs/>
          <w:sz w:val="20"/>
          <w:szCs w:val="24"/>
          <w:lang w:eastAsia="cs-CZ"/>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1275"/>
        <w:gridCol w:w="815"/>
        <w:gridCol w:w="1453"/>
        <w:gridCol w:w="1276"/>
        <w:gridCol w:w="893"/>
        <w:gridCol w:w="1303"/>
      </w:tblGrid>
      <w:tr w:rsidR="00601270" w:rsidRPr="00B25BCA" w:rsidTr="005156F7">
        <w:trPr>
          <w:cantSplit/>
          <w:trHeight w:val="284"/>
        </w:trPr>
        <w:tc>
          <w:tcPr>
            <w:tcW w:w="2269" w:type="dxa"/>
            <w:vMerge w:val="restart"/>
            <w:tcBorders>
              <w:top w:val="nil"/>
              <w:left w:val="nil"/>
            </w:tcBorders>
            <w:vAlign w:val="center"/>
          </w:tcPr>
          <w:p w:rsidR="00601270" w:rsidRPr="00B25BCA" w:rsidRDefault="00B67186" w:rsidP="00601270">
            <w:pPr>
              <w:spacing w:after="0" w:line="240" w:lineRule="auto"/>
              <w:jc w:val="center"/>
              <w:rPr>
                <w:rFonts w:ascii="Arial" w:eastAsia="Times New Roman" w:hAnsi="Arial" w:cs="Times New Roman"/>
                <w:bCs/>
                <w:sz w:val="18"/>
                <w:szCs w:val="18"/>
                <w:lang w:eastAsia="cs-CZ"/>
              </w:rPr>
            </w:pPr>
            <w:r>
              <w:rPr>
                <w:rFonts w:ascii="Arial" w:eastAsia="Times New Roman" w:hAnsi="Arial" w:cs="Times New Roman"/>
                <w:bCs/>
                <w:sz w:val="18"/>
                <w:szCs w:val="18"/>
                <w:lang w:eastAsia="cs-CZ"/>
              </w:rPr>
              <w:t>Zákazky celko</w:t>
            </w:r>
            <w:r w:rsidR="006B0F91" w:rsidRPr="00B25BCA">
              <w:rPr>
                <w:rFonts w:ascii="Arial" w:eastAsia="Times New Roman" w:hAnsi="Arial" w:cs="Times New Roman"/>
                <w:bCs/>
                <w:sz w:val="18"/>
                <w:szCs w:val="18"/>
                <w:lang w:eastAsia="cs-CZ"/>
              </w:rPr>
              <w:t>m</w:t>
            </w:r>
          </w:p>
        </w:tc>
        <w:tc>
          <w:tcPr>
            <w:tcW w:w="3543" w:type="dxa"/>
            <w:gridSpan w:val="3"/>
            <w:vAlign w:val="center"/>
          </w:tcPr>
          <w:p w:rsidR="00601270" w:rsidRPr="00B25BCA" w:rsidRDefault="00601270" w:rsidP="00601270">
            <w:pPr>
              <w:spacing w:after="0" w:line="240" w:lineRule="auto"/>
              <w:jc w:val="center"/>
              <w:rPr>
                <w:rFonts w:ascii="Arial" w:eastAsia="Times New Roman" w:hAnsi="Arial" w:cs="Times New Roman"/>
                <w:bCs/>
                <w:sz w:val="18"/>
                <w:szCs w:val="18"/>
                <w:lang w:eastAsia="cs-CZ"/>
              </w:rPr>
            </w:pPr>
            <w:r w:rsidRPr="00B25BCA">
              <w:rPr>
                <w:rFonts w:ascii="Arial" w:eastAsia="Times New Roman" w:hAnsi="Arial" w:cs="Times New Roman"/>
                <w:bCs/>
                <w:sz w:val="18"/>
                <w:szCs w:val="18"/>
                <w:lang w:eastAsia="cs-CZ"/>
              </w:rPr>
              <w:t>Počet</w:t>
            </w:r>
          </w:p>
        </w:tc>
        <w:tc>
          <w:tcPr>
            <w:tcW w:w="3472" w:type="dxa"/>
            <w:gridSpan w:val="3"/>
            <w:vAlign w:val="center"/>
          </w:tcPr>
          <w:p w:rsidR="00601270" w:rsidRPr="00B25BCA" w:rsidRDefault="00601270" w:rsidP="00601270">
            <w:pPr>
              <w:spacing w:after="0" w:line="240" w:lineRule="auto"/>
              <w:jc w:val="center"/>
              <w:rPr>
                <w:rFonts w:ascii="Arial" w:eastAsia="Times New Roman" w:hAnsi="Arial" w:cs="Times New Roman"/>
                <w:bCs/>
                <w:sz w:val="18"/>
                <w:szCs w:val="18"/>
                <w:lang w:eastAsia="cs-CZ"/>
              </w:rPr>
            </w:pPr>
            <w:r w:rsidRPr="00B25BCA">
              <w:rPr>
                <w:rFonts w:ascii="Arial" w:eastAsia="Times New Roman" w:hAnsi="Arial" w:cs="Times New Roman"/>
                <w:bCs/>
                <w:sz w:val="18"/>
                <w:szCs w:val="18"/>
                <w:lang w:eastAsia="cs-CZ"/>
              </w:rPr>
              <w:t>Objem</w:t>
            </w:r>
          </w:p>
        </w:tc>
      </w:tr>
      <w:tr w:rsidR="00601270" w:rsidRPr="00B25BCA" w:rsidTr="005156F7">
        <w:trPr>
          <w:cantSplit/>
          <w:trHeight w:val="284"/>
        </w:trPr>
        <w:tc>
          <w:tcPr>
            <w:tcW w:w="2269" w:type="dxa"/>
            <w:vMerge/>
            <w:tcBorders>
              <w:top w:val="nil"/>
              <w:left w:val="nil"/>
            </w:tcBorders>
          </w:tcPr>
          <w:p w:rsidR="00601270" w:rsidRPr="00B25BCA" w:rsidRDefault="00601270" w:rsidP="00601270">
            <w:pPr>
              <w:spacing w:after="0" w:line="240" w:lineRule="auto"/>
              <w:jc w:val="center"/>
              <w:rPr>
                <w:rFonts w:ascii="Arial" w:eastAsia="Times New Roman" w:hAnsi="Arial" w:cs="Times New Roman"/>
                <w:bCs/>
                <w:sz w:val="18"/>
                <w:szCs w:val="18"/>
                <w:lang w:eastAsia="cs-CZ"/>
              </w:rPr>
            </w:pPr>
          </w:p>
        </w:tc>
        <w:tc>
          <w:tcPr>
            <w:tcW w:w="1275" w:type="dxa"/>
            <w:vAlign w:val="center"/>
          </w:tcPr>
          <w:p w:rsidR="00601270" w:rsidRPr="00B25BCA" w:rsidRDefault="00601270" w:rsidP="00601270">
            <w:pPr>
              <w:spacing w:after="0" w:line="240" w:lineRule="auto"/>
              <w:jc w:val="center"/>
              <w:rPr>
                <w:rFonts w:ascii="Arial" w:eastAsia="Times New Roman" w:hAnsi="Arial" w:cs="Times New Roman"/>
                <w:bCs/>
                <w:sz w:val="18"/>
                <w:szCs w:val="18"/>
                <w:lang w:eastAsia="cs-CZ"/>
              </w:rPr>
            </w:pPr>
            <w:r w:rsidRPr="00B25BCA">
              <w:rPr>
                <w:rFonts w:ascii="Arial" w:eastAsia="Times New Roman" w:hAnsi="Arial" w:cs="Times New Roman"/>
                <w:bCs/>
                <w:sz w:val="18"/>
                <w:szCs w:val="18"/>
                <w:lang w:eastAsia="cs-CZ"/>
              </w:rPr>
              <w:t>počet</w:t>
            </w:r>
          </w:p>
        </w:tc>
        <w:tc>
          <w:tcPr>
            <w:tcW w:w="2268" w:type="dxa"/>
            <w:gridSpan w:val="2"/>
            <w:tcBorders>
              <w:bottom w:val="single" w:sz="4" w:space="0" w:color="auto"/>
            </w:tcBorders>
            <w:vAlign w:val="center"/>
          </w:tcPr>
          <w:p w:rsidR="00601270" w:rsidRPr="00B25BCA" w:rsidRDefault="00601270" w:rsidP="00601270">
            <w:pPr>
              <w:spacing w:after="0" w:line="240" w:lineRule="auto"/>
              <w:jc w:val="center"/>
              <w:rPr>
                <w:rFonts w:ascii="Arial" w:eastAsia="Times New Roman" w:hAnsi="Arial" w:cs="Times New Roman"/>
                <w:bCs/>
                <w:sz w:val="18"/>
                <w:szCs w:val="18"/>
                <w:lang w:eastAsia="cs-CZ"/>
              </w:rPr>
            </w:pPr>
            <w:r w:rsidRPr="00B25BCA">
              <w:rPr>
                <w:rFonts w:ascii="Arial" w:eastAsia="Times New Roman" w:hAnsi="Arial" w:cs="Times New Roman"/>
                <w:bCs/>
                <w:sz w:val="18"/>
                <w:szCs w:val="18"/>
                <w:lang w:eastAsia="cs-CZ"/>
              </w:rPr>
              <w:t>me</w:t>
            </w:r>
            <w:r w:rsidR="00B67186">
              <w:rPr>
                <w:rFonts w:ascii="Arial" w:eastAsia="Times New Roman" w:hAnsi="Arial" w:cs="Times New Roman"/>
                <w:bCs/>
                <w:sz w:val="18"/>
                <w:szCs w:val="18"/>
                <w:lang w:eastAsia="cs-CZ"/>
              </w:rPr>
              <w:t>dziročná zme</w:t>
            </w:r>
            <w:r w:rsidRPr="00B25BCA">
              <w:rPr>
                <w:rFonts w:ascii="Arial" w:eastAsia="Times New Roman" w:hAnsi="Arial" w:cs="Times New Roman"/>
                <w:bCs/>
                <w:sz w:val="18"/>
                <w:szCs w:val="18"/>
                <w:lang w:eastAsia="cs-CZ"/>
              </w:rPr>
              <w:t>na v %</w:t>
            </w:r>
          </w:p>
        </w:tc>
        <w:tc>
          <w:tcPr>
            <w:tcW w:w="1276" w:type="dxa"/>
            <w:tcBorders>
              <w:bottom w:val="single" w:sz="4" w:space="0" w:color="auto"/>
            </w:tcBorders>
            <w:vAlign w:val="center"/>
          </w:tcPr>
          <w:p w:rsidR="00601270" w:rsidRPr="00B25BCA" w:rsidRDefault="00601270" w:rsidP="00601270">
            <w:pPr>
              <w:spacing w:after="0" w:line="240" w:lineRule="auto"/>
              <w:jc w:val="center"/>
              <w:rPr>
                <w:rFonts w:ascii="Arial" w:eastAsia="Times New Roman" w:hAnsi="Arial" w:cs="Times New Roman"/>
                <w:bCs/>
                <w:sz w:val="18"/>
                <w:szCs w:val="18"/>
                <w:lang w:eastAsia="cs-CZ"/>
              </w:rPr>
            </w:pPr>
            <w:r w:rsidRPr="00B25BCA">
              <w:rPr>
                <w:rFonts w:ascii="Arial" w:eastAsia="Times New Roman" w:hAnsi="Arial" w:cs="Times New Roman"/>
                <w:bCs/>
                <w:sz w:val="18"/>
                <w:szCs w:val="18"/>
                <w:lang w:eastAsia="cs-CZ"/>
              </w:rPr>
              <w:t>objem v</w:t>
            </w:r>
            <w:r w:rsidR="00B67186">
              <w:rPr>
                <w:rFonts w:ascii="Arial" w:eastAsia="Times New Roman" w:hAnsi="Arial" w:cs="Times New Roman"/>
                <w:bCs/>
                <w:sz w:val="18"/>
                <w:szCs w:val="18"/>
                <w:lang w:eastAsia="cs-CZ"/>
              </w:rPr>
              <w:t> </w:t>
            </w:r>
            <w:r w:rsidRPr="00B25BCA">
              <w:rPr>
                <w:rFonts w:ascii="Arial" w:eastAsia="Times New Roman" w:hAnsi="Arial" w:cs="Times New Roman"/>
                <w:bCs/>
                <w:sz w:val="18"/>
                <w:szCs w:val="18"/>
                <w:lang w:eastAsia="cs-CZ"/>
              </w:rPr>
              <w:t>mil</w:t>
            </w:r>
            <w:r w:rsidR="00B67186">
              <w:rPr>
                <w:rFonts w:ascii="Arial" w:eastAsia="Times New Roman" w:hAnsi="Arial" w:cs="Times New Roman"/>
                <w:bCs/>
                <w:sz w:val="18"/>
                <w:szCs w:val="18"/>
                <w:lang w:eastAsia="cs-CZ"/>
              </w:rPr>
              <w:t>.</w:t>
            </w:r>
            <w:r w:rsidRPr="00B25BCA">
              <w:rPr>
                <w:rFonts w:ascii="Arial" w:eastAsia="Times New Roman" w:hAnsi="Arial" w:cs="Times New Roman"/>
                <w:bCs/>
                <w:sz w:val="18"/>
                <w:szCs w:val="18"/>
                <w:lang w:eastAsia="cs-CZ"/>
              </w:rPr>
              <w:t xml:space="preserve"> EUR</w:t>
            </w:r>
          </w:p>
        </w:tc>
        <w:tc>
          <w:tcPr>
            <w:tcW w:w="2196" w:type="dxa"/>
            <w:gridSpan w:val="2"/>
            <w:tcBorders>
              <w:bottom w:val="single" w:sz="4" w:space="0" w:color="auto"/>
            </w:tcBorders>
            <w:vAlign w:val="center"/>
          </w:tcPr>
          <w:p w:rsidR="00601270" w:rsidRPr="00B25BCA" w:rsidRDefault="00601270" w:rsidP="00601270">
            <w:pPr>
              <w:spacing w:after="0" w:line="240" w:lineRule="auto"/>
              <w:jc w:val="center"/>
              <w:rPr>
                <w:rFonts w:ascii="Arial" w:eastAsia="Times New Roman" w:hAnsi="Arial" w:cs="Times New Roman"/>
                <w:bCs/>
                <w:sz w:val="18"/>
                <w:szCs w:val="18"/>
                <w:lang w:eastAsia="cs-CZ"/>
              </w:rPr>
            </w:pPr>
            <w:r w:rsidRPr="00B25BCA">
              <w:rPr>
                <w:rFonts w:ascii="Arial" w:eastAsia="Times New Roman" w:hAnsi="Arial" w:cs="Times New Roman"/>
                <w:bCs/>
                <w:sz w:val="18"/>
                <w:szCs w:val="18"/>
                <w:lang w:eastAsia="cs-CZ"/>
              </w:rPr>
              <w:t>me</w:t>
            </w:r>
            <w:r w:rsidR="00B67186">
              <w:rPr>
                <w:rFonts w:ascii="Arial" w:eastAsia="Times New Roman" w:hAnsi="Arial" w:cs="Times New Roman"/>
                <w:bCs/>
                <w:sz w:val="18"/>
                <w:szCs w:val="18"/>
                <w:lang w:eastAsia="cs-CZ"/>
              </w:rPr>
              <w:t>dziročná zme</w:t>
            </w:r>
            <w:r w:rsidRPr="00B25BCA">
              <w:rPr>
                <w:rFonts w:ascii="Arial" w:eastAsia="Times New Roman" w:hAnsi="Arial" w:cs="Times New Roman"/>
                <w:bCs/>
                <w:sz w:val="18"/>
                <w:szCs w:val="18"/>
                <w:lang w:eastAsia="cs-CZ"/>
              </w:rPr>
              <w:t>na v %</w:t>
            </w:r>
          </w:p>
        </w:tc>
      </w:tr>
      <w:tr w:rsidR="006B0F91" w:rsidRPr="00B25BCA" w:rsidTr="005156F7">
        <w:trPr>
          <w:cantSplit/>
          <w:trHeight w:val="284"/>
        </w:trPr>
        <w:tc>
          <w:tcPr>
            <w:tcW w:w="2269" w:type="dxa"/>
            <w:vAlign w:val="center"/>
          </w:tcPr>
          <w:p w:rsidR="006B0F91" w:rsidRPr="00B25BCA" w:rsidRDefault="006B0F91" w:rsidP="006B0F91">
            <w:pPr>
              <w:spacing w:after="0" w:line="240" w:lineRule="auto"/>
              <w:jc w:val="center"/>
              <w:rPr>
                <w:rFonts w:ascii="Arial" w:hAnsi="Arial" w:cs="Arial"/>
                <w:sz w:val="18"/>
                <w:szCs w:val="18"/>
              </w:rPr>
            </w:pPr>
            <w:r w:rsidRPr="00B25BCA">
              <w:rPr>
                <w:rFonts w:ascii="Arial" w:hAnsi="Arial" w:cs="Arial"/>
                <w:sz w:val="18"/>
                <w:szCs w:val="18"/>
              </w:rPr>
              <w:t>2012</w:t>
            </w:r>
          </w:p>
        </w:tc>
        <w:tc>
          <w:tcPr>
            <w:tcW w:w="1275" w:type="dxa"/>
            <w:tcBorders>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8 916</w:t>
            </w:r>
          </w:p>
        </w:tc>
        <w:tc>
          <w:tcPr>
            <w:tcW w:w="815" w:type="dxa"/>
            <w:tcBorders>
              <w:left w:val="single" w:sz="4" w:space="0" w:color="auto"/>
              <w:right w:val="nil"/>
            </w:tcBorders>
            <w:vAlign w:val="center"/>
          </w:tcPr>
          <w:p w:rsidR="006B0F91" w:rsidRPr="00B25BCA" w:rsidRDefault="006B0F91" w:rsidP="006B0F91">
            <w:pPr>
              <w:spacing w:after="0" w:line="240" w:lineRule="auto"/>
              <w:jc w:val="center"/>
              <w:rPr>
                <w:rFonts w:ascii="Arial" w:hAnsi="Arial" w:cs="Arial"/>
                <w:sz w:val="18"/>
                <w:szCs w:val="18"/>
              </w:rPr>
            </w:pPr>
          </w:p>
        </w:tc>
        <w:tc>
          <w:tcPr>
            <w:tcW w:w="1453" w:type="dxa"/>
            <w:tcBorders>
              <w:left w:val="nil"/>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w:t>
            </w:r>
          </w:p>
        </w:tc>
        <w:tc>
          <w:tcPr>
            <w:tcW w:w="1276" w:type="dxa"/>
            <w:tcBorders>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5 987</w:t>
            </w:r>
          </w:p>
        </w:tc>
        <w:tc>
          <w:tcPr>
            <w:tcW w:w="893" w:type="dxa"/>
            <w:tcBorders>
              <w:left w:val="single" w:sz="4" w:space="0" w:color="auto"/>
              <w:right w:val="nil"/>
            </w:tcBorders>
            <w:vAlign w:val="center"/>
          </w:tcPr>
          <w:p w:rsidR="006B0F91" w:rsidRPr="00B25BCA" w:rsidRDefault="006B0F91" w:rsidP="006B0F91">
            <w:pPr>
              <w:spacing w:after="0" w:line="240" w:lineRule="auto"/>
              <w:jc w:val="center"/>
              <w:rPr>
                <w:rFonts w:ascii="Arial" w:hAnsi="Arial" w:cs="Arial"/>
                <w:sz w:val="18"/>
                <w:szCs w:val="18"/>
              </w:rPr>
            </w:pPr>
          </w:p>
        </w:tc>
        <w:tc>
          <w:tcPr>
            <w:tcW w:w="1303" w:type="dxa"/>
            <w:tcBorders>
              <w:left w:val="nil"/>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w:t>
            </w:r>
          </w:p>
        </w:tc>
      </w:tr>
      <w:tr w:rsidR="006B0F91" w:rsidRPr="00B25BCA" w:rsidTr="005156F7">
        <w:trPr>
          <w:cantSplit/>
          <w:trHeight w:val="284"/>
        </w:trPr>
        <w:tc>
          <w:tcPr>
            <w:tcW w:w="2269" w:type="dxa"/>
            <w:vAlign w:val="center"/>
          </w:tcPr>
          <w:p w:rsidR="006B0F91" w:rsidRPr="00B25BCA" w:rsidRDefault="006B0F91" w:rsidP="006B0F91">
            <w:pPr>
              <w:spacing w:after="0" w:line="240" w:lineRule="auto"/>
              <w:jc w:val="center"/>
              <w:rPr>
                <w:rFonts w:ascii="Arial" w:hAnsi="Arial" w:cs="Arial"/>
                <w:sz w:val="18"/>
                <w:szCs w:val="18"/>
              </w:rPr>
            </w:pPr>
            <w:r w:rsidRPr="00B25BCA">
              <w:rPr>
                <w:rFonts w:ascii="Arial" w:hAnsi="Arial" w:cs="Arial"/>
                <w:sz w:val="18"/>
                <w:szCs w:val="18"/>
              </w:rPr>
              <w:t>2013</w:t>
            </w:r>
          </w:p>
        </w:tc>
        <w:tc>
          <w:tcPr>
            <w:tcW w:w="1275" w:type="dxa"/>
            <w:tcBorders>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9 919</w:t>
            </w:r>
          </w:p>
        </w:tc>
        <w:tc>
          <w:tcPr>
            <w:tcW w:w="815" w:type="dxa"/>
            <w:tcBorders>
              <w:left w:val="single" w:sz="4" w:space="0" w:color="auto"/>
              <w:right w:val="nil"/>
            </w:tcBorders>
            <w:vAlign w:val="center"/>
          </w:tcPr>
          <w:p w:rsidR="006B0F91" w:rsidRPr="00B25BCA" w:rsidRDefault="006B0F91" w:rsidP="006B0F91">
            <w:pPr>
              <w:spacing w:after="0" w:line="240" w:lineRule="auto"/>
              <w:jc w:val="center"/>
              <w:rPr>
                <w:rFonts w:ascii="Arial" w:hAnsi="Arial" w:cs="Arial"/>
                <w:sz w:val="18"/>
                <w:szCs w:val="18"/>
              </w:rPr>
            </w:pPr>
            <w:r w:rsidRPr="00B25BCA">
              <w:rPr>
                <w:bCs/>
                <w:color w:val="92D050"/>
                <w:sz w:val="24"/>
              </w:rPr>
              <w:sym w:font="Wingdings 3" w:char="F0C7"/>
            </w:r>
          </w:p>
        </w:tc>
        <w:tc>
          <w:tcPr>
            <w:tcW w:w="1453" w:type="dxa"/>
            <w:tcBorders>
              <w:left w:val="nil"/>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+11,2</w:t>
            </w:r>
          </w:p>
        </w:tc>
        <w:tc>
          <w:tcPr>
            <w:tcW w:w="1276" w:type="dxa"/>
            <w:tcBorders>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8 377</w:t>
            </w:r>
          </w:p>
        </w:tc>
        <w:tc>
          <w:tcPr>
            <w:tcW w:w="893" w:type="dxa"/>
            <w:tcBorders>
              <w:left w:val="single" w:sz="4" w:space="0" w:color="auto"/>
              <w:right w:val="nil"/>
            </w:tcBorders>
            <w:vAlign w:val="center"/>
          </w:tcPr>
          <w:p w:rsidR="006B0F91" w:rsidRPr="00B25BCA" w:rsidRDefault="006B0F91" w:rsidP="006B0F91">
            <w:pPr>
              <w:spacing w:after="0" w:line="240" w:lineRule="auto"/>
              <w:jc w:val="center"/>
              <w:rPr>
                <w:rFonts w:ascii="Arial" w:hAnsi="Arial" w:cs="Arial"/>
                <w:sz w:val="18"/>
                <w:szCs w:val="18"/>
              </w:rPr>
            </w:pPr>
            <w:r w:rsidRPr="00B25BCA">
              <w:rPr>
                <w:bCs/>
                <w:color w:val="92D050"/>
                <w:sz w:val="24"/>
              </w:rPr>
              <w:sym w:font="Wingdings 3" w:char="F0C7"/>
            </w:r>
          </w:p>
        </w:tc>
        <w:tc>
          <w:tcPr>
            <w:tcW w:w="1303" w:type="dxa"/>
            <w:tcBorders>
              <w:left w:val="nil"/>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+39,9</w:t>
            </w:r>
          </w:p>
        </w:tc>
      </w:tr>
      <w:tr w:rsidR="006B0F91" w:rsidRPr="00B25BCA" w:rsidTr="005156F7">
        <w:trPr>
          <w:cantSplit/>
          <w:trHeight w:val="284"/>
        </w:trPr>
        <w:tc>
          <w:tcPr>
            <w:tcW w:w="2269" w:type="dxa"/>
            <w:vAlign w:val="center"/>
          </w:tcPr>
          <w:p w:rsidR="006B0F91" w:rsidRPr="00B25BCA" w:rsidRDefault="006B0F91" w:rsidP="006B0F91">
            <w:pPr>
              <w:spacing w:after="0" w:line="240" w:lineRule="auto"/>
              <w:jc w:val="center"/>
              <w:rPr>
                <w:rFonts w:ascii="Arial" w:hAnsi="Arial" w:cs="Arial"/>
                <w:sz w:val="18"/>
                <w:szCs w:val="18"/>
              </w:rPr>
            </w:pPr>
            <w:r w:rsidRPr="00B25BCA">
              <w:rPr>
                <w:rFonts w:ascii="Arial" w:hAnsi="Arial" w:cs="Arial"/>
                <w:sz w:val="18"/>
                <w:szCs w:val="18"/>
              </w:rPr>
              <w:t>2014</w:t>
            </w:r>
          </w:p>
        </w:tc>
        <w:tc>
          <w:tcPr>
            <w:tcW w:w="1275" w:type="dxa"/>
            <w:tcBorders>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8 064</w:t>
            </w:r>
          </w:p>
        </w:tc>
        <w:tc>
          <w:tcPr>
            <w:tcW w:w="815" w:type="dxa"/>
            <w:tcBorders>
              <w:left w:val="single" w:sz="4" w:space="0" w:color="auto"/>
              <w:right w:val="nil"/>
            </w:tcBorders>
            <w:vAlign w:val="center"/>
          </w:tcPr>
          <w:p w:rsidR="006B0F91" w:rsidRPr="00B25BCA" w:rsidRDefault="006B0F91" w:rsidP="006B0F91">
            <w:pPr>
              <w:spacing w:after="0" w:line="240" w:lineRule="auto"/>
              <w:jc w:val="center"/>
              <w:rPr>
                <w:b/>
                <w:bCs/>
                <w:color w:val="FF0000"/>
                <w:sz w:val="24"/>
              </w:rPr>
            </w:pPr>
            <w:r w:rsidRPr="00B25BCA">
              <w:rPr>
                <w:b/>
                <w:bCs/>
                <w:color w:val="FF0000"/>
                <w:sz w:val="24"/>
              </w:rPr>
              <w:sym w:font="Wingdings 3" w:char="F0C8"/>
            </w:r>
          </w:p>
        </w:tc>
        <w:tc>
          <w:tcPr>
            <w:tcW w:w="1453" w:type="dxa"/>
            <w:tcBorders>
              <w:left w:val="nil"/>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-18,7</w:t>
            </w:r>
          </w:p>
        </w:tc>
        <w:tc>
          <w:tcPr>
            <w:tcW w:w="1276" w:type="dxa"/>
            <w:tcBorders>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6 621</w:t>
            </w:r>
          </w:p>
        </w:tc>
        <w:tc>
          <w:tcPr>
            <w:tcW w:w="893" w:type="dxa"/>
            <w:tcBorders>
              <w:left w:val="single" w:sz="4" w:space="0" w:color="auto"/>
              <w:right w:val="nil"/>
            </w:tcBorders>
            <w:vAlign w:val="center"/>
          </w:tcPr>
          <w:p w:rsidR="006B0F91" w:rsidRPr="00B25BCA" w:rsidRDefault="006B0F91" w:rsidP="006B0F91">
            <w:pPr>
              <w:spacing w:after="0" w:line="240" w:lineRule="auto"/>
              <w:jc w:val="center"/>
              <w:rPr>
                <w:b/>
                <w:bCs/>
                <w:color w:val="FF0000"/>
                <w:sz w:val="24"/>
              </w:rPr>
            </w:pPr>
            <w:r w:rsidRPr="00B25BCA">
              <w:rPr>
                <w:b/>
                <w:bCs/>
                <w:color w:val="FF0000"/>
                <w:sz w:val="24"/>
              </w:rPr>
              <w:sym w:font="Wingdings 3" w:char="F0C8"/>
            </w:r>
          </w:p>
        </w:tc>
        <w:tc>
          <w:tcPr>
            <w:tcW w:w="1303" w:type="dxa"/>
            <w:tcBorders>
              <w:left w:val="nil"/>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-21,0</w:t>
            </w:r>
          </w:p>
        </w:tc>
      </w:tr>
      <w:tr w:rsidR="00136E59" w:rsidRPr="00B25BCA" w:rsidTr="005156F7">
        <w:trPr>
          <w:cantSplit/>
          <w:trHeight w:val="284"/>
        </w:trPr>
        <w:tc>
          <w:tcPr>
            <w:tcW w:w="2269" w:type="dxa"/>
            <w:vAlign w:val="center"/>
          </w:tcPr>
          <w:p w:rsidR="00136E59" w:rsidRPr="00B25BCA" w:rsidRDefault="00136E59" w:rsidP="00136E59">
            <w:pPr>
              <w:spacing w:after="0" w:line="240" w:lineRule="auto"/>
              <w:jc w:val="center"/>
              <w:rPr>
                <w:rFonts w:ascii="Arial" w:hAnsi="Arial" w:cs="Arial"/>
                <w:sz w:val="18"/>
                <w:szCs w:val="18"/>
              </w:rPr>
            </w:pPr>
            <w:r w:rsidRPr="00B25BCA">
              <w:rPr>
                <w:rFonts w:ascii="Arial" w:hAnsi="Arial" w:cs="Arial"/>
                <w:sz w:val="18"/>
                <w:szCs w:val="18"/>
              </w:rPr>
              <w:t>2015</w:t>
            </w:r>
          </w:p>
        </w:tc>
        <w:tc>
          <w:tcPr>
            <w:tcW w:w="1275" w:type="dxa"/>
            <w:tcBorders>
              <w:right w:val="single" w:sz="4" w:space="0" w:color="auto"/>
            </w:tcBorders>
            <w:tcMar>
              <w:right w:w="397" w:type="dxa"/>
            </w:tcMar>
            <w:vAlign w:val="center"/>
          </w:tcPr>
          <w:p w:rsidR="00136E59" w:rsidRPr="00B25BCA" w:rsidRDefault="00136E59" w:rsidP="00136E59">
            <w:pPr>
              <w:spacing w:after="0" w:line="240" w:lineRule="auto"/>
              <w:jc w:val="right"/>
              <w:rPr>
                <w:rFonts w:ascii="Arial" w:hAnsi="Arial" w:cs="Arial"/>
                <w:sz w:val="18"/>
                <w:szCs w:val="18"/>
              </w:rPr>
            </w:pPr>
            <w:r w:rsidRPr="00B25BCA">
              <w:rPr>
                <w:rFonts w:ascii="Arial" w:hAnsi="Arial" w:cs="Arial"/>
                <w:sz w:val="18"/>
                <w:szCs w:val="18"/>
              </w:rPr>
              <w:t> 7 331</w:t>
            </w:r>
          </w:p>
        </w:tc>
        <w:tc>
          <w:tcPr>
            <w:tcW w:w="815" w:type="dxa"/>
            <w:tcBorders>
              <w:left w:val="single" w:sz="4" w:space="0" w:color="auto"/>
              <w:right w:val="nil"/>
            </w:tcBorders>
            <w:vAlign w:val="center"/>
          </w:tcPr>
          <w:p w:rsidR="00136E59" w:rsidRPr="00B25BCA" w:rsidRDefault="00136E59" w:rsidP="00136E59">
            <w:pPr>
              <w:spacing w:after="0" w:line="240" w:lineRule="auto"/>
              <w:jc w:val="center"/>
              <w:rPr>
                <w:b/>
                <w:bCs/>
                <w:color w:val="FF0000"/>
                <w:sz w:val="24"/>
              </w:rPr>
            </w:pPr>
            <w:r w:rsidRPr="00B25BCA">
              <w:rPr>
                <w:b/>
                <w:bCs/>
                <w:color w:val="FF0000"/>
                <w:sz w:val="24"/>
              </w:rPr>
              <w:sym w:font="Wingdings 3" w:char="F0C8"/>
            </w:r>
          </w:p>
        </w:tc>
        <w:tc>
          <w:tcPr>
            <w:tcW w:w="1453" w:type="dxa"/>
            <w:tcBorders>
              <w:left w:val="nil"/>
              <w:right w:val="single" w:sz="4" w:space="0" w:color="auto"/>
            </w:tcBorders>
            <w:tcMar>
              <w:right w:w="397" w:type="dxa"/>
            </w:tcMar>
            <w:vAlign w:val="center"/>
          </w:tcPr>
          <w:p w:rsidR="00136E59" w:rsidRPr="00B25BCA" w:rsidRDefault="00136E59" w:rsidP="00136E59">
            <w:pPr>
              <w:spacing w:after="0" w:line="240" w:lineRule="auto"/>
              <w:jc w:val="right"/>
              <w:rPr>
                <w:rFonts w:ascii="Arial" w:hAnsi="Arial" w:cs="Arial"/>
                <w:sz w:val="18"/>
                <w:szCs w:val="18"/>
              </w:rPr>
            </w:pPr>
            <w:r w:rsidRPr="00B25BCA">
              <w:rPr>
                <w:rFonts w:ascii="Arial" w:hAnsi="Arial" w:cs="Arial"/>
                <w:sz w:val="18"/>
                <w:szCs w:val="18"/>
              </w:rPr>
              <w:t>-9,1</w:t>
            </w:r>
          </w:p>
        </w:tc>
        <w:tc>
          <w:tcPr>
            <w:tcW w:w="1276" w:type="dxa"/>
            <w:tcBorders>
              <w:right w:val="single" w:sz="4" w:space="0" w:color="auto"/>
            </w:tcBorders>
            <w:tcMar>
              <w:right w:w="397" w:type="dxa"/>
            </w:tcMar>
            <w:vAlign w:val="center"/>
          </w:tcPr>
          <w:p w:rsidR="00136E59" w:rsidRPr="00B25BCA" w:rsidRDefault="00136E59" w:rsidP="00136E59">
            <w:pPr>
              <w:spacing w:after="0" w:line="240" w:lineRule="auto"/>
              <w:jc w:val="right"/>
              <w:rPr>
                <w:rFonts w:ascii="Arial" w:hAnsi="Arial" w:cs="Arial"/>
                <w:sz w:val="18"/>
                <w:szCs w:val="18"/>
              </w:rPr>
            </w:pPr>
            <w:r w:rsidRPr="00B25BCA">
              <w:rPr>
                <w:rFonts w:ascii="Arial" w:hAnsi="Arial" w:cs="Arial"/>
                <w:sz w:val="18"/>
                <w:szCs w:val="18"/>
              </w:rPr>
              <w:t>7 657</w:t>
            </w:r>
          </w:p>
        </w:tc>
        <w:tc>
          <w:tcPr>
            <w:tcW w:w="893" w:type="dxa"/>
            <w:tcBorders>
              <w:left w:val="single" w:sz="4" w:space="0" w:color="auto"/>
              <w:right w:val="nil"/>
            </w:tcBorders>
            <w:vAlign w:val="center"/>
          </w:tcPr>
          <w:p w:rsidR="00136E59" w:rsidRPr="00B25BCA" w:rsidRDefault="00136E59" w:rsidP="00136E59">
            <w:pPr>
              <w:spacing w:after="0" w:line="240" w:lineRule="auto"/>
              <w:jc w:val="center"/>
              <w:rPr>
                <w:bCs/>
                <w:color w:val="92D050"/>
                <w:sz w:val="24"/>
              </w:rPr>
            </w:pPr>
            <w:r w:rsidRPr="00B25BCA">
              <w:rPr>
                <w:bCs/>
                <w:color w:val="92D050"/>
                <w:sz w:val="24"/>
              </w:rPr>
              <w:sym w:font="Wingdings 3" w:char="F0C7"/>
            </w:r>
          </w:p>
        </w:tc>
        <w:tc>
          <w:tcPr>
            <w:tcW w:w="1303" w:type="dxa"/>
            <w:tcBorders>
              <w:left w:val="nil"/>
            </w:tcBorders>
            <w:tcMar>
              <w:right w:w="397" w:type="dxa"/>
            </w:tcMar>
            <w:vAlign w:val="center"/>
          </w:tcPr>
          <w:p w:rsidR="00136E59" w:rsidRPr="00B25BCA" w:rsidRDefault="00136E59" w:rsidP="00136E59">
            <w:pPr>
              <w:spacing w:after="0" w:line="240" w:lineRule="auto"/>
              <w:jc w:val="right"/>
              <w:rPr>
                <w:rFonts w:ascii="Arial" w:hAnsi="Arial" w:cs="Arial"/>
                <w:sz w:val="18"/>
                <w:szCs w:val="18"/>
              </w:rPr>
            </w:pPr>
            <w:r w:rsidRPr="00B25BCA">
              <w:rPr>
                <w:rFonts w:ascii="Arial" w:hAnsi="Arial" w:cs="Arial"/>
                <w:sz w:val="18"/>
                <w:szCs w:val="18"/>
              </w:rPr>
              <w:t>+16,9</w:t>
            </w:r>
          </w:p>
        </w:tc>
      </w:tr>
      <w:tr w:rsidR="00E94A84" w:rsidRPr="00B25BCA" w:rsidTr="005156F7">
        <w:trPr>
          <w:cantSplit/>
          <w:trHeight w:val="284"/>
        </w:trPr>
        <w:tc>
          <w:tcPr>
            <w:tcW w:w="2269" w:type="dxa"/>
            <w:tcBorders>
              <w:top w:val="single" w:sz="4" w:space="0" w:color="auto"/>
              <w:left w:val="single" w:sz="4" w:space="0" w:color="auto"/>
              <w:bottom w:val="single" w:sz="4" w:space="0" w:color="auto"/>
              <w:right w:val="single" w:sz="4" w:space="0" w:color="auto"/>
            </w:tcBorders>
            <w:vAlign w:val="center"/>
          </w:tcPr>
          <w:p w:rsidR="00E94A84" w:rsidRPr="00B25BCA" w:rsidRDefault="00E94A84" w:rsidP="00E94A84">
            <w:pPr>
              <w:spacing w:after="0" w:line="240" w:lineRule="auto"/>
              <w:jc w:val="center"/>
              <w:rPr>
                <w:rFonts w:ascii="Arial" w:hAnsi="Arial" w:cs="Arial"/>
                <w:b/>
                <w:bCs/>
                <w:sz w:val="18"/>
                <w:szCs w:val="18"/>
              </w:rPr>
            </w:pPr>
            <w:r w:rsidRPr="00B25BCA">
              <w:rPr>
                <w:rFonts w:ascii="Arial" w:hAnsi="Arial" w:cs="Arial"/>
                <w:b/>
                <w:bCs/>
                <w:sz w:val="18"/>
                <w:szCs w:val="18"/>
              </w:rPr>
              <w:t>2016</w:t>
            </w:r>
          </w:p>
        </w:tc>
        <w:tc>
          <w:tcPr>
            <w:tcW w:w="1275" w:type="dxa"/>
            <w:tcBorders>
              <w:top w:val="single" w:sz="4" w:space="0" w:color="auto"/>
              <w:left w:val="single" w:sz="4" w:space="0" w:color="auto"/>
              <w:bottom w:val="single" w:sz="4" w:space="0" w:color="auto"/>
              <w:right w:val="single" w:sz="4" w:space="0" w:color="auto"/>
            </w:tcBorders>
            <w:tcMar>
              <w:right w:w="397" w:type="dxa"/>
            </w:tcMar>
            <w:vAlign w:val="center"/>
          </w:tcPr>
          <w:p w:rsidR="00E94A84" w:rsidRPr="00B25BCA" w:rsidRDefault="00E94A84" w:rsidP="00E94A84">
            <w:pPr>
              <w:spacing w:after="0" w:line="240" w:lineRule="auto"/>
              <w:jc w:val="right"/>
              <w:rPr>
                <w:rFonts w:ascii="Arial" w:hAnsi="Arial" w:cs="Arial"/>
                <w:b/>
                <w:bCs/>
                <w:sz w:val="18"/>
                <w:szCs w:val="18"/>
              </w:rPr>
            </w:pPr>
            <w:r w:rsidRPr="00B25BCA">
              <w:rPr>
                <w:rFonts w:ascii="Arial" w:hAnsi="Arial" w:cs="Arial"/>
                <w:b/>
                <w:bCs/>
                <w:sz w:val="18"/>
                <w:szCs w:val="18"/>
              </w:rPr>
              <w:t>4 870</w:t>
            </w:r>
          </w:p>
        </w:tc>
        <w:tc>
          <w:tcPr>
            <w:tcW w:w="815" w:type="dxa"/>
            <w:tcBorders>
              <w:top w:val="single" w:sz="4" w:space="0" w:color="auto"/>
              <w:left w:val="single" w:sz="4" w:space="0" w:color="auto"/>
              <w:bottom w:val="single" w:sz="4" w:space="0" w:color="auto"/>
              <w:right w:val="nil"/>
            </w:tcBorders>
            <w:vAlign w:val="center"/>
          </w:tcPr>
          <w:p w:rsidR="00E94A84" w:rsidRPr="00B25BCA" w:rsidRDefault="00E94A84" w:rsidP="00E94A84">
            <w:pPr>
              <w:spacing w:after="0" w:line="240" w:lineRule="auto"/>
              <w:jc w:val="center"/>
              <w:rPr>
                <w:rFonts w:ascii="Arial" w:hAnsi="Arial" w:cs="Arial"/>
                <w:b/>
                <w:bCs/>
                <w:sz w:val="18"/>
                <w:szCs w:val="18"/>
              </w:rPr>
            </w:pPr>
            <w:r w:rsidRPr="00B25BCA">
              <w:rPr>
                <w:b/>
                <w:bCs/>
                <w:color w:val="FF0000"/>
                <w:sz w:val="24"/>
              </w:rPr>
              <w:sym w:font="Wingdings 3" w:char="F0C8"/>
            </w:r>
          </w:p>
        </w:tc>
        <w:tc>
          <w:tcPr>
            <w:tcW w:w="1453" w:type="dxa"/>
            <w:tcBorders>
              <w:top w:val="single" w:sz="4" w:space="0" w:color="auto"/>
              <w:left w:val="nil"/>
              <w:bottom w:val="single" w:sz="4" w:space="0" w:color="auto"/>
              <w:right w:val="single" w:sz="4" w:space="0" w:color="auto"/>
            </w:tcBorders>
            <w:tcMar>
              <w:right w:w="397" w:type="dxa"/>
            </w:tcMar>
            <w:vAlign w:val="center"/>
          </w:tcPr>
          <w:p w:rsidR="00E94A84" w:rsidRPr="00B25BCA" w:rsidRDefault="00E94A84" w:rsidP="00E94A84">
            <w:pPr>
              <w:spacing w:after="0" w:line="240" w:lineRule="auto"/>
              <w:jc w:val="right"/>
              <w:rPr>
                <w:rFonts w:ascii="Arial" w:hAnsi="Arial" w:cs="Arial"/>
                <w:b/>
                <w:bCs/>
                <w:sz w:val="18"/>
                <w:szCs w:val="18"/>
              </w:rPr>
            </w:pPr>
            <w:r w:rsidRPr="00B25BCA">
              <w:rPr>
                <w:rFonts w:ascii="Arial" w:hAnsi="Arial" w:cs="Arial"/>
                <w:b/>
                <w:bCs/>
                <w:sz w:val="18"/>
                <w:szCs w:val="18"/>
              </w:rPr>
              <w:t>-33,6</w:t>
            </w:r>
          </w:p>
        </w:tc>
        <w:tc>
          <w:tcPr>
            <w:tcW w:w="1276" w:type="dxa"/>
            <w:tcBorders>
              <w:top w:val="single" w:sz="4" w:space="0" w:color="auto"/>
              <w:left w:val="single" w:sz="4" w:space="0" w:color="auto"/>
              <w:bottom w:val="single" w:sz="4" w:space="0" w:color="auto"/>
              <w:right w:val="single" w:sz="4" w:space="0" w:color="auto"/>
            </w:tcBorders>
            <w:tcMar>
              <w:right w:w="397" w:type="dxa"/>
            </w:tcMar>
            <w:vAlign w:val="center"/>
          </w:tcPr>
          <w:p w:rsidR="00E94A84" w:rsidRPr="00B25BCA" w:rsidRDefault="00E94A84" w:rsidP="00E94A84">
            <w:pPr>
              <w:spacing w:after="0" w:line="240" w:lineRule="auto"/>
              <w:jc w:val="right"/>
              <w:rPr>
                <w:rFonts w:ascii="Arial" w:hAnsi="Arial" w:cs="Arial"/>
                <w:b/>
                <w:bCs/>
                <w:sz w:val="18"/>
                <w:szCs w:val="18"/>
              </w:rPr>
            </w:pPr>
            <w:r w:rsidRPr="00B25BCA">
              <w:rPr>
                <w:rFonts w:ascii="Arial" w:hAnsi="Arial" w:cs="Arial"/>
                <w:b/>
                <w:bCs/>
                <w:sz w:val="18"/>
                <w:szCs w:val="18"/>
              </w:rPr>
              <w:t>4 461</w:t>
            </w:r>
          </w:p>
        </w:tc>
        <w:tc>
          <w:tcPr>
            <w:tcW w:w="893" w:type="dxa"/>
            <w:tcBorders>
              <w:top w:val="single" w:sz="4" w:space="0" w:color="auto"/>
              <w:left w:val="single" w:sz="4" w:space="0" w:color="auto"/>
              <w:bottom w:val="single" w:sz="4" w:space="0" w:color="auto"/>
              <w:right w:val="nil"/>
            </w:tcBorders>
            <w:vAlign w:val="center"/>
          </w:tcPr>
          <w:p w:rsidR="00E94A84" w:rsidRPr="00B25BCA" w:rsidRDefault="00E94A84" w:rsidP="00E94A84">
            <w:pPr>
              <w:spacing w:after="0" w:line="240" w:lineRule="auto"/>
              <w:jc w:val="center"/>
              <w:rPr>
                <w:b/>
                <w:bCs/>
                <w:color w:val="FF0000"/>
                <w:sz w:val="24"/>
              </w:rPr>
            </w:pPr>
            <w:r w:rsidRPr="00B25BCA">
              <w:rPr>
                <w:b/>
                <w:bCs/>
                <w:color w:val="FF0000"/>
                <w:sz w:val="24"/>
              </w:rPr>
              <w:sym w:font="Wingdings 3" w:char="F0C8"/>
            </w:r>
          </w:p>
        </w:tc>
        <w:tc>
          <w:tcPr>
            <w:tcW w:w="1303" w:type="dxa"/>
            <w:tcBorders>
              <w:top w:val="single" w:sz="4" w:space="0" w:color="auto"/>
              <w:left w:val="nil"/>
              <w:bottom w:val="single" w:sz="4" w:space="0" w:color="auto"/>
              <w:right w:val="single" w:sz="4" w:space="0" w:color="auto"/>
            </w:tcBorders>
            <w:tcMar>
              <w:right w:w="397" w:type="dxa"/>
            </w:tcMar>
            <w:vAlign w:val="center"/>
          </w:tcPr>
          <w:p w:rsidR="00E94A84" w:rsidRPr="00B25BCA" w:rsidRDefault="00E94A84" w:rsidP="00E94A84">
            <w:pPr>
              <w:spacing w:after="0" w:line="240" w:lineRule="auto"/>
              <w:jc w:val="right"/>
              <w:rPr>
                <w:rFonts w:ascii="Arial" w:hAnsi="Arial" w:cs="Arial"/>
                <w:b/>
                <w:bCs/>
                <w:sz w:val="18"/>
                <w:szCs w:val="18"/>
              </w:rPr>
            </w:pPr>
            <w:r w:rsidRPr="00B25BCA">
              <w:rPr>
                <w:rFonts w:ascii="Arial" w:hAnsi="Arial" w:cs="Arial"/>
                <w:b/>
                <w:bCs/>
                <w:sz w:val="18"/>
                <w:szCs w:val="18"/>
              </w:rPr>
              <w:t>-41,7</w:t>
            </w:r>
          </w:p>
        </w:tc>
      </w:tr>
    </w:tbl>
    <w:p w:rsidR="00601270" w:rsidRPr="00B25BCA" w:rsidRDefault="00601270" w:rsidP="00601270">
      <w:pPr>
        <w:spacing w:after="0" w:line="240" w:lineRule="auto"/>
        <w:jc w:val="both"/>
        <w:rPr>
          <w:rFonts w:ascii="Arial" w:eastAsia="Times New Roman" w:hAnsi="Arial" w:cs="Times New Roman"/>
          <w:bCs/>
          <w:sz w:val="20"/>
          <w:szCs w:val="24"/>
          <w:lang w:eastAsia="cs-CZ"/>
        </w:rPr>
      </w:pPr>
      <w:r w:rsidRPr="00B25BCA">
        <w:rPr>
          <w:rFonts w:ascii="Arial" w:eastAsia="Times New Roman" w:hAnsi="Arial" w:cs="Times New Roman"/>
          <w:bCs/>
          <w:sz w:val="16"/>
          <w:szCs w:val="16"/>
          <w:lang w:eastAsia="cs-CZ"/>
        </w:rPr>
        <w:t xml:space="preserve">Zdroj: </w:t>
      </w:r>
      <w:r w:rsidRPr="00B25BCA">
        <w:rPr>
          <w:rFonts w:ascii="Arial" w:eastAsia="Times New Roman" w:hAnsi="Arial" w:cs="Times New Roman"/>
          <w:sz w:val="16"/>
          <w:szCs w:val="16"/>
          <w:lang w:eastAsia="cs-CZ"/>
        </w:rPr>
        <w:t>Vestník verejného obstarávania</w:t>
      </w:r>
      <w:r w:rsidRPr="00B25BCA">
        <w:rPr>
          <w:rFonts w:ascii="Arial" w:eastAsia="Times New Roman" w:hAnsi="Arial" w:cs="Times New Roman"/>
          <w:bCs/>
          <w:sz w:val="16"/>
          <w:szCs w:val="16"/>
          <w:lang w:eastAsia="cs-CZ"/>
        </w:rPr>
        <w:t>, výpočty CEEC Research</w:t>
      </w:r>
    </w:p>
    <w:p w:rsidR="000321DF" w:rsidRPr="00B25BCA" w:rsidRDefault="000321DF" w:rsidP="000321DF">
      <w:pPr>
        <w:spacing w:after="0" w:line="360" w:lineRule="auto"/>
        <w:jc w:val="both"/>
        <w:rPr>
          <w:rStyle w:val="Hypertextovodkaz"/>
          <w:rFonts w:cs="Arial"/>
          <w:color w:val="auto"/>
          <w:u w:val="none"/>
        </w:rPr>
      </w:pPr>
    </w:p>
    <w:p w:rsidR="00B67186" w:rsidRDefault="00B67186" w:rsidP="001768AF">
      <w:pPr>
        <w:spacing w:after="0" w:line="360" w:lineRule="auto"/>
        <w:jc w:val="both"/>
        <w:rPr>
          <w:rStyle w:val="Hypertextovodkaz"/>
          <w:rFonts w:cs="Arial"/>
          <w:color w:val="auto"/>
          <w:u w:val="none"/>
        </w:rPr>
      </w:pPr>
      <w:r>
        <w:rPr>
          <w:rStyle w:val="Hypertextovodkaz"/>
          <w:rFonts w:cs="Arial"/>
          <w:color w:val="auto"/>
          <w:u w:val="none"/>
        </w:rPr>
        <w:t xml:space="preserve">Z vyššie uvedených verejných obstarávaní bola už viac než tretina (36 percent) investormi ukončená a zadaná konkrétnym firmám, čo z celkového objemu predstavuje 23 percent v predpokladanej celkovej hodnote 1,03 miliardy EUR. Reálne však boli tieto zákazky zadané v celkovej hodnote 936 miliónov EUR, teda o 9 percent menej oproti pôvodnej predpokladanej hodnote pri vyhlásení. Viac než desatina (13 percent) z celkového objemu verejných obstarávaní bola neskôr zrušená. Po odčítaní zadaných a zrušených zákaziek zostávajú v procese obstarávania zákazky v celkovej hodnote 2,84 miliardy EUR. </w:t>
      </w:r>
    </w:p>
    <w:p w:rsidR="000933F8" w:rsidRDefault="000933F8" w:rsidP="000321DF">
      <w:pPr>
        <w:spacing w:after="0" w:line="360" w:lineRule="auto"/>
        <w:jc w:val="both"/>
        <w:rPr>
          <w:rStyle w:val="Hypertextovodkaz"/>
          <w:rFonts w:cs="Arial"/>
          <w:color w:val="auto"/>
          <w:u w:val="none"/>
        </w:rPr>
      </w:pPr>
    </w:p>
    <w:p w:rsidR="000933F8" w:rsidRDefault="000933F8" w:rsidP="000321DF">
      <w:pPr>
        <w:spacing w:after="0" w:line="360" w:lineRule="auto"/>
        <w:jc w:val="both"/>
        <w:rPr>
          <w:rStyle w:val="Hypertextovodkaz"/>
          <w:rFonts w:cs="Arial"/>
          <w:color w:val="auto"/>
          <w:u w:val="none"/>
        </w:rPr>
      </w:pPr>
      <w:r w:rsidRPr="000933F8">
        <w:rPr>
          <w:rStyle w:val="Hypertextovodkaz"/>
          <w:i/>
          <w:iCs/>
          <w:color w:val="auto"/>
          <w:u w:val="none"/>
        </w:rPr>
        <w:t>„Prepad v príprave verejných obstarávaní je alarmujúci, menovite v stavebníctve vidíme v tejto oblasti veľký útlm. Verím, že je to iba dôsledok predchádzajúcej nestability a povolebných zmien na Ministerstve dopravy a v roku 2017 sa snáď už situácia zlepší,“</w:t>
      </w:r>
      <w:r>
        <w:rPr>
          <w:rStyle w:val="Hypertextovodkaz"/>
          <w:color w:val="auto"/>
          <w:u w:val="none"/>
        </w:rPr>
        <w:t xml:space="preserve"> </w:t>
      </w:r>
      <w:r>
        <w:rPr>
          <w:rStyle w:val="Hypertextovodkaz"/>
          <w:rFonts w:cs="Arial"/>
          <w:color w:val="auto"/>
          <w:u w:val="none"/>
        </w:rPr>
        <w:t xml:space="preserve">uvádza </w:t>
      </w:r>
      <w:r w:rsidRPr="00C6628F">
        <w:rPr>
          <w:rStyle w:val="Hypertextovodkaz"/>
          <w:rFonts w:cs="Arial"/>
          <w:b/>
          <w:bCs/>
          <w:color w:val="auto"/>
          <w:u w:val="none"/>
        </w:rPr>
        <w:t>Miroslav Beka, riaditeľ spoločnosti HOCHTIEF SK</w:t>
      </w:r>
      <w:r w:rsidRPr="000B30BB">
        <w:rPr>
          <w:rStyle w:val="Hypertextovodkaz"/>
          <w:rFonts w:cs="Arial"/>
          <w:color w:val="auto"/>
          <w:u w:val="none"/>
        </w:rPr>
        <w:t>.</w:t>
      </w:r>
    </w:p>
    <w:p w:rsidR="000933F8" w:rsidRPr="00B25BCA" w:rsidRDefault="000933F8" w:rsidP="000321DF">
      <w:pPr>
        <w:spacing w:after="0" w:line="360" w:lineRule="auto"/>
        <w:jc w:val="both"/>
        <w:rPr>
          <w:rStyle w:val="Hypertextovodkaz"/>
          <w:rFonts w:cs="Arial"/>
          <w:color w:val="auto"/>
          <w:u w:val="none"/>
        </w:rPr>
      </w:pPr>
    </w:p>
    <w:p w:rsidR="000933F8" w:rsidRDefault="00B67186" w:rsidP="000321DF">
      <w:pPr>
        <w:spacing w:after="0" w:line="360" w:lineRule="auto"/>
        <w:jc w:val="both"/>
        <w:rPr>
          <w:rStyle w:val="Hypertextovodkaz"/>
          <w:color w:val="auto"/>
          <w:u w:val="none"/>
        </w:rPr>
      </w:pPr>
      <w:r>
        <w:rPr>
          <w:rStyle w:val="Hypertextovodkaz"/>
          <w:color w:val="auto"/>
          <w:u w:val="none"/>
        </w:rPr>
        <w:t xml:space="preserve">Ukončených a zadaných verejných obstarávaní konkrétnym firmám bolo v roku </w:t>
      </w:r>
      <w:r w:rsidR="00604546">
        <w:rPr>
          <w:rStyle w:val="Hypertextovodkaz"/>
          <w:color w:val="auto"/>
          <w:u w:val="none"/>
        </w:rPr>
        <w:t>2016 celkom 3</w:t>
      </w:r>
      <w:r>
        <w:rPr>
          <w:rStyle w:val="Hypertextovodkaz"/>
          <w:color w:val="auto"/>
          <w:u w:val="none"/>
        </w:rPr>
        <w:t> 739 v celkovej hodnote 4,01 miliardy EUR, čo v medziročnom porovnaní predstavuje takmer dvojpätinový (38,4 percenta) pokles ich počtu a zároveň šestnásťpercentný (16,5 percenta) pokles ich objemu</w:t>
      </w:r>
      <w:r w:rsidR="00604546">
        <w:rPr>
          <w:rStyle w:val="Hypertextovodkaz"/>
          <w:color w:val="auto"/>
          <w:u w:val="none"/>
        </w:rPr>
        <w:t xml:space="preserve">. </w:t>
      </w:r>
      <w:r w:rsidR="009A6E48">
        <w:rPr>
          <w:rStyle w:val="Hypertextovodkaz"/>
          <w:color w:val="auto"/>
          <w:u w:val="none"/>
        </w:rPr>
        <w:t>Aj v tomto prípade sa jedná o vôbec najnižšie hodnoty za posledné štyri roky, teda za sledované obdobie</w:t>
      </w:r>
      <w:r w:rsidR="00604546">
        <w:rPr>
          <w:rStyle w:val="Hypertextovodkaz"/>
          <w:color w:val="auto"/>
          <w:u w:val="none"/>
        </w:rPr>
        <w:t>. Medziročné porovnanie významne ovplyvnila zákazka obstarávateľa ŽSR z júla 2016 (Modernizácia trate Púchov – Žilina) v celkovej hodnote 365 miliónov EUR. Po modelovom odčítaní tejto zákazky dostaneme medziročný pokles hodnoty zadaných zákaziek o 23,9 percenta. Niektoré verejné obstarávania stále prebiehajú, a preto treba očakávať, že v ďalších mesiacoch dôjde ešte k aktualizácii a upresneniu dát.</w:t>
      </w:r>
    </w:p>
    <w:p w:rsidR="000933F8" w:rsidRDefault="000933F8" w:rsidP="000321DF">
      <w:pPr>
        <w:spacing w:after="0" w:line="360" w:lineRule="auto"/>
        <w:jc w:val="both"/>
        <w:rPr>
          <w:rStyle w:val="Hypertextovodkaz"/>
          <w:color w:val="auto"/>
          <w:u w:val="none"/>
        </w:rPr>
      </w:pPr>
    </w:p>
    <w:p w:rsidR="00604546" w:rsidRPr="00604546" w:rsidRDefault="000933F8" w:rsidP="000321DF">
      <w:pPr>
        <w:spacing w:after="0" w:line="360" w:lineRule="auto"/>
        <w:jc w:val="both"/>
        <w:rPr>
          <w:rStyle w:val="Hypertextovodkaz"/>
          <w:color w:val="auto"/>
          <w:u w:val="none"/>
        </w:rPr>
      </w:pPr>
      <w:r w:rsidRPr="000933F8">
        <w:rPr>
          <w:rStyle w:val="Hypertextovodkaz"/>
          <w:i/>
          <w:iCs/>
          <w:color w:val="auto"/>
          <w:u w:val="none"/>
        </w:rPr>
        <w:t>„Pokles v oblasti zadaných zákaziek bol v roku 2016 veľmi významný a to naviac už po výraznom prepade, ktorý sme zaznamenali v roku 2015. Pokiaľ sa nepodarí situáciu rýchlo zlepšiť, bude to mať výrazne negatívne a dlhodobé dôsledky na niektoré odbory ekonomiky, ktoré sú závislé predovšetkým na verejných zákazkách,“</w:t>
      </w:r>
      <w:r>
        <w:rPr>
          <w:rStyle w:val="Hypertextovodkaz"/>
          <w:color w:val="auto"/>
          <w:u w:val="none"/>
        </w:rPr>
        <w:t xml:space="preserve"> hovorí </w:t>
      </w:r>
      <w:r w:rsidRPr="000933F8">
        <w:rPr>
          <w:rStyle w:val="Hypertextovodkaz"/>
          <w:b/>
          <w:bCs/>
          <w:color w:val="auto"/>
          <w:u w:val="none"/>
        </w:rPr>
        <w:t xml:space="preserve">Jiří Vacek, </w:t>
      </w:r>
      <w:r w:rsidRPr="000933F8">
        <w:rPr>
          <w:rStyle w:val="Hypertextovodkaz"/>
          <w:rFonts w:cs="Arial"/>
          <w:b/>
          <w:bCs/>
          <w:color w:val="auto"/>
          <w:u w:val="none"/>
        </w:rPr>
        <w:t>riaditeľ spoločnosti</w:t>
      </w:r>
      <w:r>
        <w:rPr>
          <w:rStyle w:val="Hypertextovodkaz"/>
          <w:rFonts w:cs="Arial"/>
          <w:b/>
          <w:bCs/>
          <w:color w:val="auto"/>
          <w:u w:val="none"/>
        </w:rPr>
        <w:t xml:space="preserve"> </w:t>
      </w:r>
      <w:r w:rsidRPr="000933F8">
        <w:rPr>
          <w:rStyle w:val="Hypertextovodkaz"/>
          <w:rFonts w:cs="Arial"/>
          <w:b/>
          <w:bCs/>
          <w:color w:val="auto"/>
          <w:u w:val="none"/>
        </w:rPr>
        <w:t>CEEC Research s.r.o.</w:t>
      </w:r>
    </w:p>
    <w:p w:rsidR="00C7622D" w:rsidRPr="00B25BCA" w:rsidRDefault="00C7622D" w:rsidP="000321DF">
      <w:pPr>
        <w:spacing w:after="0" w:line="360" w:lineRule="auto"/>
        <w:jc w:val="both"/>
        <w:rPr>
          <w:rStyle w:val="Hypertextovodkaz"/>
          <w:rFonts w:cs="Arial"/>
          <w:color w:val="auto"/>
          <w:u w:val="none"/>
        </w:rPr>
      </w:pPr>
    </w:p>
    <w:p w:rsidR="00D077D7" w:rsidRPr="00B25BCA" w:rsidRDefault="00D077D7" w:rsidP="00D077D7">
      <w:pPr>
        <w:spacing w:after="0" w:line="240" w:lineRule="auto"/>
        <w:jc w:val="both"/>
        <w:rPr>
          <w:rFonts w:ascii="Arial" w:eastAsia="Times New Roman" w:hAnsi="Arial" w:cs="Times New Roman"/>
          <w:bCs/>
          <w:sz w:val="20"/>
          <w:szCs w:val="24"/>
          <w:lang w:eastAsia="cs-CZ"/>
        </w:rPr>
      </w:pPr>
      <w:r w:rsidRPr="00B25BCA">
        <w:rPr>
          <w:rFonts w:ascii="Arial" w:eastAsia="Times New Roman" w:hAnsi="Arial" w:cs="Times New Roman"/>
          <w:b/>
          <w:bCs/>
          <w:sz w:val="20"/>
          <w:szCs w:val="24"/>
          <w:lang w:eastAsia="cs-CZ"/>
        </w:rPr>
        <w:t>Počet a ob</w:t>
      </w:r>
      <w:r w:rsidR="00604546">
        <w:rPr>
          <w:rFonts w:ascii="Arial" w:eastAsia="Times New Roman" w:hAnsi="Arial" w:cs="Times New Roman"/>
          <w:b/>
          <w:bCs/>
          <w:sz w:val="20"/>
          <w:szCs w:val="24"/>
          <w:lang w:eastAsia="cs-CZ"/>
        </w:rPr>
        <w:t>jem ukončených verejných obstaráva</w:t>
      </w:r>
      <w:r w:rsidR="006B0F91" w:rsidRPr="00B25BCA">
        <w:rPr>
          <w:rFonts w:ascii="Arial" w:eastAsia="Times New Roman" w:hAnsi="Arial" w:cs="Times New Roman"/>
          <w:b/>
          <w:bCs/>
          <w:sz w:val="20"/>
          <w:szCs w:val="24"/>
          <w:lang w:eastAsia="cs-CZ"/>
        </w:rPr>
        <w:t>ní</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
        <w:gridCol w:w="2127"/>
        <w:gridCol w:w="1275"/>
        <w:gridCol w:w="825"/>
        <w:gridCol w:w="1443"/>
        <w:gridCol w:w="1276"/>
        <w:gridCol w:w="917"/>
        <w:gridCol w:w="1279"/>
      </w:tblGrid>
      <w:tr w:rsidR="00D077D7" w:rsidRPr="00B25BCA" w:rsidTr="005156F7">
        <w:trPr>
          <w:gridBefore w:val="1"/>
          <w:wBefore w:w="142" w:type="dxa"/>
          <w:cantSplit/>
          <w:trHeight w:val="284"/>
        </w:trPr>
        <w:tc>
          <w:tcPr>
            <w:tcW w:w="2127" w:type="dxa"/>
            <w:vMerge w:val="restart"/>
            <w:tcBorders>
              <w:top w:val="nil"/>
              <w:left w:val="nil"/>
            </w:tcBorders>
            <w:vAlign w:val="center"/>
          </w:tcPr>
          <w:p w:rsidR="00D077D7" w:rsidRPr="00B25BCA" w:rsidRDefault="00604546" w:rsidP="00D077D7">
            <w:pPr>
              <w:spacing w:after="0" w:line="240" w:lineRule="auto"/>
              <w:jc w:val="center"/>
              <w:rPr>
                <w:rFonts w:ascii="Arial" w:eastAsia="Times New Roman" w:hAnsi="Arial" w:cs="Times New Roman"/>
                <w:bCs/>
                <w:sz w:val="18"/>
                <w:szCs w:val="18"/>
                <w:lang w:eastAsia="cs-CZ"/>
              </w:rPr>
            </w:pPr>
            <w:r>
              <w:rPr>
                <w:rFonts w:ascii="Arial" w:eastAsia="Times New Roman" w:hAnsi="Arial" w:cs="Times New Roman"/>
                <w:bCs/>
                <w:sz w:val="18"/>
                <w:szCs w:val="18"/>
                <w:lang w:eastAsia="cs-CZ"/>
              </w:rPr>
              <w:t>Zákazky celko</w:t>
            </w:r>
            <w:r w:rsidR="006B0F91" w:rsidRPr="00B25BCA">
              <w:rPr>
                <w:rFonts w:ascii="Arial" w:eastAsia="Times New Roman" w:hAnsi="Arial" w:cs="Times New Roman"/>
                <w:bCs/>
                <w:sz w:val="18"/>
                <w:szCs w:val="18"/>
                <w:lang w:eastAsia="cs-CZ"/>
              </w:rPr>
              <w:t>m</w:t>
            </w:r>
          </w:p>
        </w:tc>
        <w:tc>
          <w:tcPr>
            <w:tcW w:w="3543" w:type="dxa"/>
            <w:gridSpan w:val="3"/>
            <w:vAlign w:val="center"/>
          </w:tcPr>
          <w:p w:rsidR="00D077D7" w:rsidRPr="00B25BCA" w:rsidRDefault="00D077D7" w:rsidP="00D077D7">
            <w:pPr>
              <w:spacing w:after="0" w:line="240" w:lineRule="auto"/>
              <w:jc w:val="center"/>
              <w:rPr>
                <w:rFonts w:ascii="Arial" w:eastAsia="Times New Roman" w:hAnsi="Arial" w:cs="Times New Roman"/>
                <w:bCs/>
                <w:sz w:val="18"/>
                <w:szCs w:val="18"/>
                <w:lang w:eastAsia="cs-CZ"/>
              </w:rPr>
            </w:pPr>
            <w:r w:rsidRPr="00B25BCA">
              <w:rPr>
                <w:rFonts w:ascii="Arial" w:eastAsia="Times New Roman" w:hAnsi="Arial" w:cs="Times New Roman"/>
                <w:bCs/>
                <w:sz w:val="18"/>
                <w:szCs w:val="18"/>
                <w:lang w:eastAsia="cs-CZ"/>
              </w:rPr>
              <w:t>Počet</w:t>
            </w:r>
          </w:p>
        </w:tc>
        <w:tc>
          <w:tcPr>
            <w:tcW w:w="3472" w:type="dxa"/>
            <w:gridSpan w:val="3"/>
            <w:vAlign w:val="center"/>
          </w:tcPr>
          <w:p w:rsidR="00D077D7" w:rsidRPr="00B25BCA" w:rsidRDefault="00D077D7" w:rsidP="00D077D7">
            <w:pPr>
              <w:spacing w:after="0" w:line="240" w:lineRule="auto"/>
              <w:jc w:val="center"/>
              <w:rPr>
                <w:rFonts w:ascii="Arial" w:eastAsia="Times New Roman" w:hAnsi="Arial" w:cs="Times New Roman"/>
                <w:bCs/>
                <w:sz w:val="18"/>
                <w:szCs w:val="18"/>
                <w:lang w:eastAsia="cs-CZ"/>
              </w:rPr>
            </w:pPr>
            <w:r w:rsidRPr="00B25BCA">
              <w:rPr>
                <w:rFonts w:ascii="Arial" w:eastAsia="Times New Roman" w:hAnsi="Arial" w:cs="Times New Roman"/>
                <w:bCs/>
                <w:sz w:val="18"/>
                <w:szCs w:val="18"/>
                <w:lang w:eastAsia="cs-CZ"/>
              </w:rPr>
              <w:t>Objem</w:t>
            </w:r>
          </w:p>
        </w:tc>
      </w:tr>
      <w:tr w:rsidR="00D077D7" w:rsidRPr="00B25BCA" w:rsidTr="005156F7">
        <w:trPr>
          <w:gridBefore w:val="1"/>
          <w:wBefore w:w="142" w:type="dxa"/>
          <w:cantSplit/>
          <w:trHeight w:val="284"/>
        </w:trPr>
        <w:tc>
          <w:tcPr>
            <w:tcW w:w="2127" w:type="dxa"/>
            <w:vMerge/>
            <w:tcBorders>
              <w:top w:val="nil"/>
              <w:left w:val="nil"/>
            </w:tcBorders>
          </w:tcPr>
          <w:p w:rsidR="00D077D7" w:rsidRPr="00B25BCA" w:rsidRDefault="00D077D7" w:rsidP="00D077D7">
            <w:pPr>
              <w:spacing w:after="0" w:line="240" w:lineRule="auto"/>
              <w:jc w:val="center"/>
              <w:rPr>
                <w:rFonts w:ascii="Arial" w:eastAsia="Times New Roman" w:hAnsi="Arial" w:cs="Times New Roman"/>
                <w:bCs/>
                <w:sz w:val="18"/>
                <w:szCs w:val="18"/>
                <w:lang w:eastAsia="cs-CZ"/>
              </w:rPr>
            </w:pPr>
          </w:p>
        </w:tc>
        <w:tc>
          <w:tcPr>
            <w:tcW w:w="1275" w:type="dxa"/>
            <w:vAlign w:val="center"/>
          </w:tcPr>
          <w:p w:rsidR="00D077D7" w:rsidRPr="00B25BCA" w:rsidRDefault="00D077D7" w:rsidP="00D077D7">
            <w:pPr>
              <w:spacing w:after="0" w:line="240" w:lineRule="auto"/>
              <w:jc w:val="center"/>
              <w:rPr>
                <w:rFonts w:ascii="Arial" w:eastAsia="Times New Roman" w:hAnsi="Arial" w:cs="Times New Roman"/>
                <w:bCs/>
                <w:sz w:val="18"/>
                <w:szCs w:val="18"/>
                <w:lang w:eastAsia="cs-CZ"/>
              </w:rPr>
            </w:pPr>
            <w:r w:rsidRPr="00B25BCA">
              <w:rPr>
                <w:rFonts w:ascii="Arial" w:eastAsia="Times New Roman" w:hAnsi="Arial" w:cs="Times New Roman"/>
                <w:bCs/>
                <w:sz w:val="18"/>
                <w:szCs w:val="18"/>
                <w:lang w:eastAsia="cs-CZ"/>
              </w:rPr>
              <w:t>počet</w:t>
            </w:r>
          </w:p>
        </w:tc>
        <w:tc>
          <w:tcPr>
            <w:tcW w:w="2268" w:type="dxa"/>
            <w:gridSpan w:val="2"/>
            <w:tcBorders>
              <w:bottom w:val="single" w:sz="4" w:space="0" w:color="auto"/>
            </w:tcBorders>
            <w:vAlign w:val="center"/>
          </w:tcPr>
          <w:p w:rsidR="00D077D7" w:rsidRPr="00B25BCA" w:rsidRDefault="00D077D7" w:rsidP="00604546">
            <w:pPr>
              <w:spacing w:after="0" w:line="240" w:lineRule="auto"/>
              <w:jc w:val="center"/>
              <w:rPr>
                <w:rFonts w:ascii="Arial" w:eastAsia="Times New Roman" w:hAnsi="Arial" w:cs="Times New Roman"/>
                <w:bCs/>
                <w:sz w:val="18"/>
                <w:szCs w:val="18"/>
                <w:lang w:eastAsia="cs-CZ"/>
              </w:rPr>
            </w:pPr>
            <w:r w:rsidRPr="00B25BCA">
              <w:rPr>
                <w:rFonts w:ascii="Arial" w:eastAsia="Times New Roman" w:hAnsi="Arial" w:cs="Times New Roman"/>
                <w:bCs/>
                <w:sz w:val="18"/>
                <w:szCs w:val="18"/>
                <w:lang w:eastAsia="cs-CZ"/>
              </w:rPr>
              <w:t>me</w:t>
            </w:r>
            <w:r w:rsidR="00604546">
              <w:rPr>
                <w:rFonts w:ascii="Arial" w:eastAsia="Times New Roman" w:hAnsi="Arial" w:cs="Times New Roman"/>
                <w:bCs/>
                <w:sz w:val="18"/>
                <w:szCs w:val="18"/>
                <w:lang w:eastAsia="cs-CZ"/>
              </w:rPr>
              <w:t>dziročná zme</w:t>
            </w:r>
            <w:r w:rsidRPr="00B25BCA">
              <w:rPr>
                <w:rFonts w:ascii="Arial" w:eastAsia="Times New Roman" w:hAnsi="Arial" w:cs="Times New Roman"/>
                <w:bCs/>
                <w:sz w:val="18"/>
                <w:szCs w:val="18"/>
                <w:lang w:eastAsia="cs-CZ"/>
              </w:rPr>
              <w:t>na v %</w:t>
            </w:r>
          </w:p>
        </w:tc>
        <w:tc>
          <w:tcPr>
            <w:tcW w:w="1276" w:type="dxa"/>
            <w:tcBorders>
              <w:bottom w:val="single" w:sz="4" w:space="0" w:color="auto"/>
            </w:tcBorders>
            <w:vAlign w:val="center"/>
          </w:tcPr>
          <w:p w:rsidR="00D077D7" w:rsidRPr="00B25BCA" w:rsidRDefault="00D077D7" w:rsidP="00604546">
            <w:pPr>
              <w:spacing w:after="0" w:line="240" w:lineRule="auto"/>
              <w:jc w:val="center"/>
              <w:rPr>
                <w:rFonts w:ascii="Arial" w:eastAsia="Times New Roman" w:hAnsi="Arial" w:cs="Times New Roman"/>
                <w:bCs/>
                <w:sz w:val="18"/>
                <w:szCs w:val="18"/>
                <w:lang w:eastAsia="cs-CZ"/>
              </w:rPr>
            </w:pPr>
            <w:r w:rsidRPr="00B25BCA">
              <w:rPr>
                <w:rFonts w:ascii="Arial" w:eastAsia="Times New Roman" w:hAnsi="Arial" w:cs="Times New Roman"/>
                <w:bCs/>
                <w:sz w:val="18"/>
                <w:szCs w:val="18"/>
                <w:lang w:eastAsia="cs-CZ"/>
              </w:rPr>
              <w:t>objem v</w:t>
            </w:r>
            <w:r w:rsidR="00604546">
              <w:rPr>
                <w:rFonts w:ascii="Arial" w:eastAsia="Times New Roman" w:hAnsi="Arial" w:cs="Times New Roman"/>
                <w:bCs/>
                <w:sz w:val="18"/>
                <w:szCs w:val="18"/>
                <w:lang w:eastAsia="cs-CZ"/>
              </w:rPr>
              <w:t> </w:t>
            </w:r>
            <w:r w:rsidRPr="00B25BCA">
              <w:rPr>
                <w:rFonts w:ascii="Arial" w:eastAsia="Times New Roman" w:hAnsi="Arial" w:cs="Times New Roman"/>
                <w:bCs/>
                <w:sz w:val="18"/>
                <w:szCs w:val="18"/>
                <w:lang w:eastAsia="cs-CZ"/>
              </w:rPr>
              <w:t>mil</w:t>
            </w:r>
            <w:r w:rsidR="00604546">
              <w:rPr>
                <w:rFonts w:ascii="Arial" w:eastAsia="Times New Roman" w:hAnsi="Arial" w:cs="Times New Roman"/>
                <w:bCs/>
                <w:sz w:val="18"/>
                <w:szCs w:val="18"/>
                <w:lang w:eastAsia="cs-CZ"/>
              </w:rPr>
              <w:t xml:space="preserve">. </w:t>
            </w:r>
            <w:r w:rsidRPr="00B25BCA">
              <w:rPr>
                <w:rFonts w:ascii="Arial" w:eastAsia="Times New Roman" w:hAnsi="Arial" w:cs="Times New Roman"/>
                <w:bCs/>
                <w:sz w:val="18"/>
                <w:szCs w:val="18"/>
                <w:lang w:eastAsia="cs-CZ"/>
              </w:rPr>
              <w:t>EUR</w:t>
            </w:r>
          </w:p>
        </w:tc>
        <w:tc>
          <w:tcPr>
            <w:tcW w:w="2196" w:type="dxa"/>
            <w:gridSpan w:val="2"/>
            <w:tcBorders>
              <w:bottom w:val="single" w:sz="4" w:space="0" w:color="auto"/>
            </w:tcBorders>
            <w:vAlign w:val="center"/>
          </w:tcPr>
          <w:p w:rsidR="00D077D7" w:rsidRPr="00B25BCA" w:rsidRDefault="00D077D7" w:rsidP="00604546">
            <w:pPr>
              <w:spacing w:after="0" w:line="240" w:lineRule="auto"/>
              <w:jc w:val="center"/>
              <w:rPr>
                <w:rFonts w:ascii="Arial" w:eastAsia="Times New Roman" w:hAnsi="Arial" w:cs="Times New Roman"/>
                <w:bCs/>
                <w:sz w:val="18"/>
                <w:szCs w:val="18"/>
                <w:lang w:eastAsia="cs-CZ"/>
              </w:rPr>
            </w:pPr>
            <w:r w:rsidRPr="00B25BCA">
              <w:rPr>
                <w:rFonts w:ascii="Arial" w:eastAsia="Times New Roman" w:hAnsi="Arial" w:cs="Times New Roman"/>
                <w:bCs/>
                <w:sz w:val="18"/>
                <w:szCs w:val="18"/>
                <w:lang w:eastAsia="cs-CZ"/>
              </w:rPr>
              <w:t>me</w:t>
            </w:r>
            <w:r w:rsidR="00604546">
              <w:rPr>
                <w:rFonts w:ascii="Arial" w:eastAsia="Times New Roman" w:hAnsi="Arial" w:cs="Times New Roman"/>
                <w:bCs/>
                <w:sz w:val="18"/>
                <w:szCs w:val="18"/>
                <w:lang w:eastAsia="cs-CZ"/>
              </w:rPr>
              <w:t>dziročná zme</w:t>
            </w:r>
            <w:r w:rsidRPr="00B25BCA">
              <w:rPr>
                <w:rFonts w:ascii="Arial" w:eastAsia="Times New Roman" w:hAnsi="Arial" w:cs="Times New Roman"/>
                <w:bCs/>
                <w:sz w:val="18"/>
                <w:szCs w:val="18"/>
                <w:lang w:eastAsia="cs-CZ"/>
              </w:rPr>
              <w:t>na v %</w:t>
            </w:r>
          </w:p>
        </w:tc>
      </w:tr>
      <w:tr w:rsidR="006B0F91" w:rsidRPr="00B25BCA" w:rsidTr="005156F7">
        <w:trPr>
          <w:cantSplit/>
          <w:trHeight w:val="284"/>
        </w:trPr>
        <w:tc>
          <w:tcPr>
            <w:tcW w:w="2269" w:type="dxa"/>
            <w:gridSpan w:val="2"/>
            <w:vAlign w:val="center"/>
          </w:tcPr>
          <w:p w:rsidR="006B0F91" w:rsidRPr="00B25BCA" w:rsidRDefault="006B0F91" w:rsidP="006B0F91">
            <w:pPr>
              <w:spacing w:after="0" w:line="240" w:lineRule="auto"/>
              <w:jc w:val="center"/>
              <w:rPr>
                <w:rFonts w:ascii="Arial" w:hAnsi="Arial" w:cs="Arial"/>
                <w:sz w:val="18"/>
                <w:szCs w:val="18"/>
              </w:rPr>
            </w:pPr>
            <w:r w:rsidRPr="00B25BCA">
              <w:rPr>
                <w:rFonts w:ascii="Arial" w:hAnsi="Arial" w:cs="Arial"/>
                <w:sz w:val="18"/>
                <w:szCs w:val="18"/>
              </w:rPr>
              <w:t>2012</w:t>
            </w:r>
          </w:p>
        </w:tc>
        <w:tc>
          <w:tcPr>
            <w:tcW w:w="1275" w:type="dxa"/>
            <w:tcBorders>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7 997</w:t>
            </w:r>
          </w:p>
        </w:tc>
        <w:tc>
          <w:tcPr>
            <w:tcW w:w="825" w:type="dxa"/>
            <w:tcBorders>
              <w:left w:val="single" w:sz="4" w:space="0" w:color="auto"/>
              <w:right w:val="nil"/>
            </w:tcBorders>
            <w:vAlign w:val="center"/>
          </w:tcPr>
          <w:p w:rsidR="006B0F91" w:rsidRPr="00B25BCA" w:rsidRDefault="006B0F91" w:rsidP="006B0F91">
            <w:pPr>
              <w:spacing w:after="0" w:line="240" w:lineRule="auto"/>
              <w:jc w:val="center"/>
              <w:rPr>
                <w:rFonts w:ascii="Arial" w:hAnsi="Arial" w:cs="Arial"/>
                <w:sz w:val="18"/>
                <w:szCs w:val="18"/>
              </w:rPr>
            </w:pPr>
          </w:p>
        </w:tc>
        <w:tc>
          <w:tcPr>
            <w:tcW w:w="1443" w:type="dxa"/>
            <w:tcBorders>
              <w:left w:val="nil"/>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w:t>
            </w:r>
          </w:p>
        </w:tc>
        <w:tc>
          <w:tcPr>
            <w:tcW w:w="1276" w:type="dxa"/>
            <w:tcBorders>
              <w:left w:val="single" w:sz="4" w:space="0" w:color="auto"/>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4 231</w:t>
            </w:r>
          </w:p>
        </w:tc>
        <w:tc>
          <w:tcPr>
            <w:tcW w:w="917" w:type="dxa"/>
            <w:tcBorders>
              <w:left w:val="single" w:sz="4" w:space="0" w:color="auto"/>
              <w:right w:val="nil"/>
            </w:tcBorders>
            <w:vAlign w:val="center"/>
          </w:tcPr>
          <w:p w:rsidR="006B0F91" w:rsidRPr="00B25BCA" w:rsidRDefault="006B0F91" w:rsidP="006B0F91">
            <w:pPr>
              <w:spacing w:after="0" w:line="240" w:lineRule="auto"/>
              <w:jc w:val="center"/>
              <w:rPr>
                <w:rFonts w:ascii="Arial" w:hAnsi="Arial" w:cs="Arial"/>
                <w:sz w:val="18"/>
                <w:szCs w:val="18"/>
              </w:rPr>
            </w:pPr>
          </w:p>
        </w:tc>
        <w:tc>
          <w:tcPr>
            <w:tcW w:w="1279" w:type="dxa"/>
            <w:tcBorders>
              <w:left w:val="nil"/>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w:t>
            </w:r>
          </w:p>
        </w:tc>
      </w:tr>
      <w:tr w:rsidR="006B0F91" w:rsidRPr="00B25BCA" w:rsidTr="005156F7">
        <w:trPr>
          <w:cantSplit/>
          <w:trHeight w:val="284"/>
        </w:trPr>
        <w:tc>
          <w:tcPr>
            <w:tcW w:w="2269" w:type="dxa"/>
            <w:gridSpan w:val="2"/>
            <w:vAlign w:val="center"/>
          </w:tcPr>
          <w:p w:rsidR="006B0F91" w:rsidRPr="00B25BCA" w:rsidRDefault="006B0F91" w:rsidP="006B0F91">
            <w:pPr>
              <w:spacing w:after="0" w:line="240" w:lineRule="auto"/>
              <w:jc w:val="center"/>
              <w:rPr>
                <w:rFonts w:ascii="Arial" w:hAnsi="Arial" w:cs="Arial"/>
                <w:sz w:val="18"/>
                <w:szCs w:val="18"/>
              </w:rPr>
            </w:pPr>
            <w:r w:rsidRPr="00B25BCA">
              <w:rPr>
                <w:rFonts w:ascii="Arial" w:hAnsi="Arial" w:cs="Arial"/>
                <w:sz w:val="18"/>
                <w:szCs w:val="18"/>
              </w:rPr>
              <w:t>2013</w:t>
            </w:r>
          </w:p>
        </w:tc>
        <w:tc>
          <w:tcPr>
            <w:tcW w:w="1275" w:type="dxa"/>
            <w:tcBorders>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8 615</w:t>
            </w:r>
          </w:p>
        </w:tc>
        <w:tc>
          <w:tcPr>
            <w:tcW w:w="825" w:type="dxa"/>
            <w:tcBorders>
              <w:left w:val="single" w:sz="4" w:space="0" w:color="auto"/>
              <w:right w:val="nil"/>
            </w:tcBorders>
            <w:vAlign w:val="center"/>
          </w:tcPr>
          <w:p w:rsidR="006B0F91" w:rsidRPr="00B25BCA" w:rsidRDefault="006B0F91" w:rsidP="006B0F91">
            <w:pPr>
              <w:spacing w:after="0" w:line="240" w:lineRule="auto"/>
              <w:jc w:val="center"/>
              <w:rPr>
                <w:rFonts w:ascii="Arial" w:hAnsi="Arial" w:cs="Arial"/>
                <w:sz w:val="18"/>
                <w:szCs w:val="18"/>
              </w:rPr>
            </w:pPr>
            <w:r w:rsidRPr="00B25BCA">
              <w:rPr>
                <w:bCs/>
                <w:color w:val="92D050"/>
                <w:sz w:val="24"/>
              </w:rPr>
              <w:sym w:font="Wingdings 3" w:char="F0C7"/>
            </w:r>
          </w:p>
        </w:tc>
        <w:tc>
          <w:tcPr>
            <w:tcW w:w="1443" w:type="dxa"/>
            <w:tcBorders>
              <w:left w:val="nil"/>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+7,7</w:t>
            </w:r>
          </w:p>
        </w:tc>
        <w:tc>
          <w:tcPr>
            <w:tcW w:w="1276" w:type="dxa"/>
            <w:tcBorders>
              <w:left w:val="single" w:sz="4" w:space="0" w:color="auto"/>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6 407</w:t>
            </w:r>
          </w:p>
        </w:tc>
        <w:tc>
          <w:tcPr>
            <w:tcW w:w="917" w:type="dxa"/>
            <w:tcBorders>
              <w:left w:val="single" w:sz="4" w:space="0" w:color="auto"/>
              <w:right w:val="nil"/>
            </w:tcBorders>
            <w:vAlign w:val="center"/>
          </w:tcPr>
          <w:p w:rsidR="006B0F91" w:rsidRPr="00B25BCA" w:rsidRDefault="006B0F91" w:rsidP="006B0F91">
            <w:pPr>
              <w:spacing w:after="0" w:line="240" w:lineRule="auto"/>
              <w:jc w:val="center"/>
              <w:rPr>
                <w:bCs/>
                <w:color w:val="92D050"/>
                <w:sz w:val="24"/>
              </w:rPr>
            </w:pPr>
            <w:r w:rsidRPr="00B25BCA">
              <w:rPr>
                <w:bCs/>
                <w:color w:val="92D050"/>
                <w:sz w:val="24"/>
              </w:rPr>
              <w:sym w:font="Wingdings 3" w:char="F0C7"/>
            </w:r>
          </w:p>
        </w:tc>
        <w:tc>
          <w:tcPr>
            <w:tcW w:w="1279" w:type="dxa"/>
            <w:tcBorders>
              <w:left w:val="nil"/>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+51,4</w:t>
            </w:r>
          </w:p>
        </w:tc>
      </w:tr>
      <w:tr w:rsidR="006B0F91" w:rsidRPr="00B25BCA" w:rsidTr="005156F7">
        <w:trPr>
          <w:cantSplit/>
          <w:trHeight w:val="284"/>
        </w:trPr>
        <w:tc>
          <w:tcPr>
            <w:tcW w:w="2269" w:type="dxa"/>
            <w:gridSpan w:val="2"/>
            <w:vAlign w:val="center"/>
          </w:tcPr>
          <w:p w:rsidR="006B0F91" w:rsidRPr="00B25BCA" w:rsidRDefault="006B0F91" w:rsidP="006B0F91">
            <w:pPr>
              <w:spacing w:after="0" w:line="240" w:lineRule="auto"/>
              <w:jc w:val="center"/>
              <w:rPr>
                <w:rFonts w:ascii="Arial" w:hAnsi="Arial" w:cs="Arial"/>
                <w:sz w:val="18"/>
                <w:szCs w:val="18"/>
              </w:rPr>
            </w:pPr>
            <w:r w:rsidRPr="00B25BCA">
              <w:rPr>
                <w:rFonts w:ascii="Arial" w:hAnsi="Arial" w:cs="Arial"/>
                <w:sz w:val="18"/>
                <w:szCs w:val="18"/>
              </w:rPr>
              <w:t>2014</w:t>
            </w:r>
          </w:p>
        </w:tc>
        <w:tc>
          <w:tcPr>
            <w:tcW w:w="1275" w:type="dxa"/>
            <w:tcBorders>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5 964</w:t>
            </w:r>
          </w:p>
        </w:tc>
        <w:tc>
          <w:tcPr>
            <w:tcW w:w="825" w:type="dxa"/>
            <w:tcBorders>
              <w:left w:val="single" w:sz="4" w:space="0" w:color="auto"/>
              <w:right w:val="nil"/>
            </w:tcBorders>
            <w:vAlign w:val="center"/>
          </w:tcPr>
          <w:p w:rsidR="006B0F91" w:rsidRPr="00B25BCA" w:rsidRDefault="006B0F91" w:rsidP="006B0F91">
            <w:pPr>
              <w:spacing w:after="0" w:line="240" w:lineRule="auto"/>
              <w:jc w:val="center"/>
              <w:rPr>
                <w:b/>
                <w:bCs/>
                <w:color w:val="FF0000"/>
                <w:sz w:val="24"/>
              </w:rPr>
            </w:pPr>
            <w:r w:rsidRPr="00B25BCA">
              <w:rPr>
                <w:b/>
                <w:bCs/>
                <w:color w:val="FF0000"/>
                <w:sz w:val="24"/>
              </w:rPr>
              <w:sym w:font="Wingdings 3" w:char="F0C8"/>
            </w:r>
          </w:p>
        </w:tc>
        <w:tc>
          <w:tcPr>
            <w:tcW w:w="1443" w:type="dxa"/>
            <w:tcBorders>
              <w:left w:val="nil"/>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-30,8</w:t>
            </w:r>
          </w:p>
        </w:tc>
        <w:tc>
          <w:tcPr>
            <w:tcW w:w="1276" w:type="dxa"/>
            <w:tcBorders>
              <w:left w:val="single" w:sz="4" w:space="0" w:color="auto"/>
              <w:right w:val="single" w:sz="4" w:space="0" w:color="auto"/>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6 503</w:t>
            </w:r>
          </w:p>
        </w:tc>
        <w:tc>
          <w:tcPr>
            <w:tcW w:w="917" w:type="dxa"/>
            <w:tcBorders>
              <w:left w:val="single" w:sz="4" w:space="0" w:color="auto"/>
              <w:right w:val="nil"/>
            </w:tcBorders>
            <w:vAlign w:val="center"/>
          </w:tcPr>
          <w:p w:rsidR="006B0F91" w:rsidRPr="00B25BCA" w:rsidRDefault="006B0F91" w:rsidP="006B0F91">
            <w:pPr>
              <w:spacing w:after="0" w:line="240" w:lineRule="auto"/>
              <w:jc w:val="center"/>
              <w:rPr>
                <w:bCs/>
                <w:color w:val="92D050"/>
                <w:sz w:val="24"/>
              </w:rPr>
            </w:pPr>
            <w:r w:rsidRPr="00B25BCA">
              <w:rPr>
                <w:bCs/>
                <w:color w:val="92D050"/>
                <w:sz w:val="24"/>
              </w:rPr>
              <w:sym w:font="Wingdings 3" w:char="F0C7"/>
            </w:r>
          </w:p>
        </w:tc>
        <w:tc>
          <w:tcPr>
            <w:tcW w:w="1279" w:type="dxa"/>
            <w:tcBorders>
              <w:left w:val="nil"/>
            </w:tcBorders>
            <w:tcMar>
              <w:right w:w="397" w:type="dxa"/>
            </w:tcMar>
            <w:vAlign w:val="center"/>
          </w:tcPr>
          <w:p w:rsidR="006B0F91" w:rsidRPr="00B25BCA" w:rsidRDefault="006B0F91" w:rsidP="006B0F91">
            <w:pPr>
              <w:spacing w:after="0" w:line="240" w:lineRule="auto"/>
              <w:jc w:val="right"/>
              <w:rPr>
                <w:rFonts w:ascii="Arial" w:hAnsi="Arial" w:cs="Arial"/>
                <w:sz w:val="18"/>
                <w:szCs w:val="18"/>
              </w:rPr>
            </w:pPr>
            <w:r w:rsidRPr="00B25BCA">
              <w:rPr>
                <w:rFonts w:ascii="Arial" w:hAnsi="Arial" w:cs="Arial"/>
                <w:sz w:val="18"/>
                <w:szCs w:val="18"/>
              </w:rPr>
              <w:t>+1,5</w:t>
            </w:r>
          </w:p>
        </w:tc>
      </w:tr>
      <w:tr w:rsidR="000D1365" w:rsidRPr="00B25BCA" w:rsidTr="005156F7">
        <w:trPr>
          <w:cantSplit/>
          <w:trHeight w:val="284"/>
        </w:trPr>
        <w:tc>
          <w:tcPr>
            <w:tcW w:w="2269" w:type="dxa"/>
            <w:gridSpan w:val="2"/>
            <w:vAlign w:val="center"/>
          </w:tcPr>
          <w:p w:rsidR="000D1365" w:rsidRPr="00B25BCA" w:rsidRDefault="000D1365" w:rsidP="000D1365">
            <w:pPr>
              <w:spacing w:after="0" w:line="240" w:lineRule="auto"/>
              <w:jc w:val="center"/>
              <w:rPr>
                <w:rFonts w:ascii="Arial" w:hAnsi="Arial" w:cs="Arial"/>
                <w:sz w:val="18"/>
                <w:szCs w:val="18"/>
              </w:rPr>
            </w:pPr>
            <w:r w:rsidRPr="00B25BCA">
              <w:rPr>
                <w:rFonts w:ascii="Arial" w:hAnsi="Arial" w:cs="Arial"/>
                <w:sz w:val="18"/>
                <w:szCs w:val="18"/>
              </w:rPr>
              <w:t>2015</w:t>
            </w:r>
          </w:p>
        </w:tc>
        <w:tc>
          <w:tcPr>
            <w:tcW w:w="1275" w:type="dxa"/>
            <w:tcBorders>
              <w:right w:val="single" w:sz="4" w:space="0" w:color="auto"/>
            </w:tcBorders>
            <w:tcMar>
              <w:right w:w="397" w:type="dxa"/>
            </w:tcMar>
            <w:vAlign w:val="center"/>
          </w:tcPr>
          <w:p w:rsidR="000D1365" w:rsidRPr="00B25BCA" w:rsidRDefault="000D1365" w:rsidP="000D1365">
            <w:pPr>
              <w:spacing w:after="0" w:line="240" w:lineRule="auto"/>
              <w:jc w:val="right"/>
              <w:rPr>
                <w:rFonts w:ascii="Arial" w:hAnsi="Arial" w:cs="Arial"/>
                <w:sz w:val="18"/>
                <w:szCs w:val="18"/>
              </w:rPr>
            </w:pPr>
            <w:r w:rsidRPr="00B25BCA">
              <w:rPr>
                <w:rFonts w:ascii="Arial" w:hAnsi="Arial" w:cs="Arial"/>
                <w:sz w:val="18"/>
                <w:szCs w:val="18"/>
              </w:rPr>
              <w:t>6 065</w:t>
            </w:r>
          </w:p>
        </w:tc>
        <w:tc>
          <w:tcPr>
            <w:tcW w:w="825" w:type="dxa"/>
            <w:tcBorders>
              <w:left w:val="single" w:sz="4" w:space="0" w:color="auto"/>
              <w:right w:val="nil"/>
            </w:tcBorders>
            <w:vAlign w:val="center"/>
          </w:tcPr>
          <w:p w:rsidR="000D1365" w:rsidRPr="00B25BCA" w:rsidRDefault="000D1365" w:rsidP="000D1365">
            <w:pPr>
              <w:spacing w:after="0" w:line="240" w:lineRule="auto"/>
              <w:jc w:val="center"/>
              <w:rPr>
                <w:rFonts w:ascii="Arial" w:hAnsi="Arial" w:cs="Arial"/>
                <w:sz w:val="18"/>
                <w:szCs w:val="18"/>
              </w:rPr>
            </w:pPr>
            <w:r w:rsidRPr="00B25BCA">
              <w:rPr>
                <w:bCs/>
                <w:color w:val="92D050"/>
                <w:sz w:val="24"/>
              </w:rPr>
              <w:sym w:font="Wingdings 3" w:char="F0C7"/>
            </w:r>
          </w:p>
        </w:tc>
        <w:tc>
          <w:tcPr>
            <w:tcW w:w="1443" w:type="dxa"/>
            <w:tcBorders>
              <w:left w:val="nil"/>
              <w:right w:val="single" w:sz="4" w:space="0" w:color="auto"/>
            </w:tcBorders>
            <w:tcMar>
              <w:right w:w="397" w:type="dxa"/>
            </w:tcMar>
            <w:vAlign w:val="center"/>
          </w:tcPr>
          <w:p w:rsidR="000D1365" w:rsidRPr="00B25BCA" w:rsidRDefault="000D1365" w:rsidP="000D1365">
            <w:pPr>
              <w:spacing w:after="0" w:line="240" w:lineRule="auto"/>
              <w:jc w:val="right"/>
              <w:rPr>
                <w:rFonts w:ascii="Arial" w:hAnsi="Arial" w:cs="Arial"/>
                <w:sz w:val="18"/>
                <w:szCs w:val="18"/>
              </w:rPr>
            </w:pPr>
            <w:r w:rsidRPr="00B25BCA">
              <w:rPr>
                <w:rFonts w:ascii="Arial" w:hAnsi="Arial" w:cs="Arial"/>
                <w:sz w:val="18"/>
                <w:szCs w:val="18"/>
              </w:rPr>
              <w:t>+1,7</w:t>
            </w:r>
          </w:p>
        </w:tc>
        <w:tc>
          <w:tcPr>
            <w:tcW w:w="1276" w:type="dxa"/>
            <w:tcBorders>
              <w:left w:val="single" w:sz="4" w:space="0" w:color="auto"/>
              <w:right w:val="single" w:sz="4" w:space="0" w:color="auto"/>
            </w:tcBorders>
            <w:tcMar>
              <w:right w:w="397" w:type="dxa"/>
            </w:tcMar>
            <w:vAlign w:val="center"/>
          </w:tcPr>
          <w:p w:rsidR="000D1365" w:rsidRPr="00B25BCA" w:rsidRDefault="000D1365" w:rsidP="000D1365">
            <w:pPr>
              <w:spacing w:after="0" w:line="240" w:lineRule="auto"/>
              <w:jc w:val="right"/>
              <w:rPr>
                <w:rFonts w:ascii="Arial" w:hAnsi="Arial" w:cs="Arial"/>
                <w:sz w:val="18"/>
                <w:szCs w:val="18"/>
              </w:rPr>
            </w:pPr>
            <w:r w:rsidRPr="00B25BCA">
              <w:rPr>
                <w:rFonts w:ascii="Arial" w:hAnsi="Arial" w:cs="Arial"/>
                <w:sz w:val="18"/>
                <w:szCs w:val="18"/>
              </w:rPr>
              <w:t>4 880</w:t>
            </w:r>
          </w:p>
        </w:tc>
        <w:tc>
          <w:tcPr>
            <w:tcW w:w="917" w:type="dxa"/>
            <w:tcBorders>
              <w:left w:val="single" w:sz="4" w:space="0" w:color="auto"/>
              <w:right w:val="nil"/>
            </w:tcBorders>
            <w:vAlign w:val="center"/>
          </w:tcPr>
          <w:p w:rsidR="000D1365" w:rsidRPr="00B25BCA" w:rsidRDefault="000D1365" w:rsidP="000D1365">
            <w:pPr>
              <w:spacing w:after="0" w:line="240" w:lineRule="auto"/>
              <w:jc w:val="center"/>
              <w:rPr>
                <w:rFonts w:ascii="Arial" w:hAnsi="Arial" w:cs="Arial"/>
                <w:sz w:val="18"/>
                <w:szCs w:val="18"/>
              </w:rPr>
            </w:pPr>
            <w:r w:rsidRPr="00B25BCA">
              <w:rPr>
                <w:b/>
                <w:bCs/>
                <w:color w:val="FF0000"/>
                <w:sz w:val="24"/>
              </w:rPr>
              <w:sym w:font="Wingdings 3" w:char="F0C8"/>
            </w:r>
          </w:p>
        </w:tc>
        <w:tc>
          <w:tcPr>
            <w:tcW w:w="1279" w:type="dxa"/>
            <w:tcBorders>
              <w:left w:val="nil"/>
            </w:tcBorders>
            <w:tcMar>
              <w:right w:w="397" w:type="dxa"/>
            </w:tcMar>
            <w:vAlign w:val="center"/>
          </w:tcPr>
          <w:p w:rsidR="000D1365" w:rsidRPr="00B25BCA" w:rsidRDefault="000D1365" w:rsidP="000D1365">
            <w:pPr>
              <w:spacing w:after="0" w:line="240" w:lineRule="auto"/>
              <w:jc w:val="right"/>
              <w:rPr>
                <w:rFonts w:ascii="Arial" w:hAnsi="Arial" w:cs="Arial"/>
                <w:sz w:val="18"/>
                <w:szCs w:val="18"/>
              </w:rPr>
            </w:pPr>
            <w:r w:rsidRPr="00B25BCA">
              <w:rPr>
                <w:rFonts w:ascii="Arial" w:hAnsi="Arial" w:cs="Arial"/>
                <w:sz w:val="18"/>
                <w:szCs w:val="18"/>
              </w:rPr>
              <w:t>-25,0</w:t>
            </w:r>
          </w:p>
        </w:tc>
      </w:tr>
      <w:tr w:rsidR="00C8623D" w:rsidRPr="00B25BCA" w:rsidTr="005156F7">
        <w:trPr>
          <w:cantSplit/>
          <w:trHeight w:val="284"/>
        </w:trPr>
        <w:tc>
          <w:tcPr>
            <w:tcW w:w="2269" w:type="dxa"/>
            <w:gridSpan w:val="2"/>
            <w:vAlign w:val="center"/>
          </w:tcPr>
          <w:p w:rsidR="00C8623D" w:rsidRPr="00B25BCA" w:rsidRDefault="00C8623D" w:rsidP="00C8623D">
            <w:pPr>
              <w:spacing w:after="0" w:line="240" w:lineRule="auto"/>
              <w:jc w:val="center"/>
              <w:rPr>
                <w:rFonts w:ascii="Arial" w:hAnsi="Arial" w:cs="Arial"/>
                <w:b/>
                <w:bCs/>
                <w:sz w:val="18"/>
                <w:szCs w:val="18"/>
              </w:rPr>
            </w:pPr>
            <w:r w:rsidRPr="00B25BCA">
              <w:rPr>
                <w:rFonts w:ascii="Arial" w:hAnsi="Arial" w:cs="Arial"/>
                <w:b/>
                <w:bCs/>
                <w:sz w:val="18"/>
                <w:szCs w:val="18"/>
              </w:rPr>
              <w:t>2016</w:t>
            </w:r>
          </w:p>
        </w:tc>
        <w:tc>
          <w:tcPr>
            <w:tcW w:w="1275" w:type="dxa"/>
            <w:tcBorders>
              <w:right w:val="single" w:sz="4" w:space="0" w:color="auto"/>
            </w:tcBorders>
            <w:tcMar>
              <w:right w:w="397" w:type="dxa"/>
            </w:tcMar>
            <w:vAlign w:val="center"/>
          </w:tcPr>
          <w:p w:rsidR="00C8623D" w:rsidRPr="00B25BCA" w:rsidRDefault="00C8623D" w:rsidP="00C8623D">
            <w:pPr>
              <w:spacing w:after="0" w:line="240" w:lineRule="auto"/>
              <w:jc w:val="right"/>
              <w:rPr>
                <w:rFonts w:ascii="Arial" w:hAnsi="Arial" w:cs="Arial"/>
                <w:b/>
                <w:bCs/>
                <w:sz w:val="18"/>
                <w:szCs w:val="18"/>
              </w:rPr>
            </w:pPr>
            <w:r w:rsidRPr="00B25BCA">
              <w:rPr>
                <w:rFonts w:ascii="Arial" w:hAnsi="Arial" w:cs="Arial"/>
                <w:b/>
                <w:bCs/>
                <w:sz w:val="18"/>
                <w:szCs w:val="18"/>
              </w:rPr>
              <w:t>3 739</w:t>
            </w:r>
          </w:p>
        </w:tc>
        <w:tc>
          <w:tcPr>
            <w:tcW w:w="825" w:type="dxa"/>
            <w:tcBorders>
              <w:left w:val="single" w:sz="4" w:space="0" w:color="auto"/>
              <w:right w:val="nil"/>
            </w:tcBorders>
            <w:vAlign w:val="center"/>
          </w:tcPr>
          <w:p w:rsidR="00C8623D" w:rsidRPr="00B25BCA" w:rsidRDefault="00C8623D" w:rsidP="00C8623D">
            <w:pPr>
              <w:spacing w:after="0" w:line="240" w:lineRule="auto"/>
              <w:jc w:val="center"/>
              <w:rPr>
                <w:b/>
                <w:bCs/>
                <w:color w:val="FF0000"/>
                <w:sz w:val="24"/>
              </w:rPr>
            </w:pPr>
            <w:r w:rsidRPr="00B25BCA">
              <w:rPr>
                <w:b/>
                <w:bCs/>
                <w:color w:val="FF0000"/>
                <w:sz w:val="24"/>
              </w:rPr>
              <w:sym w:font="Wingdings 3" w:char="F0C8"/>
            </w:r>
          </w:p>
        </w:tc>
        <w:tc>
          <w:tcPr>
            <w:tcW w:w="1443" w:type="dxa"/>
            <w:tcBorders>
              <w:left w:val="nil"/>
              <w:right w:val="single" w:sz="4" w:space="0" w:color="auto"/>
            </w:tcBorders>
            <w:tcMar>
              <w:right w:w="397" w:type="dxa"/>
            </w:tcMar>
            <w:vAlign w:val="center"/>
          </w:tcPr>
          <w:p w:rsidR="00C8623D" w:rsidRPr="00B25BCA" w:rsidRDefault="00C8623D" w:rsidP="00C8623D">
            <w:pPr>
              <w:spacing w:after="0" w:line="240" w:lineRule="auto"/>
              <w:jc w:val="right"/>
              <w:rPr>
                <w:rFonts w:ascii="Arial" w:hAnsi="Arial" w:cs="Arial"/>
                <w:b/>
                <w:bCs/>
                <w:sz w:val="18"/>
                <w:szCs w:val="18"/>
              </w:rPr>
            </w:pPr>
            <w:r w:rsidRPr="00B25BCA">
              <w:rPr>
                <w:rFonts w:ascii="Arial" w:hAnsi="Arial" w:cs="Arial"/>
                <w:b/>
                <w:bCs/>
                <w:sz w:val="18"/>
                <w:szCs w:val="18"/>
              </w:rPr>
              <w:t>-38,4</w:t>
            </w:r>
          </w:p>
        </w:tc>
        <w:tc>
          <w:tcPr>
            <w:tcW w:w="1276" w:type="dxa"/>
            <w:tcBorders>
              <w:left w:val="single" w:sz="4" w:space="0" w:color="auto"/>
              <w:right w:val="single" w:sz="4" w:space="0" w:color="auto"/>
            </w:tcBorders>
            <w:tcMar>
              <w:right w:w="397" w:type="dxa"/>
            </w:tcMar>
            <w:vAlign w:val="center"/>
          </w:tcPr>
          <w:p w:rsidR="00C8623D" w:rsidRPr="00B25BCA" w:rsidRDefault="00C8623D" w:rsidP="00C8623D">
            <w:pPr>
              <w:spacing w:after="0" w:line="240" w:lineRule="auto"/>
              <w:jc w:val="right"/>
              <w:rPr>
                <w:rFonts w:ascii="Arial" w:hAnsi="Arial" w:cs="Arial"/>
                <w:b/>
                <w:bCs/>
                <w:sz w:val="18"/>
                <w:szCs w:val="18"/>
              </w:rPr>
            </w:pPr>
            <w:r w:rsidRPr="00B25BCA">
              <w:rPr>
                <w:rFonts w:ascii="Arial" w:hAnsi="Arial" w:cs="Arial"/>
                <w:b/>
                <w:bCs/>
                <w:sz w:val="18"/>
                <w:szCs w:val="18"/>
              </w:rPr>
              <w:t>4 076</w:t>
            </w:r>
          </w:p>
        </w:tc>
        <w:tc>
          <w:tcPr>
            <w:tcW w:w="917" w:type="dxa"/>
            <w:tcBorders>
              <w:left w:val="single" w:sz="4" w:space="0" w:color="auto"/>
              <w:right w:val="nil"/>
            </w:tcBorders>
            <w:vAlign w:val="center"/>
          </w:tcPr>
          <w:p w:rsidR="00C8623D" w:rsidRPr="00B25BCA" w:rsidRDefault="00C8623D" w:rsidP="00C8623D">
            <w:pPr>
              <w:spacing w:after="0" w:line="240" w:lineRule="auto"/>
              <w:jc w:val="center"/>
              <w:rPr>
                <w:b/>
                <w:bCs/>
                <w:color w:val="FF0000"/>
                <w:sz w:val="24"/>
              </w:rPr>
            </w:pPr>
            <w:r w:rsidRPr="00B25BCA">
              <w:rPr>
                <w:b/>
                <w:bCs/>
                <w:color w:val="FF0000"/>
                <w:sz w:val="24"/>
              </w:rPr>
              <w:sym w:font="Wingdings 3" w:char="F0C8"/>
            </w:r>
          </w:p>
        </w:tc>
        <w:tc>
          <w:tcPr>
            <w:tcW w:w="1279" w:type="dxa"/>
            <w:tcBorders>
              <w:left w:val="nil"/>
            </w:tcBorders>
            <w:tcMar>
              <w:right w:w="397" w:type="dxa"/>
            </w:tcMar>
            <w:vAlign w:val="center"/>
          </w:tcPr>
          <w:p w:rsidR="00C8623D" w:rsidRPr="00B25BCA" w:rsidRDefault="00C8623D" w:rsidP="00C8623D">
            <w:pPr>
              <w:spacing w:after="0" w:line="240" w:lineRule="auto"/>
              <w:jc w:val="right"/>
              <w:rPr>
                <w:rFonts w:ascii="Arial" w:hAnsi="Arial" w:cs="Arial"/>
                <w:b/>
                <w:bCs/>
                <w:sz w:val="18"/>
                <w:szCs w:val="18"/>
              </w:rPr>
            </w:pPr>
            <w:r w:rsidRPr="00B25BCA">
              <w:rPr>
                <w:rFonts w:ascii="Arial" w:hAnsi="Arial" w:cs="Arial"/>
                <w:b/>
                <w:bCs/>
                <w:sz w:val="18"/>
                <w:szCs w:val="18"/>
              </w:rPr>
              <w:t>-16,5</w:t>
            </w:r>
          </w:p>
        </w:tc>
      </w:tr>
    </w:tbl>
    <w:p w:rsidR="00D077D7" w:rsidRPr="00B25BCA" w:rsidRDefault="00D077D7" w:rsidP="00D077D7">
      <w:pPr>
        <w:spacing w:after="0" w:line="240" w:lineRule="auto"/>
        <w:jc w:val="both"/>
        <w:rPr>
          <w:rFonts w:ascii="Arial" w:eastAsia="Times New Roman" w:hAnsi="Arial" w:cs="Times New Roman"/>
          <w:bCs/>
          <w:sz w:val="16"/>
          <w:szCs w:val="16"/>
          <w:lang w:eastAsia="cs-CZ"/>
        </w:rPr>
      </w:pPr>
      <w:r w:rsidRPr="00B25BCA">
        <w:rPr>
          <w:rFonts w:ascii="Arial" w:eastAsia="Times New Roman" w:hAnsi="Arial" w:cs="Times New Roman"/>
          <w:bCs/>
          <w:sz w:val="16"/>
          <w:szCs w:val="16"/>
          <w:lang w:eastAsia="cs-CZ"/>
        </w:rPr>
        <w:t xml:space="preserve">Zdroj: </w:t>
      </w:r>
      <w:r w:rsidRPr="00B25BCA">
        <w:rPr>
          <w:rFonts w:ascii="Arial" w:eastAsia="Times New Roman" w:hAnsi="Arial" w:cs="Times New Roman"/>
          <w:sz w:val="16"/>
          <w:szCs w:val="16"/>
          <w:lang w:eastAsia="cs-CZ"/>
        </w:rPr>
        <w:t>Vestník verejného obstarávania</w:t>
      </w:r>
      <w:r w:rsidRPr="00B25BCA">
        <w:rPr>
          <w:rFonts w:ascii="Arial" w:eastAsia="Times New Roman" w:hAnsi="Arial" w:cs="Times New Roman"/>
          <w:bCs/>
          <w:sz w:val="16"/>
          <w:szCs w:val="16"/>
          <w:lang w:eastAsia="cs-CZ"/>
        </w:rPr>
        <w:t>, výpočty CEEC Research</w:t>
      </w:r>
    </w:p>
    <w:p w:rsidR="00D077D7" w:rsidRPr="00B25BCA" w:rsidRDefault="00D077D7" w:rsidP="000321DF">
      <w:pPr>
        <w:spacing w:after="0" w:line="360" w:lineRule="auto"/>
        <w:jc w:val="both"/>
        <w:rPr>
          <w:rStyle w:val="Hypertextovodkaz"/>
          <w:rFonts w:cs="Arial"/>
          <w:color w:val="auto"/>
          <w:u w:val="none"/>
        </w:rPr>
      </w:pPr>
    </w:p>
    <w:p w:rsidR="000321DF" w:rsidRPr="00B25BCA" w:rsidRDefault="000321DF" w:rsidP="000321DF">
      <w:pPr>
        <w:spacing w:after="0" w:line="360" w:lineRule="auto"/>
        <w:rPr>
          <w:rStyle w:val="Hypertextovodkaz"/>
          <w:rFonts w:cs="Arial"/>
          <w:color w:val="auto"/>
          <w:u w:val="none"/>
        </w:rPr>
      </w:pPr>
    </w:p>
    <w:p w:rsidR="00535ADA" w:rsidRPr="00B25BCA" w:rsidRDefault="00B70AEE" w:rsidP="003371A6">
      <w:pPr>
        <w:spacing w:after="0" w:line="360" w:lineRule="auto"/>
        <w:jc w:val="center"/>
        <w:rPr>
          <w:rStyle w:val="Hypertextovodkaz"/>
          <w:rFonts w:cs="Arial"/>
        </w:rPr>
      </w:pPr>
      <w:r w:rsidRPr="00B25BCA">
        <w:rPr>
          <w:rStyle w:val="Hypertextovodkaz"/>
          <w:rFonts w:cs="Arial"/>
          <w:color w:val="auto"/>
          <w:u w:val="none"/>
        </w:rPr>
        <w:t>N</w:t>
      </w:r>
      <w:r w:rsidR="00535ADA" w:rsidRPr="00B25BCA">
        <w:rPr>
          <w:rStyle w:val="Hypertextovodkaz"/>
          <w:rFonts w:cs="Arial"/>
          <w:color w:val="auto"/>
          <w:u w:val="none"/>
        </w:rPr>
        <w:t>ajnovšie prognózy vývoja stavebného a projektového trhu nájdete na</w:t>
      </w:r>
      <w:r w:rsidR="00535ADA" w:rsidRPr="00B25BCA">
        <w:rPr>
          <w:rStyle w:val="Hypertextovodkaz"/>
          <w:rFonts w:cs="Arial"/>
          <w:color w:val="auto"/>
        </w:rPr>
        <w:t xml:space="preserve"> </w:t>
      </w:r>
    </w:p>
    <w:p w:rsidR="00535ADA" w:rsidRPr="00B25BCA" w:rsidRDefault="00535ADA" w:rsidP="003371A6">
      <w:pPr>
        <w:spacing w:after="0" w:line="360" w:lineRule="auto"/>
        <w:jc w:val="center"/>
        <w:rPr>
          <w:rStyle w:val="Hypertextovodkaz"/>
          <w:rFonts w:ascii="Arial" w:hAnsi="Arial" w:cs="Arial"/>
        </w:rPr>
      </w:pPr>
      <w:r w:rsidRPr="00B25BCA">
        <w:rPr>
          <w:rStyle w:val="Hypertextovodkaz"/>
          <w:rFonts w:ascii="Arial" w:hAnsi="Arial" w:cs="Arial"/>
        </w:rPr>
        <w:t>www.ceec.eu</w:t>
      </w:r>
    </w:p>
    <w:p w:rsidR="003371A6" w:rsidRPr="00B25BCA" w:rsidRDefault="003371A6" w:rsidP="003371A6">
      <w:pPr>
        <w:spacing w:after="0" w:line="360" w:lineRule="auto"/>
        <w:jc w:val="center"/>
        <w:rPr>
          <w:rFonts w:ascii="Arial" w:hAnsi="Arial" w:cs="Arial"/>
          <w:color w:val="000000"/>
        </w:rPr>
      </w:pPr>
    </w:p>
    <w:p w:rsidR="00C968F2" w:rsidRPr="00B25BCA" w:rsidRDefault="00C968F2" w:rsidP="00C45298">
      <w:pPr>
        <w:spacing w:after="0" w:line="240" w:lineRule="auto"/>
        <w:rPr>
          <w:rFonts w:ascii="Arial" w:hAnsi="Arial" w:cs="Arial"/>
          <w:b/>
          <w:color w:val="000000"/>
        </w:rPr>
      </w:pPr>
      <w:r w:rsidRPr="00B25BCA">
        <w:rPr>
          <w:rFonts w:ascii="Arial" w:hAnsi="Arial" w:cs="Arial"/>
          <w:b/>
          <w:color w:val="000000"/>
        </w:rPr>
        <w:t>Kontakt pr</w:t>
      </w:r>
      <w:r w:rsidR="00B25F7D" w:rsidRPr="00B25BCA">
        <w:rPr>
          <w:rFonts w:ascii="Arial" w:hAnsi="Arial" w:cs="Arial"/>
          <w:b/>
          <w:color w:val="000000"/>
        </w:rPr>
        <w:t>e</w:t>
      </w:r>
      <w:r w:rsidRPr="00B25BCA">
        <w:rPr>
          <w:rFonts w:ascii="Arial" w:hAnsi="Arial" w:cs="Arial"/>
          <w:b/>
          <w:color w:val="000000"/>
        </w:rPr>
        <w:t xml:space="preserve"> média:</w:t>
      </w:r>
    </w:p>
    <w:p w:rsidR="007C55A2" w:rsidRPr="00B25BCA" w:rsidRDefault="00C968F2" w:rsidP="000D14F5">
      <w:pPr>
        <w:spacing w:after="0" w:line="240" w:lineRule="auto"/>
        <w:rPr>
          <w:rFonts w:ascii="Arial" w:hAnsi="Arial" w:cs="Arial"/>
          <w:color w:val="000000"/>
        </w:rPr>
      </w:pPr>
      <w:r w:rsidRPr="00B25BCA">
        <w:rPr>
          <w:rFonts w:ascii="Arial" w:hAnsi="Arial" w:cs="Arial"/>
          <w:b/>
          <w:color w:val="000000"/>
        </w:rPr>
        <w:br/>
      </w:r>
      <w:r w:rsidR="000D14F5" w:rsidRPr="00B25BCA">
        <w:rPr>
          <w:rFonts w:ascii="Arial" w:hAnsi="Arial" w:cs="Arial"/>
          <w:color w:val="000000"/>
        </w:rPr>
        <w:t>Ing. Jiří Vacek, Ph.D., MIM</w:t>
      </w:r>
      <w:r w:rsidRPr="00B25BCA">
        <w:rPr>
          <w:rFonts w:ascii="Arial" w:hAnsi="Arial" w:cs="Arial"/>
          <w:color w:val="000000"/>
        </w:rPr>
        <w:br/>
      </w:r>
      <w:r w:rsidR="00604546">
        <w:rPr>
          <w:rFonts w:ascii="Arial" w:hAnsi="Arial" w:cs="Arial"/>
          <w:color w:val="000000"/>
        </w:rPr>
        <w:t>Riaditeľ spolo</w:t>
      </w:r>
      <w:r w:rsidR="000D14F5" w:rsidRPr="00B25BCA">
        <w:rPr>
          <w:rFonts w:ascii="Arial" w:hAnsi="Arial" w:cs="Arial"/>
          <w:color w:val="000000"/>
        </w:rPr>
        <w:t>čnosti</w:t>
      </w:r>
      <w:r w:rsidRPr="00B25BCA">
        <w:rPr>
          <w:rFonts w:ascii="Arial" w:hAnsi="Arial" w:cs="Arial"/>
          <w:color w:val="000000"/>
        </w:rPr>
        <w:br/>
      </w:r>
      <w:r w:rsidR="00B718C2" w:rsidRPr="00B25BCA">
        <w:rPr>
          <w:rFonts w:ascii="Arial" w:hAnsi="Arial" w:cs="Arial"/>
          <w:color w:val="000000"/>
        </w:rPr>
        <w:t>CEEC Research</w:t>
      </w:r>
      <w:r w:rsidR="000D14F5" w:rsidRPr="00B25BCA">
        <w:rPr>
          <w:rFonts w:ascii="Arial" w:hAnsi="Arial" w:cs="Arial"/>
          <w:color w:val="000000"/>
        </w:rPr>
        <w:t xml:space="preserve"> s.r.o.</w:t>
      </w:r>
      <w:r w:rsidR="00B718C2" w:rsidRPr="00B25BCA">
        <w:rPr>
          <w:rFonts w:ascii="Arial" w:hAnsi="Arial" w:cs="Arial"/>
          <w:color w:val="000000"/>
        </w:rPr>
        <w:br/>
        <w:t xml:space="preserve">E-mail: </w:t>
      </w:r>
      <w:r w:rsidR="000D14F5" w:rsidRPr="00B25BCA">
        <w:rPr>
          <w:rFonts w:ascii="Arial" w:hAnsi="Arial" w:cs="Arial"/>
          <w:color w:val="000000"/>
        </w:rPr>
        <w:t>vacek@ceec.eu</w:t>
      </w:r>
      <w:r w:rsidRPr="00B25BCA">
        <w:rPr>
          <w:rFonts w:ascii="Arial" w:hAnsi="Arial" w:cs="Arial"/>
          <w:color w:val="000000"/>
        </w:rPr>
        <w:br/>
        <w:t>Tel.: +420 </w:t>
      </w:r>
      <w:r w:rsidR="000D14F5" w:rsidRPr="00B25BCA">
        <w:rPr>
          <w:rFonts w:ascii="Arial" w:hAnsi="Arial" w:cs="Arial"/>
          <w:color w:val="000000"/>
        </w:rPr>
        <w:t>774 325 111</w:t>
      </w:r>
    </w:p>
    <w:p w:rsidR="000D14F5" w:rsidRPr="00B25BCA" w:rsidRDefault="000D14F5" w:rsidP="000D14F5">
      <w:pPr>
        <w:spacing w:after="0" w:line="240" w:lineRule="auto"/>
        <w:rPr>
          <w:rFonts w:ascii="Arial" w:hAnsi="Arial" w:cs="Arial"/>
          <w:b/>
          <w:color w:val="000000"/>
          <w:sz w:val="20"/>
          <w:szCs w:val="20"/>
        </w:rPr>
      </w:pPr>
    </w:p>
    <w:p w:rsidR="005F0F7B" w:rsidRPr="00B25BCA" w:rsidRDefault="005F0F7B" w:rsidP="00D66843">
      <w:pPr>
        <w:spacing w:after="0" w:line="240" w:lineRule="auto"/>
        <w:jc w:val="both"/>
        <w:rPr>
          <w:rFonts w:ascii="Arial" w:hAnsi="Arial" w:cs="Arial"/>
          <w:b/>
          <w:color w:val="000000"/>
          <w:sz w:val="20"/>
          <w:szCs w:val="20"/>
        </w:rPr>
      </w:pPr>
    </w:p>
    <w:p w:rsidR="00B25F7D" w:rsidRPr="00B25BCA" w:rsidRDefault="00B25F7D" w:rsidP="00B25F7D">
      <w:pPr>
        <w:jc w:val="both"/>
        <w:rPr>
          <w:rFonts w:ascii="Arial" w:hAnsi="Arial" w:cs="Arial"/>
          <w:i/>
          <w:color w:val="000000"/>
          <w:sz w:val="16"/>
          <w:szCs w:val="16"/>
        </w:rPr>
      </w:pPr>
      <w:r w:rsidRPr="00B25BCA">
        <w:rPr>
          <w:rFonts w:ascii="Arial" w:hAnsi="Arial" w:cs="Arial"/>
          <w:b/>
          <w:i/>
          <w:color w:val="000000"/>
          <w:sz w:val="16"/>
          <w:szCs w:val="16"/>
        </w:rPr>
        <w:t>CEEC Research</w:t>
      </w:r>
      <w:r w:rsidRPr="00B25BCA">
        <w:rPr>
          <w:rFonts w:ascii="Arial" w:hAnsi="Arial" w:cs="Arial"/>
          <w:i/>
          <w:color w:val="000000"/>
          <w:sz w:val="16"/>
          <w:szCs w:val="16"/>
        </w:rPr>
        <w:t xml:space="preserve"> je najväčšou analytickou spoločnosťou špecializujúcou sa na stavebníctvo, projektový a developerský sektor, strojárenstvo a oblasť verejných zákaziek v krajinách strednej a východnej Európy. Bola založená v roku 2005 a od tej doby bezplatne poskytuje štúdie o aktuálnom stave a očakávanom vývoji v týchto segmentoch v desiatich krajinách strednej a východnej Európy. Všetky štúdie a analýzy CEEC Research sú založené výhradne na údajoch získaných z pravidelných štruktúrovaných interview s kľúčovými predstaviteľmi vybraných najväčších, stredných a malých spoločností.</w:t>
      </w:r>
    </w:p>
    <w:p w:rsidR="00B25F7D" w:rsidRPr="00B25BCA" w:rsidRDefault="00B25F7D" w:rsidP="00B25F7D">
      <w:pPr>
        <w:jc w:val="both"/>
        <w:rPr>
          <w:rFonts w:ascii="Arial" w:hAnsi="Arial" w:cs="Arial"/>
          <w:color w:val="000000"/>
        </w:rPr>
      </w:pPr>
      <w:r w:rsidRPr="00B25BCA">
        <w:rPr>
          <w:rFonts w:ascii="Arial" w:hAnsi="Arial" w:cs="Arial"/>
          <w:b/>
          <w:i/>
          <w:color w:val="000000"/>
          <w:sz w:val="16"/>
          <w:szCs w:val="16"/>
        </w:rPr>
        <w:t xml:space="preserve">CEEC Research </w:t>
      </w:r>
      <w:r w:rsidRPr="00B25BCA">
        <w:rPr>
          <w:rFonts w:ascii="Arial" w:hAnsi="Arial" w:cs="Arial"/>
          <w:color w:val="000000"/>
          <w:sz w:val="16"/>
          <w:szCs w:val="16"/>
        </w:rPr>
        <w:t>navyše k pravidelným a bezplatným analýzam stavebného, projektového, developerského, strojárenského a verejného sektora tiež organizuje úzko zamerané konferencie, ktorých sa zúčastňujú generálni riaditelia najvýznamnejších stavebných, developerských, projektových a strojárenských spoločností, prezidenti zväzov, cechov a komôr z týchto oblastí, aby diskutovali s najvyššími predstaviteľmi štátu vybraných krajín.</w:t>
      </w:r>
    </w:p>
    <w:p w:rsidR="005F0F7B" w:rsidRPr="00B25BCA" w:rsidRDefault="005F0F7B" w:rsidP="00D66843">
      <w:pPr>
        <w:spacing w:after="0" w:line="240" w:lineRule="auto"/>
        <w:jc w:val="both"/>
        <w:rPr>
          <w:rFonts w:ascii="Arial" w:hAnsi="Arial" w:cs="Arial"/>
          <w:color w:val="000000"/>
          <w:sz w:val="16"/>
          <w:szCs w:val="16"/>
        </w:rPr>
      </w:pPr>
    </w:p>
    <w:p w:rsidR="00C66A5B" w:rsidRPr="00B25BCA" w:rsidRDefault="00C66A5B" w:rsidP="00C66A5B">
      <w:pPr>
        <w:spacing w:after="0" w:line="240" w:lineRule="auto"/>
        <w:jc w:val="both"/>
        <w:rPr>
          <w:rFonts w:ascii="Arial" w:hAnsi="Arial" w:cs="Arial"/>
          <w:color w:val="000000"/>
          <w:sz w:val="16"/>
          <w:szCs w:val="16"/>
        </w:rPr>
      </w:pPr>
    </w:p>
    <w:p w:rsidR="00C66A5B" w:rsidRPr="00B25BCA" w:rsidRDefault="00C66A5B" w:rsidP="00C66A5B">
      <w:pPr>
        <w:spacing w:after="0" w:line="240" w:lineRule="auto"/>
        <w:jc w:val="both"/>
        <w:rPr>
          <w:rFonts w:ascii="Arial" w:hAnsi="Arial" w:cs="Arial"/>
          <w:color w:val="000000"/>
          <w:sz w:val="16"/>
          <w:szCs w:val="16"/>
        </w:rPr>
      </w:pPr>
    </w:p>
    <w:sectPr w:rsidR="00C66A5B" w:rsidRPr="00B25BCA" w:rsidSect="00DF6221">
      <w:headerReference w:type="default" r:id="rId8"/>
      <w:footerReference w:type="default" r:id="rId9"/>
      <w:type w:val="continuous"/>
      <w:pgSz w:w="11906" w:h="16838"/>
      <w:pgMar w:top="1417" w:right="1417" w:bottom="1417" w:left="1417" w:header="708" w:footer="21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819" w:rsidRDefault="00ED7819" w:rsidP="00A76E50">
      <w:pPr>
        <w:spacing w:after="0" w:line="240" w:lineRule="auto"/>
      </w:pPr>
      <w:r>
        <w:separator/>
      </w:r>
    </w:p>
  </w:endnote>
  <w:endnote w:type="continuationSeparator" w:id="0">
    <w:p w:rsidR="00ED7819" w:rsidRDefault="00ED7819" w:rsidP="00A7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yanmar Text">
    <w:altName w:val="Times New Roman"/>
    <w:panose1 w:val="020B0502040204020203"/>
    <w:charset w:val="00"/>
    <w:family w:val="swiss"/>
    <w:pitch w:val="variable"/>
    <w:sig w:usb0="80000003" w:usb1="00000000" w:usb2="000004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9062"/>
    </w:tblGrid>
    <w:tr w:rsidR="00DF6221" w:rsidRPr="0010694C" w:rsidTr="0010694C">
      <w:trPr>
        <w:trHeight w:val="844"/>
      </w:trPr>
      <w:tc>
        <w:tcPr>
          <w:tcW w:w="9062" w:type="dxa"/>
          <w:shd w:val="clear" w:color="auto" w:fill="D9D9D9"/>
        </w:tcPr>
        <w:p w:rsidR="00DF6221" w:rsidRPr="0010694C" w:rsidRDefault="00DF6221" w:rsidP="0010694C">
          <w:pPr>
            <w:spacing w:after="0" w:line="240" w:lineRule="auto"/>
            <w:rPr>
              <w:rStyle w:val="Hypertextovodkaz"/>
              <w:rFonts w:ascii="Arial" w:hAnsi="Arial" w:cs="Arial"/>
              <w:color w:val="808080"/>
              <w:sz w:val="6"/>
              <w:szCs w:val="6"/>
            </w:rPr>
          </w:pPr>
        </w:p>
        <w:p w:rsidR="00DF6221" w:rsidRPr="0010694C" w:rsidRDefault="00DF6221" w:rsidP="0010694C">
          <w:pPr>
            <w:spacing w:after="0" w:line="240" w:lineRule="auto"/>
            <w:rPr>
              <w:rStyle w:val="Hypertextovodkaz"/>
              <w:rFonts w:ascii="Arial" w:hAnsi="Arial" w:cs="Arial"/>
              <w:color w:val="808080"/>
              <w:sz w:val="16"/>
              <w:szCs w:val="16"/>
              <w:u w:val="none"/>
            </w:rPr>
          </w:pPr>
          <w:r w:rsidRPr="0010694C">
            <w:rPr>
              <w:rStyle w:val="Hypertextovodkaz"/>
              <w:rFonts w:ascii="Arial" w:hAnsi="Arial" w:cs="Arial"/>
              <w:color w:val="808080"/>
              <w:sz w:val="16"/>
              <w:szCs w:val="16"/>
              <w:u w:val="none"/>
            </w:rPr>
            <w:t>Metodika výpočtu:</w:t>
          </w:r>
        </w:p>
        <w:p w:rsidR="00DF6221" w:rsidRPr="0010694C" w:rsidRDefault="00DF6221" w:rsidP="0010694C">
          <w:pPr>
            <w:pStyle w:val="Odstavecseseznamem"/>
            <w:widowControl w:val="0"/>
            <w:numPr>
              <w:ilvl w:val="0"/>
              <w:numId w:val="4"/>
            </w:numPr>
            <w:spacing w:after="0" w:line="240" w:lineRule="auto"/>
            <w:ind w:left="284" w:firstLine="0"/>
            <w:contextualSpacing w:val="0"/>
            <w:rPr>
              <w:rStyle w:val="Hypertextovodkaz"/>
              <w:rFonts w:ascii="Arial" w:hAnsi="Arial" w:cs="Arial"/>
              <w:color w:val="808080"/>
              <w:sz w:val="16"/>
              <w:szCs w:val="16"/>
              <w:u w:val="none"/>
            </w:rPr>
          </w:pPr>
          <w:r w:rsidRPr="0010694C">
            <w:rPr>
              <w:rStyle w:val="Hypertextovodkaz"/>
              <w:rFonts w:ascii="Arial" w:hAnsi="Arial" w:cs="Arial"/>
              <w:b/>
              <w:color w:val="808080"/>
              <w:sz w:val="16"/>
              <w:szCs w:val="16"/>
              <w:u w:val="none"/>
            </w:rPr>
            <w:t>vyhlásené zákazky</w:t>
          </w:r>
          <w:r w:rsidRPr="0010694C">
            <w:rPr>
              <w:rStyle w:val="Hypertextovodkaz"/>
              <w:rFonts w:ascii="Arial" w:hAnsi="Arial" w:cs="Arial"/>
              <w:color w:val="808080"/>
              <w:sz w:val="16"/>
              <w:szCs w:val="16"/>
              <w:u w:val="none"/>
            </w:rPr>
            <w:t xml:space="preserve"> – vzťahuje sa k dátumu odoslania </w:t>
          </w:r>
          <w:r w:rsidR="002F35BB" w:rsidRPr="0010694C">
            <w:rPr>
              <w:rStyle w:val="Hypertextovodkaz"/>
              <w:rFonts w:ascii="Arial" w:hAnsi="Arial" w:cs="Arial"/>
              <w:color w:val="808080"/>
              <w:sz w:val="16"/>
              <w:szCs w:val="16"/>
              <w:u w:val="none"/>
            </w:rPr>
            <w:t xml:space="preserve">oznámenia </w:t>
          </w:r>
          <w:r w:rsidRPr="0010694C">
            <w:rPr>
              <w:rStyle w:val="Hypertextovodkaz"/>
              <w:rFonts w:ascii="Arial" w:hAnsi="Arial" w:cs="Arial"/>
              <w:color w:val="808080"/>
              <w:sz w:val="16"/>
              <w:szCs w:val="16"/>
              <w:u w:val="none"/>
            </w:rPr>
            <w:t>na Úrad pre verejné obstarávanie</w:t>
          </w:r>
        </w:p>
        <w:p w:rsidR="00171527" w:rsidRPr="0010694C" w:rsidRDefault="00DF6221" w:rsidP="0010694C">
          <w:pPr>
            <w:pStyle w:val="Odstavecseseznamem"/>
            <w:widowControl w:val="0"/>
            <w:numPr>
              <w:ilvl w:val="0"/>
              <w:numId w:val="4"/>
            </w:numPr>
            <w:spacing w:after="0" w:line="240" w:lineRule="auto"/>
            <w:ind w:left="284" w:firstLine="0"/>
            <w:contextualSpacing w:val="0"/>
            <w:rPr>
              <w:rStyle w:val="Hypertextovodkaz"/>
              <w:rFonts w:ascii="Arial" w:hAnsi="Arial" w:cs="Arial"/>
              <w:color w:val="808080"/>
              <w:sz w:val="16"/>
              <w:szCs w:val="16"/>
              <w:u w:val="none"/>
            </w:rPr>
          </w:pPr>
          <w:r w:rsidRPr="0010694C">
            <w:rPr>
              <w:rStyle w:val="Hypertextovodkaz"/>
              <w:rFonts w:ascii="Arial" w:hAnsi="Arial" w:cs="Arial"/>
              <w:b/>
              <w:color w:val="808080"/>
              <w:sz w:val="16"/>
              <w:szCs w:val="16"/>
              <w:u w:val="none"/>
            </w:rPr>
            <w:t>zadané (ukončené) zákazky</w:t>
          </w:r>
          <w:r w:rsidRPr="0010694C">
            <w:rPr>
              <w:rStyle w:val="Hypertextovodkaz"/>
              <w:rFonts w:ascii="Arial" w:hAnsi="Arial" w:cs="Arial"/>
              <w:color w:val="808080"/>
              <w:sz w:val="16"/>
              <w:szCs w:val="16"/>
              <w:u w:val="none"/>
            </w:rPr>
            <w:t xml:space="preserve"> – vzťahuje sa k skutočnému dátumu zadania zákazky (uvedeného v</w:t>
          </w:r>
          <w:r w:rsidR="002F35BB" w:rsidRPr="0010694C">
            <w:rPr>
              <w:rStyle w:val="Hypertextovodkaz"/>
              <w:rFonts w:ascii="Arial" w:hAnsi="Arial" w:cs="Arial"/>
              <w:color w:val="808080"/>
              <w:sz w:val="16"/>
              <w:szCs w:val="16"/>
              <w:u w:val="none"/>
            </w:rPr>
            <w:t xml:space="preserve"> oznámení</w:t>
          </w:r>
          <w:r w:rsidRPr="0010694C">
            <w:rPr>
              <w:rStyle w:val="Hypertextovodkaz"/>
              <w:rFonts w:ascii="Arial" w:hAnsi="Arial" w:cs="Arial"/>
              <w:color w:val="808080"/>
              <w:sz w:val="16"/>
              <w:szCs w:val="16"/>
              <w:u w:val="none"/>
            </w:rPr>
            <w:t>)</w:t>
          </w:r>
        </w:p>
        <w:p w:rsidR="00DF6221" w:rsidRPr="0010694C" w:rsidRDefault="00DF6221" w:rsidP="0010694C">
          <w:pPr>
            <w:pStyle w:val="Odstavecseseznamem"/>
            <w:widowControl w:val="0"/>
            <w:numPr>
              <w:ilvl w:val="0"/>
              <w:numId w:val="4"/>
            </w:numPr>
            <w:spacing w:after="0" w:line="240" w:lineRule="auto"/>
            <w:ind w:left="284" w:firstLine="0"/>
            <w:contextualSpacing w:val="0"/>
            <w:rPr>
              <w:rFonts w:ascii="Arial" w:hAnsi="Arial" w:cs="Arial"/>
              <w:color w:val="808080"/>
              <w:sz w:val="16"/>
              <w:szCs w:val="16"/>
            </w:rPr>
          </w:pPr>
          <w:r w:rsidRPr="0010694C">
            <w:rPr>
              <w:rStyle w:val="Hypertextovodkaz"/>
              <w:rFonts w:ascii="Arial" w:hAnsi="Arial" w:cs="Arial"/>
              <w:color w:val="808080"/>
              <w:sz w:val="16"/>
              <w:szCs w:val="16"/>
              <w:u w:val="none"/>
            </w:rPr>
            <w:t xml:space="preserve">do výpočtu neboli zahrnuté </w:t>
          </w:r>
          <w:r w:rsidR="002F35BB" w:rsidRPr="0010694C">
            <w:rPr>
              <w:rStyle w:val="Hypertextovodkaz"/>
              <w:rFonts w:ascii="Arial" w:hAnsi="Arial" w:cs="Arial"/>
              <w:color w:val="808080"/>
              <w:sz w:val="16"/>
              <w:szCs w:val="16"/>
              <w:u w:val="none"/>
            </w:rPr>
            <w:t>oznámenia o koncesiách</w:t>
          </w:r>
        </w:p>
      </w:tc>
    </w:tr>
  </w:tbl>
  <w:p w:rsidR="00DF6221" w:rsidRPr="00171527" w:rsidRDefault="00DF6221" w:rsidP="00DF62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819" w:rsidRDefault="00ED7819" w:rsidP="00A76E50">
      <w:pPr>
        <w:spacing w:after="0" w:line="240" w:lineRule="auto"/>
      </w:pPr>
      <w:r>
        <w:separator/>
      </w:r>
    </w:p>
  </w:footnote>
  <w:footnote w:type="continuationSeparator" w:id="0">
    <w:p w:rsidR="00ED7819" w:rsidRDefault="00ED7819" w:rsidP="00A7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77" w:rsidRDefault="00E47B77" w:rsidP="00BD7803">
    <w:pPr>
      <w:pStyle w:val="Zhlav"/>
      <w:tabs>
        <w:tab w:val="clear" w:pos="4536"/>
        <w:tab w:val="clear" w:pos="9072"/>
        <w:tab w:val="left" w:pos="3585"/>
      </w:tabs>
      <w:jc w:val="center"/>
      <w:rPr>
        <w:b/>
        <w:noProof/>
        <w:color w:val="808080"/>
        <w:sz w:val="60"/>
        <w:szCs w:val="60"/>
        <w:lang w:eastAsia="cs-CZ"/>
      </w:rPr>
    </w:pPr>
    <w:r>
      <w:rPr>
        <w:b/>
        <w:noProof/>
        <w:color w:val="808080"/>
        <w:sz w:val="60"/>
        <w:szCs w:val="60"/>
        <w:lang w:eastAsia="cs-CZ"/>
      </w:rPr>
      <w:t xml:space="preserve">                                                       </w:t>
    </w:r>
    <w:r w:rsidR="00AD45FE">
      <w:rPr>
        <w:noProof/>
        <w:lang w:val="cs-CZ" w:eastAsia="cs-CZ"/>
      </w:rPr>
      <w:drawing>
        <wp:anchor distT="0" distB="0" distL="114300" distR="114300" simplePos="0" relativeHeight="251657728" behindDoc="0" locked="0" layoutInCell="1" allowOverlap="1">
          <wp:simplePos x="0" y="0"/>
          <wp:positionH relativeFrom="column">
            <wp:posOffset>-240030</wp:posOffset>
          </wp:positionH>
          <wp:positionV relativeFrom="paragraph">
            <wp:posOffset>-203200</wp:posOffset>
          </wp:positionV>
          <wp:extent cx="1285240" cy="758825"/>
          <wp:effectExtent l="0" t="0" r="0" b="3175"/>
          <wp:wrapNone/>
          <wp:docPr id="1" name="obrázek 6" descr="Popis: Popis: Popis: Popis: Popis: Popis: Popis: logo CEEC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Popis: Popis: Popis: Popis: Popis: Popis: Popis: logo CEEC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B77" w:rsidRPr="00B25F7D" w:rsidRDefault="00B25F7D" w:rsidP="00BD7803">
    <w:pPr>
      <w:pStyle w:val="Zhlav"/>
      <w:tabs>
        <w:tab w:val="clear" w:pos="4536"/>
        <w:tab w:val="clear" w:pos="9072"/>
        <w:tab w:val="left" w:pos="3585"/>
      </w:tabs>
      <w:jc w:val="center"/>
      <w:rPr>
        <w:b/>
        <w:noProof/>
        <w:color w:val="808080"/>
        <w:sz w:val="60"/>
        <w:szCs w:val="60"/>
        <w:lang w:eastAsia="cs-CZ"/>
      </w:rPr>
    </w:pPr>
    <w:r w:rsidRPr="00B25F7D">
      <w:rPr>
        <w:b/>
        <w:noProof/>
        <w:color w:val="808080"/>
        <w:sz w:val="60"/>
        <w:szCs w:val="60"/>
        <w:lang w:eastAsia="cs-CZ"/>
      </w:rPr>
      <w:t>Tlačová správa</w:t>
    </w:r>
  </w:p>
  <w:p w:rsidR="00AC2D6D" w:rsidRPr="00AC2D6D" w:rsidRDefault="00AC2D6D" w:rsidP="00BD7803">
    <w:pPr>
      <w:pStyle w:val="Zhlav"/>
      <w:tabs>
        <w:tab w:val="clear" w:pos="4536"/>
        <w:tab w:val="clear" w:pos="9072"/>
        <w:tab w:val="left" w:pos="3585"/>
      </w:tabs>
      <w:jc w:val="center"/>
      <w:rPr>
        <w:b/>
        <w:color w:val="808080"/>
        <w:sz w:val="18"/>
        <w:szCs w:val="18"/>
      </w:rPr>
    </w:pPr>
  </w:p>
  <w:p w:rsidR="00E47B77" w:rsidRDefault="00E47B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265A"/>
    <w:multiLevelType w:val="hybridMultilevel"/>
    <w:tmpl w:val="7CCE8D2E"/>
    <w:lvl w:ilvl="0" w:tplc="DAFA2688">
      <w:start w:val="1"/>
      <w:numFmt w:val="decimal"/>
      <w:lvlText w:val="%1."/>
      <w:lvlJc w:val="left"/>
      <w:pPr>
        <w:ind w:left="137" w:hanging="360"/>
      </w:pPr>
      <w:rPr>
        <w:rFonts w:hint="default"/>
      </w:rPr>
    </w:lvl>
    <w:lvl w:ilvl="1" w:tplc="04050019" w:tentative="1">
      <w:start w:val="1"/>
      <w:numFmt w:val="lowerLetter"/>
      <w:lvlText w:val="%2."/>
      <w:lvlJc w:val="left"/>
      <w:pPr>
        <w:ind w:left="857" w:hanging="360"/>
      </w:pPr>
    </w:lvl>
    <w:lvl w:ilvl="2" w:tplc="0405001B" w:tentative="1">
      <w:start w:val="1"/>
      <w:numFmt w:val="lowerRoman"/>
      <w:lvlText w:val="%3."/>
      <w:lvlJc w:val="right"/>
      <w:pPr>
        <w:ind w:left="1577" w:hanging="180"/>
      </w:pPr>
    </w:lvl>
    <w:lvl w:ilvl="3" w:tplc="0405000F" w:tentative="1">
      <w:start w:val="1"/>
      <w:numFmt w:val="decimal"/>
      <w:lvlText w:val="%4."/>
      <w:lvlJc w:val="left"/>
      <w:pPr>
        <w:ind w:left="2297" w:hanging="360"/>
      </w:pPr>
    </w:lvl>
    <w:lvl w:ilvl="4" w:tplc="04050019" w:tentative="1">
      <w:start w:val="1"/>
      <w:numFmt w:val="lowerLetter"/>
      <w:lvlText w:val="%5."/>
      <w:lvlJc w:val="left"/>
      <w:pPr>
        <w:ind w:left="3017" w:hanging="360"/>
      </w:pPr>
    </w:lvl>
    <w:lvl w:ilvl="5" w:tplc="0405001B" w:tentative="1">
      <w:start w:val="1"/>
      <w:numFmt w:val="lowerRoman"/>
      <w:lvlText w:val="%6."/>
      <w:lvlJc w:val="right"/>
      <w:pPr>
        <w:ind w:left="3737" w:hanging="180"/>
      </w:pPr>
    </w:lvl>
    <w:lvl w:ilvl="6" w:tplc="0405000F" w:tentative="1">
      <w:start w:val="1"/>
      <w:numFmt w:val="decimal"/>
      <w:lvlText w:val="%7."/>
      <w:lvlJc w:val="left"/>
      <w:pPr>
        <w:ind w:left="4457" w:hanging="360"/>
      </w:pPr>
    </w:lvl>
    <w:lvl w:ilvl="7" w:tplc="04050019" w:tentative="1">
      <w:start w:val="1"/>
      <w:numFmt w:val="lowerLetter"/>
      <w:lvlText w:val="%8."/>
      <w:lvlJc w:val="left"/>
      <w:pPr>
        <w:ind w:left="5177" w:hanging="360"/>
      </w:pPr>
    </w:lvl>
    <w:lvl w:ilvl="8" w:tplc="0405001B" w:tentative="1">
      <w:start w:val="1"/>
      <w:numFmt w:val="lowerRoman"/>
      <w:lvlText w:val="%9."/>
      <w:lvlJc w:val="right"/>
      <w:pPr>
        <w:ind w:left="5897" w:hanging="180"/>
      </w:pPr>
    </w:lvl>
  </w:abstractNum>
  <w:abstractNum w:abstractNumId="1" w15:restartNumberingAfterBreak="0">
    <w:nsid w:val="3B4F0BDD"/>
    <w:multiLevelType w:val="hybridMultilevel"/>
    <w:tmpl w:val="662041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F821328"/>
    <w:multiLevelType w:val="hybridMultilevel"/>
    <w:tmpl w:val="75942C22"/>
    <w:lvl w:ilvl="0" w:tplc="9C644B6A">
      <w:start w:val="1"/>
      <w:numFmt w:val="decimal"/>
      <w:lvlText w:val="%1."/>
      <w:lvlJc w:val="left"/>
      <w:pPr>
        <w:ind w:left="137" w:hanging="360"/>
      </w:pPr>
      <w:rPr>
        <w:rFonts w:hint="default"/>
      </w:rPr>
    </w:lvl>
    <w:lvl w:ilvl="1" w:tplc="04050019" w:tentative="1">
      <w:start w:val="1"/>
      <w:numFmt w:val="lowerLetter"/>
      <w:lvlText w:val="%2."/>
      <w:lvlJc w:val="left"/>
      <w:pPr>
        <w:ind w:left="857" w:hanging="360"/>
      </w:pPr>
    </w:lvl>
    <w:lvl w:ilvl="2" w:tplc="0405001B" w:tentative="1">
      <w:start w:val="1"/>
      <w:numFmt w:val="lowerRoman"/>
      <w:lvlText w:val="%3."/>
      <w:lvlJc w:val="right"/>
      <w:pPr>
        <w:ind w:left="1577" w:hanging="180"/>
      </w:pPr>
    </w:lvl>
    <w:lvl w:ilvl="3" w:tplc="0405000F" w:tentative="1">
      <w:start w:val="1"/>
      <w:numFmt w:val="decimal"/>
      <w:lvlText w:val="%4."/>
      <w:lvlJc w:val="left"/>
      <w:pPr>
        <w:ind w:left="2297" w:hanging="360"/>
      </w:pPr>
    </w:lvl>
    <w:lvl w:ilvl="4" w:tplc="04050019" w:tentative="1">
      <w:start w:val="1"/>
      <w:numFmt w:val="lowerLetter"/>
      <w:lvlText w:val="%5."/>
      <w:lvlJc w:val="left"/>
      <w:pPr>
        <w:ind w:left="3017" w:hanging="360"/>
      </w:pPr>
    </w:lvl>
    <w:lvl w:ilvl="5" w:tplc="0405001B" w:tentative="1">
      <w:start w:val="1"/>
      <w:numFmt w:val="lowerRoman"/>
      <w:lvlText w:val="%6."/>
      <w:lvlJc w:val="right"/>
      <w:pPr>
        <w:ind w:left="3737" w:hanging="180"/>
      </w:pPr>
    </w:lvl>
    <w:lvl w:ilvl="6" w:tplc="0405000F" w:tentative="1">
      <w:start w:val="1"/>
      <w:numFmt w:val="decimal"/>
      <w:lvlText w:val="%7."/>
      <w:lvlJc w:val="left"/>
      <w:pPr>
        <w:ind w:left="4457" w:hanging="360"/>
      </w:pPr>
    </w:lvl>
    <w:lvl w:ilvl="7" w:tplc="04050019" w:tentative="1">
      <w:start w:val="1"/>
      <w:numFmt w:val="lowerLetter"/>
      <w:lvlText w:val="%8."/>
      <w:lvlJc w:val="left"/>
      <w:pPr>
        <w:ind w:left="5177" w:hanging="360"/>
      </w:pPr>
    </w:lvl>
    <w:lvl w:ilvl="8" w:tplc="0405001B" w:tentative="1">
      <w:start w:val="1"/>
      <w:numFmt w:val="lowerRoman"/>
      <w:lvlText w:val="%9."/>
      <w:lvlJc w:val="right"/>
      <w:pPr>
        <w:ind w:left="5897" w:hanging="180"/>
      </w:pPr>
    </w:lvl>
  </w:abstractNum>
  <w:abstractNum w:abstractNumId="3" w15:restartNumberingAfterBreak="0">
    <w:nsid w:val="708A318F"/>
    <w:multiLevelType w:val="hybridMultilevel"/>
    <w:tmpl w:val="FD9E235A"/>
    <w:lvl w:ilvl="0" w:tplc="55A89484">
      <w:start w:val="1"/>
      <w:numFmt w:val="decimal"/>
      <w:lvlText w:val="%1."/>
      <w:lvlJc w:val="left"/>
      <w:pPr>
        <w:ind w:left="137" w:hanging="360"/>
      </w:pPr>
      <w:rPr>
        <w:rFonts w:hint="default"/>
      </w:rPr>
    </w:lvl>
    <w:lvl w:ilvl="1" w:tplc="04050019" w:tentative="1">
      <w:start w:val="1"/>
      <w:numFmt w:val="lowerLetter"/>
      <w:lvlText w:val="%2."/>
      <w:lvlJc w:val="left"/>
      <w:pPr>
        <w:ind w:left="857" w:hanging="360"/>
      </w:pPr>
    </w:lvl>
    <w:lvl w:ilvl="2" w:tplc="0405001B" w:tentative="1">
      <w:start w:val="1"/>
      <w:numFmt w:val="lowerRoman"/>
      <w:lvlText w:val="%3."/>
      <w:lvlJc w:val="right"/>
      <w:pPr>
        <w:ind w:left="1577" w:hanging="180"/>
      </w:pPr>
    </w:lvl>
    <w:lvl w:ilvl="3" w:tplc="0405000F" w:tentative="1">
      <w:start w:val="1"/>
      <w:numFmt w:val="decimal"/>
      <w:lvlText w:val="%4."/>
      <w:lvlJc w:val="left"/>
      <w:pPr>
        <w:ind w:left="2297" w:hanging="360"/>
      </w:pPr>
    </w:lvl>
    <w:lvl w:ilvl="4" w:tplc="04050019" w:tentative="1">
      <w:start w:val="1"/>
      <w:numFmt w:val="lowerLetter"/>
      <w:lvlText w:val="%5."/>
      <w:lvlJc w:val="left"/>
      <w:pPr>
        <w:ind w:left="3017" w:hanging="360"/>
      </w:pPr>
    </w:lvl>
    <w:lvl w:ilvl="5" w:tplc="0405001B" w:tentative="1">
      <w:start w:val="1"/>
      <w:numFmt w:val="lowerRoman"/>
      <w:lvlText w:val="%6."/>
      <w:lvlJc w:val="right"/>
      <w:pPr>
        <w:ind w:left="3737" w:hanging="180"/>
      </w:pPr>
    </w:lvl>
    <w:lvl w:ilvl="6" w:tplc="0405000F" w:tentative="1">
      <w:start w:val="1"/>
      <w:numFmt w:val="decimal"/>
      <w:lvlText w:val="%7."/>
      <w:lvlJc w:val="left"/>
      <w:pPr>
        <w:ind w:left="4457" w:hanging="360"/>
      </w:pPr>
    </w:lvl>
    <w:lvl w:ilvl="7" w:tplc="04050019" w:tentative="1">
      <w:start w:val="1"/>
      <w:numFmt w:val="lowerLetter"/>
      <w:lvlText w:val="%8."/>
      <w:lvlJc w:val="left"/>
      <w:pPr>
        <w:ind w:left="5177" w:hanging="360"/>
      </w:pPr>
    </w:lvl>
    <w:lvl w:ilvl="8" w:tplc="0405001B" w:tentative="1">
      <w:start w:val="1"/>
      <w:numFmt w:val="lowerRoman"/>
      <w:lvlText w:val="%9."/>
      <w:lvlJc w:val="right"/>
      <w:pPr>
        <w:ind w:left="589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A2"/>
    <w:rsid w:val="0000119D"/>
    <w:rsid w:val="00001257"/>
    <w:rsid w:val="0000227C"/>
    <w:rsid w:val="00002781"/>
    <w:rsid w:val="00003552"/>
    <w:rsid w:val="000039CF"/>
    <w:rsid w:val="000110D5"/>
    <w:rsid w:val="00012CB9"/>
    <w:rsid w:val="0001396A"/>
    <w:rsid w:val="00014CF3"/>
    <w:rsid w:val="00014F6D"/>
    <w:rsid w:val="00016986"/>
    <w:rsid w:val="000170ED"/>
    <w:rsid w:val="00017E2E"/>
    <w:rsid w:val="00023D83"/>
    <w:rsid w:val="00025640"/>
    <w:rsid w:val="000261EE"/>
    <w:rsid w:val="0002664C"/>
    <w:rsid w:val="00027656"/>
    <w:rsid w:val="00030662"/>
    <w:rsid w:val="00030F20"/>
    <w:rsid w:val="0003155E"/>
    <w:rsid w:val="000321DF"/>
    <w:rsid w:val="00033E4F"/>
    <w:rsid w:val="00034237"/>
    <w:rsid w:val="00035EB9"/>
    <w:rsid w:val="00040AF2"/>
    <w:rsid w:val="0004318D"/>
    <w:rsid w:val="000431B3"/>
    <w:rsid w:val="00047BEE"/>
    <w:rsid w:val="00052956"/>
    <w:rsid w:val="0005371F"/>
    <w:rsid w:val="00053DE6"/>
    <w:rsid w:val="00055740"/>
    <w:rsid w:val="00055D25"/>
    <w:rsid w:val="00055FC7"/>
    <w:rsid w:val="00060DD1"/>
    <w:rsid w:val="00060F14"/>
    <w:rsid w:val="0006280C"/>
    <w:rsid w:val="000633FF"/>
    <w:rsid w:val="00064569"/>
    <w:rsid w:val="0006538F"/>
    <w:rsid w:val="00067C5F"/>
    <w:rsid w:val="0007025C"/>
    <w:rsid w:val="00072FDF"/>
    <w:rsid w:val="00072FE8"/>
    <w:rsid w:val="00073FC5"/>
    <w:rsid w:val="00076EE1"/>
    <w:rsid w:val="000803AD"/>
    <w:rsid w:val="00080FA0"/>
    <w:rsid w:val="00082873"/>
    <w:rsid w:val="000853CA"/>
    <w:rsid w:val="000909E4"/>
    <w:rsid w:val="000914EB"/>
    <w:rsid w:val="00092923"/>
    <w:rsid w:val="000933F8"/>
    <w:rsid w:val="00093D49"/>
    <w:rsid w:val="000952CE"/>
    <w:rsid w:val="000957C6"/>
    <w:rsid w:val="000A03AB"/>
    <w:rsid w:val="000A0C73"/>
    <w:rsid w:val="000A2E0E"/>
    <w:rsid w:val="000A4C61"/>
    <w:rsid w:val="000A593D"/>
    <w:rsid w:val="000B0EFB"/>
    <w:rsid w:val="000B2314"/>
    <w:rsid w:val="000B3A8B"/>
    <w:rsid w:val="000B5E95"/>
    <w:rsid w:val="000B690A"/>
    <w:rsid w:val="000B694A"/>
    <w:rsid w:val="000C0093"/>
    <w:rsid w:val="000C079A"/>
    <w:rsid w:val="000C2B3C"/>
    <w:rsid w:val="000C4278"/>
    <w:rsid w:val="000C4F6C"/>
    <w:rsid w:val="000C5911"/>
    <w:rsid w:val="000C6179"/>
    <w:rsid w:val="000C6B1F"/>
    <w:rsid w:val="000D031A"/>
    <w:rsid w:val="000D1365"/>
    <w:rsid w:val="000D14F5"/>
    <w:rsid w:val="000D2CE5"/>
    <w:rsid w:val="000D3395"/>
    <w:rsid w:val="000D5EC9"/>
    <w:rsid w:val="000E0FE0"/>
    <w:rsid w:val="000E1438"/>
    <w:rsid w:val="000E60CC"/>
    <w:rsid w:val="000E620E"/>
    <w:rsid w:val="000E71B9"/>
    <w:rsid w:val="000E7454"/>
    <w:rsid w:val="000F4820"/>
    <w:rsid w:val="000F5426"/>
    <w:rsid w:val="000F58C9"/>
    <w:rsid w:val="000F5D71"/>
    <w:rsid w:val="000F6F79"/>
    <w:rsid w:val="001037D9"/>
    <w:rsid w:val="00104FFE"/>
    <w:rsid w:val="0010694C"/>
    <w:rsid w:val="00110295"/>
    <w:rsid w:val="001111BA"/>
    <w:rsid w:val="001131DD"/>
    <w:rsid w:val="0011344B"/>
    <w:rsid w:val="00113B38"/>
    <w:rsid w:val="00115DA0"/>
    <w:rsid w:val="00116FFB"/>
    <w:rsid w:val="00121151"/>
    <w:rsid w:val="0012196C"/>
    <w:rsid w:val="00121C9B"/>
    <w:rsid w:val="00125253"/>
    <w:rsid w:val="0012555E"/>
    <w:rsid w:val="00127951"/>
    <w:rsid w:val="001346AF"/>
    <w:rsid w:val="001350E0"/>
    <w:rsid w:val="00136E59"/>
    <w:rsid w:val="001409B2"/>
    <w:rsid w:val="00143695"/>
    <w:rsid w:val="00147738"/>
    <w:rsid w:val="001536EE"/>
    <w:rsid w:val="00156DD0"/>
    <w:rsid w:val="00160F29"/>
    <w:rsid w:val="00165846"/>
    <w:rsid w:val="00166B57"/>
    <w:rsid w:val="00166DEA"/>
    <w:rsid w:val="00170C56"/>
    <w:rsid w:val="00171527"/>
    <w:rsid w:val="00172B7C"/>
    <w:rsid w:val="00172C66"/>
    <w:rsid w:val="001768AF"/>
    <w:rsid w:val="00180560"/>
    <w:rsid w:val="0018311B"/>
    <w:rsid w:val="001854A9"/>
    <w:rsid w:val="0018743F"/>
    <w:rsid w:val="00196346"/>
    <w:rsid w:val="0019645D"/>
    <w:rsid w:val="00197C1E"/>
    <w:rsid w:val="001A203D"/>
    <w:rsid w:val="001A281A"/>
    <w:rsid w:val="001A3B07"/>
    <w:rsid w:val="001A3CBC"/>
    <w:rsid w:val="001A55ED"/>
    <w:rsid w:val="001A5A06"/>
    <w:rsid w:val="001A6A6E"/>
    <w:rsid w:val="001A6C7A"/>
    <w:rsid w:val="001A7673"/>
    <w:rsid w:val="001B2DF2"/>
    <w:rsid w:val="001B6429"/>
    <w:rsid w:val="001B76D5"/>
    <w:rsid w:val="001C6F33"/>
    <w:rsid w:val="001C7E05"/>
    <w:rsid w:val="001D0C46"/>
    <w:rsid w:val="001D1F00"/>
    <w:rsid w:val="001D32B1"/>
    <w:rsid w:val="001D36EB"/>
    <w:rsid w:val="001D5798"/>
    <w:rsid w:val="001D5EB6"/>
    <w:rsid w:val="001D6EDB"/>
    <w:rsid w:val="001D7AEC"/>
    <w:rsid w:val="001E3B75"/>
    <w:rsid w:val="001E446E"/>
    <w:rsid w:val="001E4926"/>
    <w:rsid w:val="001E5881"/>
    <w:rsid w:val="001E715E"/>
    <w:rsid w:val="001F11C2"/>
    <w:rsid w:val="001F128B"/>
    <w:rsid w:val="001F22BC"/>
    <w:rsid w:val="001F70AA"/>
    <w:rsid w:val="001F724D"/>
    <w:rsid w:val="002070E9"/>
    <w:rsid w:val="00211533"/>
    <w:rsid w:val="00212725"/>
    <w:rsid w:val="00214474"/>
    <w:rsid w:val="0021506F"/>
    <w:rsid w:val="002262A5"/>
    <w:rsid w:val="00233D6F"/>
    <w:rsid w:val="002353AC"/>
    <w:rsid w:val="00237274"/>
    <w:rsid w:val="00240AFB"/>
    <w:rsid w:val="00242CAA"/>
    <w:rsid w:val="0024799F"/>
    <w:rsid w:val="00251186"/>
    <w:rsid w:val="00251AB8"/>
    <w:rsid w:val="002522DF"/>
    <w:rsid w:val="00252909"/>
    <w:rsid w:val="002533DB"/>
    <w:rsid w:val="002560EF"/>
    <w:rsid w:val="00257FDE"/>
    <w:rsid w:val="00257FF1"/>
    <w:rsid w:val="002603EC"/>
    <w:rsid w:val="00260DD4"/>
    <w:rsid w:val="00263565"/>
    <w:rsid w:val="00263649"/>
    <w:rsid w:val="0026597A"/>
    <w:rsid w:val="002678EB"/>
    <w:rsid w:val="00267BB9"/>
    <w:rsid w:val="00271171"/>
    <w:rsid w:val="00275AD4"/>
    <w:rsid w:val="00277459"/>
    <w:rsid w:val="00280FF2"/>
    <w:rsid w:val="002818F3"/>
    <w:rsid w:val="00282C79"/>
    <w:rsid w:val="002830C6"/>
    <w:rsid w:val="0028338C"/>
    <w:rsid w:val="0029157C"/>
    <w:rsid w:val="00293553"/>
    <w:rsid w:val="00294841"/>
    <w:rsid w:val="0029594C"/>
    <w:rsid w:val="0029718C"/>
    <w:rsid w:val="002A05C0"/>
    <w:rsid w:val="002A0D8C"/>
    <w:rsid w:val="002A6CC8"/>
    <w:rsid w:val="002A7D29"/>
    <w:rsid w:val="002A7D2C"/>
    <w:rsid w:val="002A7D9C"/>
    <w:rsid w:val="002B1925"/>
    <w:rsid w:val="002B69EB"/>
    <w:rsid w:val="002B7003"/>
    <w:rsid w:val="002B70CD"/>
    <w:rsid w:val="002C1475"/>
    <w:rsid w:val="002C2C67"/>
    <w:rsid w:val="002C376E"/>
    <w:rsid w:val="002C5F1D"/>
    <w:rsid w:val="002C6809"/>
    <w:rsid w:val="002C6870"/>
    <w:rsid w:val="002C76EC"/>
    <w:rsid w:val="002D00D5"/>
    <w:rsid w:val="002D1579"/>
    <w:rsid w:val="002D1D8C"/>
    <w:rsid w:val="002E04E6"/>
    <w:rsid w:val="002E0D84"/>
    <w:rsid w:val="002E1B68"/>
    <w:rsid w:val="002E1CCD"/>
    <w:rsid w:val="002E4528"/>
    <w:rsid w:val="002E5204"/>
    <w:rsid w:val="002E5456"/>
    <w:rsid w:val="002E7E2A"/>
    <w:rsid w:val="002F030D"/>
    <w:rsid w:val="002F1525"/>
    <w:rsid w:val="002F35BB"/>
    <w:rsid w:val="002F3CFF"/>
    <w:rsid w:val="002F42A5"/>
    <w:rsid w:val="002F4916"/>
    <w:rsid w:val="002F5151"/>
    <w:rsid w:val="002F5850"/>
    <w:rsid w:val="002F683F"/>
    <w:rsid w:val="002F69FF"/>
    <w:rsid w:val="002F7E3F"/>
    <w:rsid w:val="003008A7"/>
    <w:rsid w:val="003016AD"/>
    <w:rsid w:val="003057BE"/>
    <w:rsid w:val="00305E0A"/>
    <w:rsid w:val="00306F83"/>
    <w:rsid w:val="00311898"/>
    <w:rsid w:val="00311BF9"/>
    <w:rsid w:val="003120A5"/>
    <w:rsid w:val="00312578"/>
    <w:rsid w:val="00312EBF"/>
    <w:rsid w:val="0031473B"/>
    <w:rsid w:val="00315F24"/>
    <w:rsid w:val="00317CBD"/>
    <w:rsid w:val="003207A8"/>
    <w:rsid w:val="00320FF8"/>
    <w:rsid w:val="00322E22"/>
    <w:rsid w:val="00324918"/>
    <w:rsid w:val="00325137"/>
    <w:rsid w:val="003267D4"/>
    <w:rsid w:val="00326977"/>
    <w:rsid w:val="00327098"/>
    <w:rsid w:val="0033164B"/>
    <w:rsid w:val="00332EC1"/>
    <w:rsid w:val="00336791"/>
    <w:rsid w:val="003371A6"/>
    <w:rsid w:val="00340DBD"/>
    <w:rsid w:val="00340F91"/>
    <w:rsid w:val="0034103C"/>
    <w:rsid w:val="00341337"/>
    <w:rsid w:val="00343FE1"/>
    <w:rsid w:val="00344AA1"/>
    <w:rsid w:val="00345FAA"/>
    <w:rsid w:val="00346F0E"/>
    <w:rsid w:val="00350781"/>
    <w:rsid w:val="00350B86"/>
    <w:rsid w:val="003536E6"/>
    <w:rsid w:val="00355142"/>
    <w:rsid w:val="003567AD"/>
    <w:rsid w:val="00356815"/>
    <w:rsid w:val="00357CBB"/>
    <w:rsid w:val="00366798"/>
    <w:rsid w:val="00367609"/>
    <w:rsid w:val="00367B43"/>
    <w:rsid w:val="00370B08"/>
    <w:rsid w:val="00374BE7"/>
    <w:rsid w:val="00376E15"/>
    <w:rsid w:val="00380371"/>
    <w:rsid w:val="00382A30"/>
    <w:rsid w:val="00383358"/>
    <w:rsid w:val="00387314"/>
    <w:rsid w:val="003876DB"/>
    <w:rsid w:val="00387937"/>
    <w:rsid w:val="00390E15"/>
    <w:rsid w:val="0039104A"/>
    <w:rsid w:val="003953D3"/>
    <w:rsid w:val="00395988"/>
    <w:rsid w:val="003964E1"/>
    <w:rsid w:val="003A14B6"/>
    <w:rsid w:val="003A181B"/>
    <w:rsid w:val="003A3434"/>
    <w:rsid w:val="003A4732"/>
    <w:rsid w:val="003A4FD1"/>
    <w:rsid w:val="003A6F3A"/>
    <w:rsid w:val="003A7A48"/>
    <w:rsid w:val="003B2226"/>
    <w:rsid w:val="003B24B6"/>
    <w:rsid w:val="003B2E18"/>
    <w:rsid w:val="003B5EAE"/>
    <w:rsid w:val="003C0CCF"/>
    <w:rsid w:val="003C54F2"/>
    <w:rsid w:val="003C6408"/>
    <w:rsid w:val="003C6EB8"/>
    <w:rsid w:val="003D2951"/>
    <w:rsid w:val="003D48F8"/>
    <w:rsid w:val="003D6F8E"/>
    <w:rsid w:val="003E1A1F"/>
    <w:rsid w:val="003E1E49"/>
    <w:rsid w:val="003E3DE2"/>
    <w:rsid w:val="003E40D1"/>
    <w:rsid w:val="003E77A1"/>
    <w:rsid w:val="003F1964"/>
    <w:rsid w:val="00402D9F"/>
    <w:rsid w:val="0040325E"/>
    <w:rsid w:val="00403492"/>
    <w:rsid w:val="00403731"/>
    <w:rsid w:val="004059AB"/>
    <w:rsid w:val="00405EA9"/>
    <w:rsid w:val="00410AA6"/>
    <w:rsid w:val="00416A31"/>
    <w:rsid w:val="00426A92"/>
    <w:rsid w:val="004316C7"/>
    <w:rsid w:val="00433364"/>
    <w:rsid w:val="0043543D"/>
    <w:rsid w:val="004370C0"/>
    <w:rsid w:val="00437237"/>
    <w:rsid w:val="00437D6C"/>
    <w:rsid w:val="00441736"/>
    <w:rsid w:val="00442507"/>
    <w:rsid w:val="0044390B"/>
    <w:rsid w:val="0044519F"/>
    <w:rsid w:val="004462F7"/>
    <w:rsid w:val="004467C4"/>
    <w:rsid w:val="00446BD0"/>
    <w:rsid w:val="004503E6"/>
    <w:rsid w:val="00452412"/>
    <w:rsid w:val="0045410A"/>
    <w:rsid w:val="00454A85"/>
    <w:rsid w:val="00460C42"/>
    <w:rsid w:val="0046114D"/>
    <w:rsid w:val="00461766"/>
    <w:rsid w:val="00463642"/>
    <w:rsid w:val="00466AB9"/>
    <w:rsid w:val="004706FC"/>
    <w:rsid w:val="00471F4D"/>
    <w:rsid w:val="00475411"/>
    <w:rsid w:val="00476F5C"/>
    <w:rsid w:val="00477E8F"/>
    <w:rsid w:val="004831E5"/>
    <w:rsid w:val="004861FD"/>
    <w:rsid w:val="0048734D"/>
    <w:rsid w:val="00490688"/>
    <w:rsid w:val="004907FF"/>
    <w:rsid w:val="00492AE9"/>
    <w:rsid w:val="00493E4C"/>
    <w:rsid w:val="00495320"/>
    <w:rsid w:val="00495F8C"/>
    <w:rsid w:val="004973FD"/>
    <w:rsid w:val="00497993"/>
    <w:rsid w:val="004A0F38"/>
    <w:rsid w:val="004A1A95"/>
    <w:rsid w:val="004A420D"/>
    <w:rsid w:val="004A714A"/>
    <w:rsid w:val="004B032B"/>
    <w:rsid w:val="004B21C6"/>
    <w:rsid w:val="004B2FEB"/>
    <w:rsid w:val="004B5204"/>
    <w:rsid w:val="004C14E3"/>
    <w:rsid w:val="004C6916"/>
    <w:rsid w:val="004C778E"/>
    <w:rsid w:val="004D1726"/>
    <w:rsid w:val="004D3539"/>
    <w:rsid w:val="004D3CE0"/>
    <w:rsid w:val="004D40B2"/>
    <w:rsid w:val="004D75BF"/>
    <w:rsid w:val="004E5331"/>
    <w:rsid w:val="004E5B70"/>
    <w:rsid w:val="004E6937"/>
    <w:rsid w:val="004E7A70"/>
    <w:rsid w:val="004F30BD"/>
    <w:rsid w:val="004F4146"/>
    <w:rsid w:val="004F5B25"/>
    <w:rsid w:val="004F5B5A"/>
    <w:rsid w:val="00500DCA"/>
    <w:rsid w:val="005034DA"/>
    <w:rsid w:val="00503F76"/>
    <w:rsid w:val="00504958"/>
    <w:rsid w:val="005073A6"/>
    <w:rsid w:val="0051183B"/>
    <w:rsid w:val="00512BB8"/>
    <w:rsid w:val="00514F16"/>
    <w:rsid w:val="005156F7"/>
    <w:rsid w:val="005171E3"/>
    <w:rsid w:val="00517883"/>
    <w:rsid w:val="0052175E"/>
    <w:rsid w:val="00524ADB"/>
    <w:rsid w:val="00524BF2"/>
    <w:rsid w:val="00527067"/>
    <w:rsid w:val="00530C65"/>
    <w:rsid w:val="00532BE3"/>
    <w:rsid w:val="005349AB"/>
    <w:rsid w:val="00535ADA"/>
    <w:rsid w:val="0054074A"/>
    <w:rsid w:val="0054087B"/>
    <w:rsid w:val="005409B9"/>
    <w:rsid w:val="00540E43"/>
    <w:rsid w:val="00545502"/>
    <w:rsid w:val="00545FBD"/>
    <w:rsid w:val="0054668A"/>
    <w:rsid w:val="0054748B"/>
    <w:rsid w:val="00547885"/>
    <w:rsid w:val="0055065F"/>
    <w:rsid w:val="0055308D"/>
    <w:rsid w:val="005556C1"/>
    <w:rsid w:val="00556713"/>
    <w:rsid w:val="00557035"/>
    <w:rsid w:val="00561324"/>
    <w:rsid w:val="00561C4A"/>
    <w:rsid w:val="005643F4"/>
    <w:rsid w:val="00565634"/>
    <w:rsid w:val="0056750F"/>
    <w:rsid w:val="00567582"/>
    <w:rsid w:val="005677BC"/>
    <w:rsid w:val="005704C5"/>
    <w:rsid w:val="0057268D"/>
    <w:rsid w:val="005733C7"/>
    <w:rsid w:val="00575BAA"/>
    <w:rsid w:val="0057721C"/>
    <w:rsid w:val="00577D4E"/>
    <w:rsid w:val="0058038E"/>
    <w:rsid w:val="00580972"/>
    <w:rsid w:val="005826BC"/>
    <w:rsid w:val="00582B13"/>
    <w:rsid w:val="00584AAD"/>
    <w:rsid w:val="005861A0"/>
    <w:rsid w:val="0058771B"/>
    <w:rsid w:val="00590933"/>
    <w:rsid w:val="005912D0"/>
    <w:rsid w:val="005912F8"/>
    <w:rsid w:val="00594C7B"/>
    <w:rsid w:val="005954D5"/>
    <w:rsid w:val="00595D66"/>
    <w:rsid w:val="005A0BAA"/>
    <w:rsid w:val="005A2292"/>
    <w:rsid w:val="005A262C"/>
    <w:rsid w:val="005A2BCC"/>
    <w:rsid w:val="005A4048"/>
    <w:rsid w:val="005A498E"/>
    <w:rsid w:val="005B03B8"/>
    <w:rsid w:val="005B1E39"/>
    <w:rsid w:val="005B2B45"/>
    <w:rsid w:val="005B51C0"/>
    <w:rsid w:val="005C03A3"/>
    <w:rsid w:val="005C0FA8"/>
    <w:rsid w:val="005C5660"/>
    <w:rsid w:val="005C60BC"/>
    <w:rsid w:val="005C7342"/>
    <w:rsid w:val="005C740D"/>
    <w:rsid w:val="005D15C7"/>
    <w:rsid w:val="005D15D0"/>
    <w:rsid w:val="005D2256"/>
    <w:rsid w:val="005D32BF"/>
    <w:rsid w:val="005D3E08"/>
    <w:rsid w:val="005D6670"/>
    <w:rsid w:val="005D6F59"/>
    <w:rsid w:val="005E2954"/>
    <w:rsid w:val="005E295F"/>
    <w:rsid w:val="005E30D6"/>
    <w:rsid w:val="005E61DC"/>
    <w:rsid w:val="005E76DC"/>
    <w:rsid w:val="005E7D50"/>
    <w:rsid w:val="005F0F7B"/>
    <w:rsid w:val="005F2139"/>
    <w:rsid w:val="005F21BA"/>
    <w:rsid w:val="005F2D0F"/>
    <w:rsid w:val="005F3853"/>
    <w:rsid w:val="005F436D"/>
    <w:rsid w:val="005F6F58"/>
    <w:rsid w:val="005F7637"/>
    <w:rsid w:val="00601270"/>
    <w:rsid w:val="0060359F"/>
    <w:rsid w:val="00604546"/>
    <w:rsid w:val="00605FD4"/>
    <w:rsid w:val="00610915"/>
    <w:rsid w:val="006134B4"/>
    <w:rsid w:val="0061471F"/>
    <w:rsid w:val="00616288"/>
    <w:rsid w:val="00617FF1"/>
    <w:rsid w:val="00622B62"/>
    <w:rsid w:val="00625010"/>
    <w:rsid w:val="00627370"/>
    <w:rsid w:val="0063027C"/>
    <w:rsid w:val="0063126E"/>
    <w:rsid w:val="00631B69"/>
    <w:rsid w:val="00635DBB"/>
    <w:rsid w:val="0063643D"/>
    <w:rsid w:val="00637A4B"/>
    <w:rsid w:val="00643070"/>
    <w:rsid w:val="00654EC0"/>
    <w:rsid w:val="0065684B"/>
    <w:rsid w:val="00656C38"/>
    <w:rsid w:val="0066111C"/>
    <w:rsid w:val="00661312"/>
    <w:rsid w:val="00661347"/>
    <w:rsid w:val="00662F0D"/>
    <w:rsid w:val="00665B5E"/>
    <w:rsid w:val="006665E9"/>
    <w:rsid w:val="00667AFE"/>
    <w:rsid w:val="006702E4"/>
    <w:rsid w:val="006718DD"/>
    <w:rsid w:val="00672B58"/>
    <w:rsid w:val="00672B96"/>
    <w:rsid w:val="00672BB7"/>
    <w:rsid w:val="00673835"/>
    <w:rsid w:val="006744DE"/>
    <w:rsid w:val="0067612A"/>
    <w:rsid w:val="00677213"/>
    <w:rsid w:val="006801BB"/>
    <w:rsid w:val="00680BEE"/>
    <w:rsid w:val="0068119D"/>
    <w:rsid w:val="00681F6A"/>
    <w:rsid w:val="00684A1B"/>
    <w:rsid w:val="00684B67"/>
    <w:rsid w:val="00692512"/>
    <w:rsid w:val="006927BA"/>
    <w:rsid w:val="00693E78"/>
    <w:rsid w:val="006953F2"/>
    <w:rsid w:val="00696322"/>
    <w:rsid w:val="00697385"/>
    <w:rsid w:val="006A01B1"/>
    <w:rsid w:val="006A122B"/>
    <w:rsid w:val="006A13CF"/>
    <w:rsid w:val="006A15E7"/>
    <w:rsid w:val="006A231E"/>
    <w:rsid w:val="006A23EE"/>
    <w:rsid w:val="006A44C0"/>
    <w:rsid w:val="006A4F9E"/>
    <w:rsid w:val="006A528C"/>
    <w:rsid w:val="006A594B"/>
    <w:rsid w:val="006A6DE3"/>
    <w:rsid w:val="006B0F91"/>
    <w:rsid w:val="006B16CD"/>
    <w:rsid w:val="006B5BFA"/>
    <w:rsid w:val="006B5E3D"/>
    <w:rsid w:val="006C0DA4"/>
    <w:rsid w:val="006C209F"/>
    <w:rsid w:val="006C5597"/>
    <w:rsid w:val="006C712D"/>
    <w:rsid w:val="006C735B"/>
    <w:rsid w:val="006D51F0"/>
    <w:rsid w:val="006E20F2"/>
    <w:rsid w:val="006E4E8A"/>
    <w:rsid w:val="006F0F71"/>
    <w:rsid w:val="006F1883"/>
    <w:rsid w:val="006F24FE"/>
    <w:rsid w:val="006F29EF"/>
    <w:rsid w:val="006F2C05"/>
    <w:rsid w:val="006F5538"/>
    <w:rsid w:val="006F763D"/>
    <w:rsid w:val="00702F17"/>
    <w:rsid w:val="00703F7F"/>
    <w:rsid w:val="00706ADB"/>
    <w:rsid w:val="007076E0"/>
    <w:rsid w:val="00710E8F"/>
    <w:rsid w:val="00710EF9"/>
    <w:rsid w:val="007115B5"/>
    <w:rsid w:val="007138AB"/>
    <w:rsid w:val="0071470C"/>
    <w:rsid w:val="007151ED"/>
    <w:rsid w:val="00716F81"/>
    <w:rsid w:val="00721DB4"/>
    <w:rsid w:val="00722EFE"/>
    <w:rsid w:val="0072523F"/>
    <w:rsid w:val="00725A3E"/>
    <w:rsid w:val="007262F3"/>
    <w:rsid w:val="0072646B"/>
    <w:rsid w:val="00733CEF"/>
    <w:rsid w:val="00733E20"/>
    <w:rsid w:val="00733EA2"/>
    <w:rsid w:val="00735C53"/>
    <w:rsid w:val="00737158"/>
    <w:rsid w:val="0074021E"/>
    <w:rsid w:val="007408DA"/>
    <w:rsid w:val="00741C6E"/>
    <w:rsid w:val="007430B7"/>
    <w:rsid w:val="0074409A"/>
    <w:rsid w:val="00744A97"/>
    <w:rsid w:val="00746880"/>
    <w:rsid w:val="007526FE"/>
    <w:rsid w:val="00752F10"/>
    <w:rsid w:val="007547AB"/>
    <w:rsid w:val="00754831"/>
    <w:rsid w:val="00756A20"/>
    <w:rsid w:val="0075728E"/>
    <w:rsid w:val="00757E18"/>
    <w:rsid w:val="00760BCE"/>
    <w:rsid w:val="00763269"/>
    <w:rsid w:val="00766B88"/>
    <w:rsid w:val="00767779"/>
    <w:rsid w:val="0077612F"/>
    <w:rsid w:val="007761DF"/>
    <w:rsid w:val="007765E8"/>
    <w:rsid w:val="007769D0"/>
    <w:rsid w:val="00776CF1"/>
    <w:rsid w:val="0078229A"/>
    <w:rsid w:val="00782680"/>
    <w:rsid w:val="00784608"/>
    <w:rsid w:val="00785B22"/>
    <w:rsid w:val="00787051"/>
    <w:rsid w:val="007904B6"/>
    <w:rsid w:val="0079119F"/>
    <w:rsid w:val="00791C84"/>
    <w:rsid w:val="0079530A"/>
    <w:rsid w:val="007959B4"/>
    <w:rsid w:val="00797377"/>
    <w:rsid w:val="007977DF"/>
    <w:rsid w:val="00797F02"/>
    <w:rsid w:val="007A41EF"/>
    <w:rsid w:val="007A4653"/>
    <w:rsid w:val="007A4790"/>
    <w:rsid w:val="007A4BC1"/>
    <w:rsid w:val="007B06C2"/>
    <w:rsid w:val="007B2BC0"/>
    <w:rsid w:val="007B2BD0"/>
    <w:rsid w:val="007B4F0F"/>
    <w:rsid w:val="007B67E8"/>
    <w:rsid w:val="007B7078"/>
    <w:rsid w:val="007C015D"/>
    <w:rsid w:val="007C35D7"/>
    <w:rsid w:val="007C55A2"/>
    <w:rsid w:val="007C7D83"/>
    <w:rsid w:val="007D01D4"/>
    <w:rsid w:val="007D1E89"/>
    <w:rsid w:val="007D1E9E"/>
    <w:rsid w:val="007D43ED"/>
    <w:rsid w:val="007D51D0"/>
    <w:rsid w:val="007D73AB"/>
    <w:rsid w:val="007E2491"/>
    <w:rsid w:val="007E5D4A"/>
    <w:rsid w:val="007F0ADF"/>
    <w:rsid w:val="007F5413"/>
    <w:rsid w:val="007F7BD4"/>
    <w:rsid w:val="00800455"/>
    <w:rsid w:val="00806025"/>
    <w:rsid w:val="00806E7F"/>
    <w:rsid w:val="0081423F"/>
    <w:rsid w:val="008201AD"/>
    <w:rsid w:val="008220B0"/>
    <w:rsid w:val="008252E4"/>
    <w:rsid w:val="00825E03"/>
    <w:rsid w:val="00832635"/>
    <w:rsid w:val="0083382F"/>
    <w:rsid w:val="008342E2"/>
    <w:rsid w:val="00836B50"/>
    <w:rsid w:val="0084004E"/>
    <w:rsid w:val="008428C9"/>
    <w:rsid w:val="00853CC9"/>
    <w:rsid w:val="00855382"/>
    <w:rsid w:val="00855F1F"/>
    <w:rsid w:val="00862954"/>
    <w:rsid w:val="00863F4C"/>
    <w:rsid w:val="00867152"/>
    <w:rsid w:val="00870DAE"/>
    <w:rsid w:val="00871E1E"/>
    <w:rsid w:val="0087210A"/>
    <w:rsid w:val="00872C5B"/>
    <w:rsid w:val="00872FCC"/>
    <w:rsid w:val="00873C3E"/>
    <w:rsid w:val="008748F4"/>
    <w:rsid w:val="00875846"/>
    <w:rsid w:val="00875B48"/>
    <w:rsid w:val="0088009B"/>
    <w:rsid w:val="00880FEB"/>
    <w:rsid w:val="0088294E"/>
    <w:rsid w:val="00882C04"/>
    <w:rsid w:val="00882E09"/>
    <w:rsid w:val="0088365C"/>
    <w:rsid w:val="0088520D"/>
    <w:rsid w:val="008869E8"/>
    <w:rsid w:val="008878D0"/>
    <w:rsid w:val="008901F9"/>
    <w:rsid w:val="00890743"/>
    <w:rsid w:val="0089173C"/>
    <w:rsid w:val="00892803"/>
    <w:rsid w:val="00892A30"/>
    <w:rsid w:val="008A08DC"/>
    <w:rsid w:val="008A1918"/>
    <w:rsid w:val="008A2871"/>
    <w:rsid w:val="008A2FB6"/>
    <w:rsid w:val="008A6751"/>
    <w:rsid w:val="008B1388"/>
    <w:rsid w:val="008B2FE8"/>
    <w:rsid w:val="008B43D8"/>
    <w:rsid w:val="008B50B9"/>
    <w:rsid w:val="008B7DCF"/>
    <w:rsid w:val="008C0146"/>
    <w:rsid w:val="008C27A4"/>
    <w:rsid w:val="008C3787"/>
    <w:rsid w:val="008C50DE"/>
    <w:rsid w:val="008C716E"/>
    <w:rsid w:val="008C72A0"/>
    <w:rsid w:val="008D414B"/>
    <w:rsid w:val="008E2BCE"/>
    <w:rsid w:val="008E4090"/>
    <w:rsid w:val="008E44D7"/>
    <w:rsid w:val="008E51E4"/>
    <w:rsid w:val="008E70F3"/>
    <w:rsid w:val="008F20F7"/>
    <w:rsid w:val="008F4D01"/>
    <w:rsid w:val="008F564C"/>
    <w:rsid w:val="009009E5"/>
    <w:rsid w:val="00902841"/>
    <w:rsid w:val="00902A00"/>
    <w:rsid w:val="009048D6"/>
    <w:rsid w:val="00906B01"/>
    <w:rsid w:val="00914FF6"/>
    <w:rsid w:val="00916FD0"/>
    <w:rsid w:val="00917465"/>
    <w:rsid w:val="00930100"/>
    <w:rsid w:val="00930BEC"/>
    <w:rsid w:val="00930CA6"/>
    <w:rsid w:val="00931E7E"/>
    <w:rsid w:val="00932481"/>
    <w:rsid w:val="00933EEA"/>
    <w:rsid w:val="009356AB"/>
    <w:rsid w:val="00935BE4"/>
    <w:rsid w:val="009377BA"/>
    <w:rsid w:val="0094074A"/>
    <w:rsid w:val="00941616"/>
    <w:rsid w:val="00942613"/>
    <w:rsid w:val="00942706"/>
    <w:rsid w:val="009443F0"/>
    <w:rsid w:val="00944A8E"/>
    <w:rsid w:val="009452AD"/>
    <w:rsid w:val="00945674"/>
    <w:rsid w:val="00946628"/>
    <w:rsid w:val="00947F5D"/>
    <w:rsid w:val="0095004C"/>
    <w:rsid w:val="00950297"/>
    <w:rsid w:val="00951210"/>
    <w:rsid w:val="009522FC"/>
    <w:rsid w:val="00955701"/>
    <w:rsid w:val="009564A3"/>
    <w:rsid w:val="00957D0D"/>
    <w:rsid w:val="00962CD2"/>
    <w:rsid w:val="0096552D"/>
    <w:rsid w:val="00965531"/>
    <w:rsid w:val="00967E64"/>
    <w:rsid w:val="0097485C"/>
    <w:rsid w:val="00976DBB"/>
    <w:rsid w:val="00981E90"/>
    <w:rsid w:val="00984994"/>
    <w:rsid w:val="00985694"/>
    <w:rsid w:val="00985F9A"/>
    <w:rsid w:val="00987D32"/>
    <w:rsid w:val="00990B27"/>
    <w:rsid w:val="00992BC3"/>
    <w:rsid w:val="00994C7B"/>
    <w:rsid w:val="009959F9"/>
    <w:rsid w:val="00997C6E"/>
    <w:rsid w:val="009A0BBF"/>
    <w:rsid w:val="009A1D73"/>
    <w:rsid w:val="009A38B8"/>
    <w:rsid w:val="009A4A5D"/>
    <w:rsid w:val="009A58B4"/>
    <w:rsid w:val="009A6632"/>
    <w:rsid w:val="009A6E48"/>
    <w:rsid w:val="009B06AF"/>
    <w:rsid w:val="009B2597"/>
    <w:rsid w:val="009B3A8B"/>
    <w:rsid w:val="009B41D2"/>
    <w:rsid w:val="009B4443"/>
    <w:rsid w:val="009C0119"/>
    <w:rsid w:val="009C099A"/>
    <w:rsid w:val="009C246B"/>
    <w:rsid w:val="009C265B"/>
    <w:rsid w:val="009C2F66"/>
    <w:rsid w:val="009C4538"/>
    <w:rsid w:val="009C590D"/>
    <w:rsid w:val="009C59E9"/>
    <w:rsid w:val="009C7022"/>
    <w:rsid w:val="009C7C7E"/>
    <w:rsid w:val="009D01E8"/>
    <w:rsid w:val="009D117F"/>
    <w:rsid w:val="009D125D"/>
    <w:rsid w:val="009D1C59"/>
    <w:rsid w:val="009D3E40"/>
    <w:rsid w:val="009E295C"/>
    <w:rsid w:val="009E4135"/>
    <w:rsid w:val="009E635F"/>
    <w:rsid w:val="009E663B"/>
    <w:rsid w:val="009E6FA2"/>
    <w:rsid w:val="009E72B1"/>
    <w:rsid w:val="009F092C"/>
    <w:rsid w:val="009F318A"/>
    <w:rsid w:val="009F4BE3"/>
    <w:rsid w:val="009F5081"/>
    <w:rsid w:val="009F5E0B"/>
    <w:rsid w:val="009F6763"/>
    <w:rsid w:val="00A057BE"/>
    <w:rsid w:val="00A07038"/>
    <w:rsid w:val="00A12BF5"/>
    <w:rsid w:val="00A13B5D"/>
    <w:rsid w:val="00A13BD2"/>
    <w:rsid w:val="00A15685"/>
    <w:rsid w:val="00A20227"/>
    <w:rsid w:val="00A231F3"/>
    <w:rsid w:val="00A244C8"/>
    <w:rsid w:val="00A26852"/>
    <w:rsid w:val="00A26A00"/>
    <w:rsid w:val="00A300A2"/>
    <w:rsid w:val="00A324E2"/>
    <w:rsid w:val="00A32896"/>
    <w:rsid w:val="00A32EEE"/>
    <w:rsid w:val="00A3482C"/>
    <w:rsid w:val="00A4006F"/>
    <w:rsid w:val="00A422C7"/>
    <w:rsid w:val="00A434D1"/>
    <w:rsid w:val="00A45442"/>
    <w:rsid w:val="00A45FB9"/>
    <w:rsid w:val="00A46725"/>
    <w:rsid w:val="00A47511"/>
    <w:rsid w:val="00A479D6"/>
    <w:rsid w:val="00A51294"/>
    <w:rsid w:val="00A52D31"/>
    <w:rsid w:val="00A541D4"/>
    <w:rsid w:val="00A5482F"/>
    <w:rsid w:val="00A601AE"/>
    <w:rsid w:val="00A62797"/>
    <w:rsid w:val="00A63FAA"/>
    <w:rsid w:val="00A6782D"/>
    <w:rsid w:val="00A71EE8"/>
    <w:rsid w:val="00A728A3"/>
    <w:rsid w:val="00A7323A"/>
    <w:rsid w:val="00A745C1"/>
    <w:rsid w:val="00A76799"/>
    <w:rsid w:val="00A76E50"/>
    <w:rsid w:val="00A776CB"/>
    <w:rsid w:val="00A84CE9"/>
    <w:rsid w:val="00A85F2F"/>
    <w:rsid w:val="00A87DB5"/>
    <w:rsid w:val="00A906AF"/>
    <w:rsid w:val="00A906B5"/>
    <w:rsid w:val="00A90EF4"/>
    <w:rsid w:val="00A926D4"/>
    <w:rsid w:val="00A943B2"/>
    <w:rsid w:val="00A94542"/>
    <w:rsid w:val="00AA1387"/>
    <w:rsid w:val="00AA2C9F"/>
    <w:rsid w:val="00AA5E74"/>
    <w:rsid w:val="00AB12E5"/>
    <w:rsid w:val="00AB2DE8"/>
    <w:rsid w:val="00AC2021"/>
    <w:rsid w:val="00AC22A3"/>
    <w:rsid w:val="00AC2395"/>
    <w:rsid w:val="00AC2D6D"/>
    <w:rsid w:val="00AC339F"/>
    <w:rsid w:val="00AC3A50"/>
    <w:rsid w:val="00AC5BCC"/>
    <w:rsid w:val="00AC5F68"/>
    <w:rsid w:val="00AC6AD5"/>
    <w:rsid w:val="00AD0157"/>
    <w:rsid w:val="00AD317B"/>
    <w:rsid w:val="00AD45FE"/>
    <w:rsid w:val="00AD4919"/>
    <w:rsid w:val="00AE0527"/>
    <w:rsid w:val="00AE1035"/>
    <w:rsid w:val="00AE16A4"/>
    <w:rsid w:val="00AE221F"/>
    <w:rsid w:val="00AE443F"/>
    <w:rsid w:val="00AE4C3F"/>
    <w:rsid w:val="00AE6024"/>
    <w:rsid w:val="00AF2A07"/>
    <w:rsid w:val="00AF4BFC"/>
    <w:rsid w:val="00B01F29"/>
    <w:rsid w:val="00B10B32"/>
    <w:rsid w:val="00B10BDA"/>
    <w:rsid w:val="00B12D93"/>
    <w:rsid w:val="00B131A2"/>
    <w:rsid w:val="00B14BB4"/>
    <w:rsid w:val="00B15312"/>
    <w:rsid w:val="00B172EC"/>
    <w:rsid w:val="00B23DC0"/>
    <w:rsid w:val="00B24A80"/>
    <w:rsid w:val="00B25BCA"/>
    <w:rsid w:val="00B25F7D"/>
    <w:rsid w:val="00B2632A"/>
    <w:rsid w:val="00B273A5"/>
    <w:rsid w:val="00B27A14"/>
    <w:rsid w:val="00B30D0D"/>
    <w:rsid w:val="00B319B5"/>
    <w:rsid w:val="00B31B0E"/>
    <w:rsid w:val="00B345C4"/>
    <w:rsid w:val="00B34C67"/>
    <w:rsid w:val="00B35EEF"/>
    <w:rsid w:val="00B41CB4"/>
    <w:rsid w:val="00B42338"/>
    <w:rsid w:val="00B42D41"/>
    <w:rsid w:val="00B42E63"/>
    <w:rsid w:val="00B45660"/>
    <w:rsid w:val="00B46243"/>
    <w:rsid w:val="00B47BF2"/>
    <w:rsid w:val="00B51315"/>
    <w:rsid w:val="00B51318"/>
    <w:rsid w:val="00B51326"/>
    <w:rsid w:val="00B544E3"/>
    <w:rsid w:val="00B64015"/>
    <w:rsid w:val="00B64398"/>
    <w:rsid w:val="00B660F0"/>
    <w:rsid w:val="00B67186"/>
    <w:rsid w:val="00B676BD"/>
    <w:rsid w:val="00B7063C"/>
    <w:rsid w:val="00B70AEE"/>
    <w:rsid w:val="00B718C2"/>
    <w:rsid w:val="00B774A8"/>
    <w:rsid w:val="00B775E0"/>
    <w:rsid w:val="00B84F3F"/>
    <w:rsid w:val="00B87D38"/>
    <w:rsid w:val="00B91100"/>
    <w:rsid w:val="00B92593"/>
    <w:rsid w:val="00B948E1"/>
    <w:rsid w:val="00BA0468"/>
    <w:rsid w:val="00BA097C"/>
    <w:rsid w:val="00BA36CE"/>
    <w:rsid w:val="00BA3989"/>
    <w:rsid w:val="00BA5729"/>
    <w:rsid w:val="00BA58D2"/>
    <w:rsid w:val="00BA6672"/>
    <w:rsid w:val="00BA7C73"/>
    <w:rsid w:val="00BB1847"/>
    <w:rsid w:val="00BB3010"/>
    <w:rsid w:val="00BB7537"/>
    <w:rsid w:val="00BB7792"/>
    <w:rsid w:val="00BC1E48"/>
    <w:rsid w:val="00BC1E57"/>
    <w:rsid w:val="00BC2F01"/>
    <w:rsid w:val="00BC3888"/>
    <w:rsid w:val="00BC4DB5"/>
    <w:rsid w:val="00BD0D4F"/>
    <w:rsid w:val="00BD3F96"/>
    <w:rsid w:val="00BD65DC"/>
    <w:rsid w:val="00BD6790"/>
    <w:rsid w:val="00BD7803"/>
    <w:rsid w:val="00BE059D"/>
    <w:rsid w:val="00BE0FB2"/>
    <w:rsid w:val="00BE1FCB"/>
    <w:rsid w:val="00BE4C87"/>
    <w:rsid w:val="00BE50C4"/>
    <w:rsid w:val="00BF0A39"/>
    <w:rsid w:val="00BF14DC"/>
    <w:rsid w:val="00BF22DB"/>
    <w:rsid w:val="00BF3BA9"/>
    <w:rsid w:val="00C00076"/>
    <w:rsid w:val="00C01639"/>
    <w:rsid w:val="00C027EB"/>
    <w:rsid w:val="00C04049"/>
    <w:rsid w:val="00C07358"/>
    <w:rsid w:val="00C07B25"/>
    <w:rsid w:val="00C1456C"/>
    <w:rsid w:val="00C17493"/>
    <w:rsid w:val="00C21DC0"/>
    <w:rsid w:val="00C21F49"/>
    <w:rsid w:val="00C231A7"/>
    <w:rsid w:val="00C231F2"/>
    <w:rsid w:val="00C24FD2"/>
    <w:rsid w:val="00C25C5A"/>
    <w:rsid w:val="00C3131B"/>
    <w:rsid w:val="00C3186F"/>
    <w:rsid w:val="00C31C5B"/>
    <w:rsid w:val="00C32127"/>
    <w:rsid w:val="00C33A96"/>
    <w:rsid w:val="00C36E99"/>
    <w:rsid w:val="00C36F14"/>
    <w:rsid w:val="00C438AE"/>
    <w:rsid w:val="00C45298"/>
    <w:rsid w:val="00C456A8"/>
    <w:rsid w:val="00C52010"/>
    <w:rsid w:val="00C57142"/>
    <w:rsid w:val="00C6119E"/>
    <w:rsid w:val="00C61698"/>
    <w:rsid w:val="00C65869"/>
    <w:rsid w:val="00C66A5B"/>
    <w:rsid w:val="00C66B21"/>
    <w:rsid w:val="00C675FD"/>
    <w:rsid w:val="00C71D8B"/>
    <w:rsid w:val="00C72CC1"/>
    <w:rsid w:val="00C75FBF"/>
    <w:rsid w:val="00C7622D"/>
    <w:rsid w:val="00C764E2"/>
    <w:rsid w:val="00C76EFB"/>
    <w:rsid w:val="00C772C3"/>
    <w:rsid w:val="00C80073"/>
    <w:rsid w:val="00C81037"/>
    <w:rsid w:val="00C8222C"/>
    <w:rsid w:val="00C826F4"/>
    <w:rsid w:val="00C8623D"/>
    <w:rsid w:val="00C86CEC"/>
    <w:rsid w:val="00C87FF0"/>
    <w:rsid w:val="00C91307"/>
    <w:rsid w:val="00C9176D"/>
    <w:rsid w:val="00C93D89"/>
    <w:rsid w:val="00C93F8A"/>
    <w:rsid w:val="00C94082"/>
    <w:rsid w:val="00C945F2"/>
    <w:rsid w:val="00C95A8C"/>
    <w:rsid w:val="00C968F2"/>
    <w:rsid w:val="00C96933"/>
    <w:rsid w:val="00CA3F6B"/>
    <w:rsid w:val="00CA6E94"/>
    <w:rsid w:val="00CB19AF"/>
    <w:rsid w:val="00CB1D87"/>
    <w:rsid w:val="00CB2C3F"/>
    <w:rsid w:val="00CB46BD"/>
    <w:rsid w:val="00CB5E6C"/>
    <w:rsid w:val="00CC1EA4"/>
    <w:rsid w:val="00CC3C58"/>
    <w:rsid w:val="00CC578C"/>
    <w:rsid w:val="00CC7536"/>
    <w:rsid w:val="00CC7F02"/>
    <w:rsid w:val="00CD001D"/>
    <w:rsid w:val="00CD2EFD"/>
    <w:rsid w:val="00CD3166"/>
    <w:rsid w:val="00CD6919"/>
    <w:rsid w:val="00CE0207"/>
    <w:rsid w:val="00CE167C"/>
    <w:rsid w:val="00CE177F"/>
    <w:rsid w:val="00CE1D9C"/>
    <w:rsid w:val="00CE3BCF"/>
    <w:rsid w:val="00CE66CC"/>
    <w:rsid w:val="00CE67AD"/>
    <w:rsid w:val="00CF08E7"/>
    <w:rsid w:val="00CF22ED"/>
    <w:rsid w:val="00CF2F03"/>
    <w:rsid w:val="00D009A8"/>
    <w:rsid w:val="00D01178"/>
    <w:rsid w:val="00D01786"/>
    <w:rsid w:val="00D03A20"/>
    <w:rsid w:val="00D05153"/>
    <w:rsid w:val="00D077D7"/>
    <w:rsid w:val="00D1081C"/>
    <w:rsid w:val="00D11C20"/>
    <w:rsid w:val="00D124CD"/>
    <w:rsid w:val="00D14540"/>
    <w:rsid w:val="00D148C7"/>
    <w:rsid w:val="00D14C0C"/>
    <w:rsid w:val="00D16BBC"/>
    <w:rsid w:val="00D16BDE"/>
    <w:rsid w:val="00D16C44"/>
    <w:rsid w:val="00D17B2A"/>
    <w:rsid w:val="00D17F2B"/>
    <w:rsid w:val="00D206B9"/>
    <w:rsid w:val="00D21B76"/>
    <w:rsid w:val="00D262A9"/>
    <w:rsid w:val="00D277DC"/>
    <w:rsid w:val="00D27830"/>
    <w:rsid w:val="00D308FE"/>
    <w:rsid w:val="00D3106C"/>
    <w:rsid w:val="00D335C7"/>
    <w:rsid w:val="00D344EA"/>
    <w:rsid w:val="00D374F7"/>
    <w:rsid w:val="00D376F8"/>
    <w:rsid w:val="00D45875"/>
    <w:rsid w:val="00D50A6E"/>
    <w:rsid w:val="00D52AE5"/>
    <w:rsid w:val="00D5767B"/>
    <w:rsid w:val="00D601E1"/>
    <w:rsid w:val="00D611DB"/>
    <w:rsid w:val="00D61585"/>
    <w:rsid w:val="00D62A2C"/>
    <w:rsid w:val="00D63F9C"/>
    <w:rsid w:val="00D63FC2"/>
    <w:rsid w:val="00D64833"/>
    <w:rsid w:val="00D6525A"/>
    <w:rsid w:val="00D6569F"/>
    <w:rsid w:val="00D6587A"/>
    <w:rsid w:val="00D662C2"/>
    <w:rsid w:val="00D66843"/>
    <w:rsid w:val="00D66E38"/>
    <w:rsid w:val="00D70C8E"/>
    <w:rsid w:val="00D75763"/>
    <w:rsid w:val="00D77EA2"/>
    <w:rsid w:val="00D81CB6"/>
    <w:rsid w:val="00D8719A"/>
    <w:rsid w:val="00D8721F"/>
    <w:rsid w:val="00D91433"/>
    <w:rsid w:val="00D9555B"/>
    <w:rsid w:val="00D95BC5"/>
    <w:rsid w:val="00D97A75"/>
    <w:rsid w:val="00DA0086"/>
    <w:rsid w:val="00DA36FB"/>
    <w:rsid w:val="00DA649A"/>
    <w:rsid w:val="00DA67C0"/>
    <w:rsid w:val="00DB07A6"/>
    <w:rsid w:val="00DB1885"/>
    <w:rsid w:val="00DB21E5"/>
    <w:rsid w:val="00DB34B3"/>
    <w:rsid w:val="00DB5242"/>
    <w:rsid w:val="00DC0C14"/>
    <w:rsid w:val="00DC2371"/>
    <w:rsid w:val="00DD367E"/>
    <w:rsid w:val="00DD3DC0"/>
    <w:rsid w:val="00DE33C2"/>
    <w:rsid w:val="00DE5DFF"/>
    <w:rsid w:val="00DE6045"/>
    <w:rsid w:val="00DE6B4C"/>
    <w:rsid w:val="00DF28AF"/>
    <w:rsid w:val="00DF369B"/>
    <w:rsid w:val="00DF59C2"/>
    <w:rsid w:val="00DF59F0"/>
    <w:rsid w:val="00DF6221"/>
    <w:rsid w:val="00DF69F8"/>
    <w:rsid w:val="00E018DE"/>
    <w:rsid w:val="00E01BB6"/>
    <w:rsid w:val="00E06719"/>
    <w:rsid w:val="00E10913"/>
    <w:rsid w:val="00E12712"/>
    <w:rsid w:val="00E128C6"/>
    <w:rsid w:val="00E15271"/>
    <w:rsid w:val="00E15E35"/>
    <w:rsid w:val="00E17213"/>
    <w:rsid w:val="00E21460"/>
    <w:rsid w:val="00E22B32"/>
    <w:rsid w:val="00E236D2"/>
    <w:rsid w:val="00E250FF"/>
    <w:rsid w:val="00E25CA4"/>
    <w:rsid w:val="00E27F64"/>
    <w:rsid w:val="00E32B62"/>
    <w:rsid w:val="00E3366C"/>
    <w:rsid w:val="00E35919"/>
    <w:rsid w:val="00E367CE"/>
    <w:rsid w:val="00E37900"/>
    <w:rsid w:val="00E41E40"/>
    <w:rsid w:val="00E42E74"/>
    <w:rsid w:val="00E46B3F"/>
    <w:rsid w:val="00E47AB7"/>
    <w:rsid w:val="00E47B77"/>
    <w:rsid w:val="00E508E4"/>
    <w:rsid w:val="00E50CC2"/>
    <w:rsid w:val="00E529A9"/>
    <w:rsid w:val="00E53D57"/>
    <w:rsid w:val="00E56EA4"/>
    <w:rsid w:val="00E646C5"/>
    <w:rsid w:val="00E64F14"/>
    <w:rsid w:val="00E65EA3"/>
    <w:rsid w:val="00E6747F"/>
    <w:rsid w:val="00E732B9"/>
    <w:rsid w:val="00E758AE"/>
    <w:rsid w:val="00E75B18"/>
    <w:rsid w:val="00E763DF"/>
    <w:rsid w:val="00E76F3D"/>
    <w:rsid w:val="00E774A0"/>
    <w:rsid w:val="00E81238"/>
    <w:rsid w:val="00E83685"/>
    <w:rsid w:val="00E87005"/>
    <w:rsid w:val="00E907AC"/>
    <w:rsid w:val="00E9100F"/>
    <w:rsid w:val="00E92382"/>
    <w:rsid w:val="00E92774"/>
    <w:rsid w:val="00E9337A"/>
    <w:rsid w:val="00E94A84"/>
    <w:rsid w:val="00E95B38"/>
    <w:rsid w:val="00E96228"/>
    <w:rsid w:val="00E97B4B"/>
    <w:rsid w:val="00EA0074"/>
    <w:rsid w:val="00EA1950"/>
    <w:rsid w:val="00EA307E"/>
    <w:rsid w:val="00EA31B9"/>
    <w:rsid w:val="00EA3F2E"/>
    <w:rsid w:val="00EA4F78"/>
    <w:rsid w:val="00EA555E"/>
    <w:rsid w:val="00EB37E6"/>
    <w:rsid w:val="00EB3F9F"/>
    <w:rsid w:val="00EB72FA"/>
    <w:rsid w:val="00EB78D0"/>
    <w:rsid w:val="00EC008B"/>
    <w:rsid w:val="00EC029C"/>
    <w:rsid w:val="00EC17F7"/>
    <w:rsid w:val="00EC4581"/>
    <w:rsid w:val="00EC548D"/>
    <w:rsid w:val="00EC5FD4"/>
    <w:rsid w:val="00EC5FE5"/>
    <w:rsid w:val="00EC6620"/>
    <w:rsid w:val="00ED53AF"/>
    <w:rsid w:val="00ED76BA"/>
    <w:rsid w:val="00ED7819"/>
    <w:rsid w:val="00EE0F00"/>
    <w:rsid w:val="00EF0B88"/>
    <w:rsid w:val="00EF4615"/>
    <w:rsid w:val="00EF5387"/>
    <w:rsid w:val="00EF6BE0"/>
    <w:rsid w:val="00EF7147"/>
    <w:rsid w:val="00EF7BB3"/>
    <w:rsid w:val="00F01FFE"/>
    <w:rsid w:val="00F11403"/>
    <w:rsid w:val="00F13514"/>
    <w:rsid w:val="00F15EB5"/>
    <w:rsid w:val="00F1623E"/>
    <w:rsid w:val="00F173A2"/>
    <w:rsid w:val="00F17FD0"/>
    <w:rsid w:val="00F204B7"/>
    <w:rsid w:val="00F20E32"/>
    <w:rsid w:val="00F21FD4"/>
    <w:rsid w:val="00F24528"/>
    <w:rsid w:val="00F2727D"/>
    <w:rsid w:val="00F318ED"/>
    <w:rsid w:val="00F322AB"/>
    <w:rsid w:val="00F358CC"/>
    <w:rsid w:val="00F35FFE"/>
    <w:rsid w:val="00F36129"/>
    <w:rsid w:val="00F41506"/>
    <w:rsid w:val="00F42521"/>
    <w:rsid w:val="00F437EE"/>
    <w:rsid w:val="00F47169"/>
    <w:rsid w:val="00F5151A"/>
    <w:rsid w:val="00F5346D"/>
    <w:rsid w:val="00F546D9"/>
    <w:rsid w:val="00F54CBC"/>
    <w:rsid w:val="00F55F68"/>
    <w:rsid w:val="00F644BD"/>
    <w:rsid w:val="00F7205E"/>
    <w:rsid w:val="00F72E94"/>
    <w:rsid w:val="00F740B9"/>
    <w:rsid w:val="00F76197"/>
    <w:rsid w:val="00F76E9D"/>
    <w:rsid w:val="00F819E2"/>
    <w:rsid w:val="00F90113"/>
    <w:rsid w:val="00F90A1F"/>
    <w:rsid w:val="00F90EF7"/>
    <w:rsid w:val="00F94DB2"/>
    <w:rsid w:val="00F956A2"/>
    <w:rsid w:val="00F976FB"/>
    <w:rsid w:val="00FA048C"/>
    <w:rsid w:val="00FA332F"/>
    <w:rsid w:val="00FA3564"/>
    <w:rsid w:val="00FA7065"/>
    <w:rsid w:val="00FA7766"/>
    <w:rsid w:val="00FB15A6"/>
    <w:rsid w:val="00FB1F53"/>
    <w:rsid w:val="00FB282F"/>
    <w:rsid w:val="00FB415A"/>
    <w:rsid w:val="00FB55E5"/>
    <w:rsid w:val="00FB6632"/>
    <w:rsid w:val="00FB6B9B"/>
    <w:rsid w:val="00FC2A47"/>
    <w:rsid w:val="00FC7792"/>
    <w:rsid w:val="00FC7D17"/>
    <w:rsid w:val="00FD0C4C"/>
    <w:rsid w:val="00FD1948"/>
    <w:rsid w:val="00FE1F07"/>
    <w:rsid w:val="00FE4D4F"/>
    <w:rsid w:val="00FE5ADA"/>
    <w:rsid w:val="00FF07BB"/>
    <w:rsid w:val="00FF1841"/>
    <w:rsid w:val="00FF1E26"/>
    <w:rsid w:val="00FF369E"/>
    <w:rsid w:val="00FF4528"/>
  </w:rsids>
  <m:mathPr>
    <m:mathFont m:val="Cambria Math"/>
    <m:brkBin m:val="before"/>
    <m:brkBinSub m:val="--"/>
    <m:smallFrac m:val="0"/>
    <m:dispDef/>
    <m:lMargin m:val="0"/>
    <m:rMargin m:val="0"/>
    <m:defJc m:val="centerGroup"/>
    <m:wrapIndent m:val="1440"/>
    <m:intLim m:val="subSup"/>
    <m:naryLim m:val="undOvr"/>
  </m:mathPr>
  <w:themeFontLang w:val="cs-CZ"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A0A00"/>
  <w15:docId w15:val="{ACB32CA9-284E-4E57-A1A9-4246EF2B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yanmar Text"/>
        <w:lang w:val="cs-CZ"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A3989"/>
    <w:pPr>
      <w:spacing w:after="200" w:line="276" w:lineRule="auto"/>
    </w:pPr>
    <w:rPr>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968F2"/>
    <w:rPr>
      <w:color w:val="0000FF"/>
      <w:u w:val="single"/>
    </w:rPr>
  </w:style>
  <w:style w:type="character" w:customStyle="1" w:styleId="hps">
    <w:name w:val="hps"/>
    <w:basedOn w:val="Standardnpsmoodstavce"/>
    <w:rsid w:val="00C968F2"/>
  </w:style>
  <w:style w:type="paragraph" w:styleId="Zhlav">
    <w:name w:val="header"/>
    <w:basedOn w:val="Normln"/>
    <w:link w:val="ZhlavChar"/>
    <w:uiPriority w:val="99"/>
    <w:unhideWhenUsed/>
    <w:rsid w:val="00A76E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E50"/>
  </w:style>
  <w:style w:type="paragraph" w:styleId="Zpat">
    <w:name w:val="footer"/>
    <w:basedOn w:val="Normln"/>
    <w:link w:val="ZpatChar"/>
    <w:uiPriority w:val="99"/>
    <w:unhideWhenUsed/>
    <w:rsid w:val="00A76E50"/>
    <w:pPr>
      <w:tabs>
        <w:tab w:val="center" w:pos="4536"/>
        <w:tab w:val="right" w:pos="9072"/>
      </w:tabs>
      <w:spacing w:after="0" w:line="240" w:lineRule="auto"/>
    </w:pPr>
  </w:style>
  <w:style w:type="character" w:customStyle="1" w:styleId="ZpatChar">
    <w:name w:val="Zápatí Char"/>
    <w:basedOn w:val="Standardnpsmoodstavce"/>
    <w:link w:val="Zpat"/>
    <w:uiPriority w:val="99"/>
    <w:rsid w:val="00A76E50"/>
  </w:style>
  <w:style w:type="paragraph" w:styleId="Textbubliny">
    <w:name w:val="Balloon Text"/>
    <w:basedOn w:val="Normln"/>
    <w:link w:val="TextbublinyChar"/>
    <w:uiPriority w:val="99"/>
    <w:semiHidden/>
    <w:unhideWhenUsed/>
    <w:rsid w:val="00FF07B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F07BB"/>
    <w:rPr>
      <w:rFonts w:ascii="Tahoma" w:hAnsi="Tahoma" w:cs="Tahoma"/>
      <w:sz w:val="16"/>
      <w:szCs w:val="16"/>
    </w:rPr>
  </w:style>
  <w:style w:type="character" w:styleId="Odkaznakoment">
    <w:name w:val="annotation reference"/>
    <w:uiPriority w:val="99"/>
    <w:semiHidden/>
    <w:unhideWhenUsed/>
    <w:rsid w:val="00F94DB2"/>
    <w:rPr>
      <w:sz w:val="16"/>
      <w:szCs w:val="16"/>
    </w:rPr>
  </w:style>
  <w:style w:type="paragraph" w:styleId="Textkomente">
    <w:name w:val="annotation text"/>
    <w:basedOn w:val="Normln"/>
    <w:link w:val="TextkomenteChar"/>
    <w:uiPriority w:val="99"/>
    <w:semiHidden/>
    <w:unhideWhenUsed/>
    <w:rsid w:val="00F94DB2"/>
    <w:pPr>
      <w:spacing w:line="240" w:lineRule="auto"/>
    </w:pPr>
    <w:rPr>
      <w:sz w:val="20"/>
      <w:szCs w:val="20"/>
    </w:rPr>
  </w:style>
  <w:style w:type="character" w:customStyle="1" w:styleId="TextkomenteChar">
    <w:name w:val="Text komentáře Char"/>
    <w:link w:val="Textkomente"/>
    <w:uiPriority w:val="99"/>
    <w:semiHidden/>
    <w:rsid w:val="00F94DB2"/>
    <w:rPr>
      <w:sz w:val="20"/>
      <w:szCs w:val="20"/>
    </w:rPr>
  </w:style>
  <w:style w:type="paragraph" w:styleId="Pedmtkomente">
    <w:name w:val="annotation subject"/>
    <w:basedOn w:val="Textkomente"/>
    <w:next w:val="Textkomente"/>
    <w:link w:val="PedmtkomenteChar"/>
    <w:uiPriority w:val="99"/>
    <w:semiHidden/>
    <w:unhideWhenUsed/>
    <w:rsid w:val="00F94DB2"/>
    <w:rPr>
      <w:b/>
      <w:bCs/>
    </w:rPr>
  </w:style>
  <w:style w:type="character" w:customStyle="1" w:styleId="PedmtkomenteChar">
    <w:name w:val="Předmět komentáře Char"/>
    <w:link w:val="Pedmtkomente"/>
    <w:uiPriority w:val="99"/>
    <w:semiHidden/>
    <w:rsid w:val="00F94DB2"/>
    <w:rPr>
      <w:b/>
      <w:bCs/>
      <w:sz w:val="20"/>
      <w:szCs w:val="20"/>
    </w:rPr>
  </w:style>
  <w:style w:type="paragraph" w:styleId="Prosttext">
    <w:name w:val="Plain Text"/>
    <w:basedOn w:val="Normln"/>
    <w:link w:val="ProsttextChar"/>
    <w:uiPriority w:val="99"/>
    <w:semiHidden/>
    <w:unhideWhenUsed/>
    <w:rsid w:val="00A84CE9"/>
    <w:pPr>
      <w:spacing w:after="0" w:line="240" w:lineRule="auto"/>
    </w:pPr>
    <w:rPr>
      <w:szCs w:val="21"/>
    </w:rPr>
  </w:style>
  <w:style w:type="character" w:customStyle="1" w:styleId="ProsttextChar">
    <w:name w:val="Prostý text Char"/>
    <w:link w:val="Prosttext"/>
    <w:uiPriority w:val="99"/>
    <w:semiHidden/>
    <w:rsid w:val="00A84CE9"/>
    <w:rPr>
      <w:rFonts w:ascii="Calibri" w:hAnsi="Calibri"/>
      <w:szCs w:val="21"/>
    </w:rPr>
  </w:style>
  <w:style w:type="paragraph" w:styleId="Odstavecseseznamem">
    <w:name w:val="List Paragraph"/>
    <w:basedOn w:val="Normln"/>
    <w:uiPriority w:val="34"/>
    <w:qFormat/>
    <w:rsid w:val="005171E3"/>
    <w:pPr>
      <w:ind w:left="720"/>
      <w:contextualSpacing/>
    </w:pPr>
  </w:style>
  <w:style w:type="table" w:styleId="Mkatabulky">
    <w:name w:val="Table Grid"/>
    <w:basedOn w:val="Normlntabulka"/>
    <w:uiPriority w:val="59"/>
    <w:rsid w:val="00DF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F20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0995">
      <w:bodyDiv w:val="1"/>
      <w:marLeft w:val="0"/>
      <w:marRight w:val="0"/>
      <w:marTop w:val="0"/>
      <w:marBottom w:val="0"/>
      <w:divBdr>
        <w:top w:val="none" w:sz="0" w:space="0" w:color="auto"/>
        <w:left w:val="none" w:sz="0" w:space="0" w:color="auto"/>
        <w:bottom w:val="none" w:sz="0" w:space="0" w:color="auto"/>
        <w:right w:val="none" w:sz="0" w:space="0" w:color="auto"/>
      </w:divBdr>
    </w:div>
    <w:div w:id="87890096">
      <w:bodyDiv w:val="1"/>
      <w:marLeft w:val="0"/>
      <w:marRight w:val="0"/>
      <w:marTop w:val="0"/>
      <w:marBottom w:val="0"/>
      <w:divBdr>
        <w:top w:val="none" w:sz="0" w:space="0" w:color="auto"/>
        <w:left w:val="none" w:sz="0" w:space="0" w:color="auto"/>
        <w:bottom w:val="none" w:sz="0" w:space="0" w:color="auto"/>
        <w:right w:val="none" w:sz="0" w:space="0" w:color="auto"/>
      </w:divBdr>
    </w:div>
    <w:div w:id="109128374">
      <w:bodyDiv w:val="1"/>
      <w:marLeft w:val="0"/>
      <w:marRight w:val="0"/>
      <w:marTop w:val="0"/>
      <w:marBottom w:val="0"/>
      <w:divBdr>
        <w:top w:val="none" w:sz="0" w:space="0" w:color="auto"/>
        <w:left w:val="none" w:sz="0" w:space="0" w:color="auto"/>
        <w:bottom w:val="none" w:sz="0" w:space="0" w:color="auto"/>
        <w:right w:val="none" w:sz="0" w:space="0" w:color="auto"/>
      </w:divBdr>
    </w:div>
    <w:div w:id="120659466">
      <w:bodyDiv w:val="1"/>
      <w:marLeft w:val="0"/>
      <w:marRight w:val="0"/>
      <w:marTop w:val="0"/>
      <w:marBottom w:val="0"/>
      <w:divBdr>
        <w:top w:val="none" w:sz="0" w:space="0" w:color="auto"/>
        <w:left w:val="none" w:sz="0" w:space="0" w:color="auto"/>
        <w:bottom w:val="none" w:sz="0" w:space="0" w:color="auto"/>
        <w:right w:val="none" w:sz="0" w:space="0" w:color="auto"/>
      </w:divBdr>
    </w:div>
    <w:div w:id="143200914">
      <w:bodyDiv w:val="1"/>
      <w:marLeft w:val="0"/>
      <w:marRight w:val="0"/>
      <w:marTop w:val="0"/>
      <w:marBottom w:val="0"/>
      <w:divBdr>
        <w:top w:val="none" w:sz="0" w:space="0" w:color="auto"/>
        <w:left w:val="none" w:sz="0" w:space="0" w:color="auto"/>
        <w:bottom w:val="none" w:sz="0" w:space="0" w:color="auto"/>
        <w:right w:val="none" w:sz="0" w:space="0" w:color="auto"/>
      </w:divBdr>
    </w:div>
    <w:div w:id="170604456">
      <w:bodyDiv w:val="1"/>
      <w:marLeft w:val="0"/>
      <w:marRight w:val="0"/>
      <w:marTop w:val="0"/>
      <w:marBottom w:val="0"/>
      <w:divBdr>
        <w:top w:val="none" w:sz="0" w:space="0" w:color="auto"/>
        <w:left w:val="none" w:sz="0" w:space="0" w:color="auto"/>
        <w:bottom w:val="none" w:sz="0" w:space="0" w:color="auto"/>
        <w:right w:val="none" w:sz="0" w:space="0" w:color="auto"/>
      </w:divBdr>
    </w:div>
    <w:div w:id="254748626">
      <w:bodyDiv w:val="1"/>
      <w:marLeft w:val="0"/>
      <w:marRight w:val="0"/>
      <w:marTop w:val="0"/>
      <w:marBottom w:val="0"/>
      <w:divBdr>
        <w:top w:val="none" w:sz="0" w:space="0" w:color="auto"/>
        <w:left w:val="none" w:sz="0" w:space="0" w:color="auto"/>
        <w:bottom w:val="none" w:sz="0" w:space="0" w:color="auto"/>
        <w:right w:val="none" w:sz="0" w:space="0" w:color="auto"/>
      </w:divBdr>
    </w:div>
    <w:div w:id="260451162">
      <w:bodyDiv w:val="1"/>
      <w:marLeft w:val="0"/>
      <w:marRight w:val="0"/>
      <w:marTop w:val="0"/>
      <w:marBottom w:val="0"/>
      <w:divBdr>
        <w:top w:val="none" w:sz="0" w:space="0" w:color="auto"/>
        <w:left w:val="none" w:sz="0" w:space="0" w:color="auto"/>
        <w:bottom w:val="none" w:sz="0" w:space="0" w:color="auto"/>
        <w:right w:val="none" w:sz="0" w:space="0" w:color="auto"/>
      </w:divBdr>
    </w:div>
    <w:div w:id="323822136">
      <w:bodyDiv w:val="1"/>
      <w:marLeft w:val="0"/>
      <w:marRight w:val="0"/>
      <w:marTop w:val="0"/>
      <w:marBottom w:val="0"/>
      <w:divBdr>
        <w:top w:val="none" w:sz="0" w:space="0" w:color="auto"/>
        <w:left w:val="none" w:sz="0" w:space="0" w:color="auto"/>
        <w:bottom w:val="none" w:sz="0" w:space="0" w:color="auto"/>
        <w:right w:val="none" w:sz="0" w:space="0" w:color="auto"/>
      </w:divBdr>
    </w:div>
    <w:div w:id="326520374">
      <w:bodyDiv w:val="1"/>
      <w:marLeft w:val="0"/>
      <w:marRight w:val="0"/>
      <w:marTop w:val="0"/>
      <w:marBottom w:val="0"/>
      <w:divBdr>
        <w:top w:val="none" w:sz="0" w:space="0" w:color="auto"/>
        <w:left w:val="none" w:sz="0" w:space="0" w:color="auto"/>
        <w:bottom w:val="none" w:sz="0" w:space="0" w:color="auto"/>
        <w:right w:val="none" w:sz="0" w:space="0" w:color="auto"/>
      </w:divBdr>
    </w:div>
    <w:div w:id="389116821">
      <w:bodyDiv w:val="1"/>
      <w:marLeft w:val="0"/>
      <w:marRight w:val="0"/>
      <w:marTop w:val="0"/>
      <w:marBottom w:val="0"/>
      <w:divBdr>
        <w:top w:val="none" w:sz="0" w:space="0" w:color="auto"/>
        <w:left w:val="none" w:sz="0" w:space="0" w:color="auto"/>
        <w:bottom w:val="none" w:sz="0" w:space="0" w:color="auto"/>
        <w:right w:val="none" w:sz="0" w:space="0" w:color="auto"/>
      </w:divBdr>
    </w:div>
    <w:div w:id="485822104">
      <w:bodyDiv w:val="1"/>
      <w:marLeft w:val="0"/>
      <w:marRight w:val="0"/>
      <w:marTop w:val="0"/>
      <w:marBottom w:val="0"/>
      <w:divBdr>
        <w:top w:val="none" w:sz="0" w:space="0" w:color="auto"/>
        <w:left w:val="none" w:sz="0" w:space="0" w:color="auto"/>
        <w:bottom w:val="none" w:sz="0" w:space="0" w:color="auto"/>
        <w:right w:val="none" w:sz="0" w:space="0" w:color="auto"/>
      </w:divBdr>
    </w:div>
    <w:div w:id="631986430">
      <w:bodyDiv w:val="1"/>
      <w:marLeft w:val="0"/>
      <w:marRight w:val="0"/>
      <w:marTop w:val="0"/>
      <w:marBottom w:val="0"/>
      <w:divBdr>
        <w:top w:val="none" w:sz="0" w:space="0" w:color="auto"/>
        <w:left w:val="none" w:sz="0" w:space="0" w:color="auto"/>
        <w:bottom w:val="none" w:sz="0" w:space="0" w:color="auto"/>
        <w:right w:val="none" w:sz="0" w:space="0" w:color="auto"/>
      </w:divBdr>
    </w:div>
    <w:div w:id="668217775">
      <w:bodyDiv w:val="1"/>
      <w:marLeft w:val="0"/>
      <w:marRight w:val="0"/>
      <w:marTop w:val="0"/>
      <w:marBottom w:val="0"/>
      <w:divBdr>
        <w:top w:val="none" w:sz="0" w:space="0" w:color="auto"/>
        <w:left w:val="none" w:sz="0" w:space="0" w:color="auto"/>
        <w:bottom w:val="none" w:sz="0" w:space="0" w:color="auto"/>
        <w:right w:val="none" w:sz="0" w:space="0" w:color="auto"/>
      </w:divBdr>
    </w:div>
    <w:div w:id="719983553">
      <w:bodyDiv w:val="1"/>
      <w:marLeft w:val="0"/>
      <w:marRight w:val="0"/>
      <w:marTop w:val="0"/>
      <w:marBottom w:val="0"/>
      <w:divBdr>
        <w:top w:val="none" w:sz="0" w:space="0" w:color="auto"/>
        <w:left w:val="none" w:sz="0" w:space="0" w:color="auto"/>
        <w:bottom w:val="none" w:sz="0" w:space="0" w:color="auto"/>
        <w:right w:val="none" w:sz="0" w:space="0" w:color="auto"/>
      </w:divBdr>
    </w:div>
    <w:div w:id="721948262">
      <w:bodyDiv w:val="1"/>
      <w:marLeft w:val="0"/>
      <w:marRight w:val="0"/>
      <w:marTop w:val="0"/>
      <w:marBottom w:val="0"/>
      <w:divBdr>
        <w:top w:val="none" w:sz="0" w:space="0" w:color="auto"/>
        <w:left w:val="none" w:sz="0" w:space="0" w:color="auto"/>
        <w:bottom w:val="none" w:sz="0" w:space="0" w:color="auto"/>
        <w:right w:val="none" w:sz="0" w:space="0" w:color="auto"/>
      </w:divBdr>
    </w:div>
    <w:div w:id="1197238044">
      <w:bodyDiv w:val="1"/>
      <w:marLeft w:val="0"/>
      <w:marRight w:val="0"/>
      <w:marTop w:val="0"/>
      <w:marBottom w:val="0"/>
      <w:divBdr>
        <w:top w:val="none" w:sz="0" w:space="0" w:color="auto"/>
        <w:left w:val="none" w:sz="0" w:space="0" w:color="auto"/>
        <w:bottom w:val="none" w:sz="0" w:space="0" w:color="auto"/>
        <w:right w:val="none" w:sz="0" w:space="0" w:color="auto"/>
      </w:divBdr>
    </w:div>
    <w:div w:id="1206794002">
      <w:bodyDiv w:val="1"/>
      <w:marLeft w:val="0"/>
      <w:marRight w:val="0"/>
      <w:marTop w:val="0"/>
      <w:marBottom w:val="0"/>
      <w:divBdr>
        <w:top w:val="none" w:sz="0" w:space="0" w:color="auto"/>
        <w:left w:val="none" w:sz="0" w:space="0" w:color="auto"/>
        <w:bottom w:val="none" w:sz="0" w:space="0" w:color="auto"/>
        <w:right w:val="none" w:sz="0" w:space="0" w:color="auto"/>
      </w:divBdr>
    </w:div>
    <w:div w:id="1321039592">
      <w:bodyDiv w:val="1"/>
      <w:marLeft w:val="0"/>
      <w:marRight w:val="0"/>
      <w:marTop w:val="0"/>
      <w:marBottom w:val="0"/>
      <w:divBdr>
        <w:top w:val="none" w:sz="0" w:space="0" w:color="auto"/>
        <w:left w:val="none" w:sz="0" w:space="0" w:color="auto"/>
        <w:bottom w:val="none" w:sz="0" w:space="0" w:color="auto"/>
        <w:right w:val="none" w:sz="0" w:space="0" w:color="auto"/>
      </w:divBdr>
    </w:div>
    <w:div w:id="1486580144">
      <w:bodyDiv w:val="1"/>
      <w:marLeft w:val="0"/>
      <w:marRight w:val="0"/>
      <w:marTop w:val="0"/>
      <w:marBottom w:val="0"/>
      <w:divBdr>
        <w:top w:val="none" w:sz="0" w:space="0" w:color="auto"/>
        <w:left w:val="none" w:sz="0" w:space="0" w:color="auto"/>
        <w:bottom w:val="none" w:sz="0" w:space="0" w:color="auto"/>
        <w:right w:val="none" w:sz="0" w:space="0" w:color="auto"/>
      </w:divBdr>
    </w:div>
    <w:div w:id="1511721209">
      <w:bodyDiv w:val="1"/>
      <w:marLeft w:val="0"/>
      <w:marRight w:val="0"/>
      <w:marTop w:val="0"/>
      <w:marBottom w:val="0"/>
      <w:divBdr>
        <w:top w:val="none" w:sz="0" w:space="0" w:color="auto"/>
        <w:left w:val="none" w:sz="0" w:space="0" w:color="auto"/>
        <w:bottom w:val="none" w:sz="0" w:space="0" w:color="auto"/>
        <w:right w:val="none" w:sz="0" w:space="0" w:color="auto"/>
      </w:divBdr>
    </w:div>
    <w:div w:id="1563758628">
      <w:bodyDiv w:val="1"/>
      <w:marLeft w:val="0"/>
      <w:marRight w:val="0"/>
      <w:marTop w:val="0"/>
      <w:marBottom w:val="0"/>
      <w:divBdr>
        <w:top w:val="none" w:sz="0" w:space="0" w:color="auto"/>
        <w:left w:val="none" w:sz="0" w:space="0" w:color="auto"/>
        <w:bottom w:val="none" w:sz="0" w:space="0" w:color="auto"/>
        <w:right w:val="none" w:sz="0" w:space="0" w:color="auto"/>
      </w:divBdr>
    </w:div>
    <w:div w:id="1658654128">
      <w:bodyDiv w:val="1"/>
      <w:marLeft w:val="0"/>
      <w:marRight w:val="0"/>
      <w:marTop w:val="0"/>
      <w:marBottom w:val="0"/>
      <w:divBdr>
        <w:top w:val="none" w:sz="0" w:space="0" w:color="auto"/>
        <w:left w:val="none" w:sz="0" w:space="0" w:color="auto"/>
        <w:bottom w:val="none" w:sz="0" w:space="0" w:color="auto"/>
        <w:right w:val="none" w:sz="0" w:space="0" w:color="auto"/>
      </w:divBdr>
    </w:div>
    <w:div w:id="1666010157">
      <w:bodyDiv w:val="1"/>
      <w:marLeft w:val="0"/>
      <w:marRight w:val="0"/>
      <w:marTop w:val="0"/>
      <w:marBottom w:val="0"/>
      <w:divBdr>
        <w:top w:val="none" w:sz="0" w:space="0" w:color="auto"/>
        <w:left w:val="none" w:sz="0" w:space="0" w:color="auto"/>
        <w:bottom w:val="none" w:sz="0" w:space="0" w:color="auto"/>
        <w:right w:val="none" w:sz="0" w:space="0" w:color="auto"/>
      </w:divBdr>
    </w:div>
    <w:div w:id="1764379209">
      <w:bodyDiv w:val="1"/>
      <w:marLeft w:val="0"/>
      <w:marRight w:val="0"/>
      <w:marTop w:val="0"/>
      <w:marBottom w:val="0"/>
      <w:divBdr>
        <w:top w:val="none" w:sz="0" w:space="0" w:color="auto"/>
        <w:left w:val="none" w:sz="0" w:space="0" w:color="auto"/>
        <w:bottom w:val="none" w:sz="0" w:space="0" w:color="auto"/>
        <w:right w:val="none" w:sz="0" w:space="0" w:color="auto"/>
      </w:divBdr>
    </w:div>
    <w:div w:id="1806504918">
      <w:bodyDiv w:val="1"/>
      <w:marLeft w:val="0"/>
      <w:marRight w:val="0"/>
      <w:marTop w:val="0"/>
      <w:marBottom w:val="0"/>
      <w:divBdr>
        <w:top w:val="none" w:sz="0" w:space="0" w:color="auto"/>
        <w:left w:val="none" w:sz="0" w:space="0" w:color="auto"/>
        <w:bottom w:val="none" w:sz="0" w:space="0" w:color="auto"/>
        <w:right w:val="none" w:sz="0" w:space="0" w:color="auto"/>
      </w:divBdr>
    </w:div>
    <w:div w:id="1941831992">
      <w:bodyDiv w:val="1"/>
      <w:marLeft w:val="0"/>
      <w:marRight w:val="0"/>
      <w:marTop w:val="0"/>
      <w:marBottom w:val="0"/>
      <w:divBdr>
        <w:top w:val="none" w:sz="0" w:space="0" w:color="auto"/>
        <w:left w:val="none" w:sz="0" w:space="0" w:color="auto"/>
        <w:bottom w:val="none" w:sz="0" w:space="0" w:color="auto"/>
        <w:right w:val="none" w:sz="0" w:space="0" w:color="auto"/>
      </w:divBdr>
    </w:div>
    <w:div w:id="2051220899">
      <w:bodyDiv w:val="1"/>
      <w:marLeft w:val="0"/>
      <w:marRight w:val="0"/>
      <w:marTop w:val="0"/>
      <w:marBottom w:val="0"/>
      <w:divBdr>
        <w:top w:val="none" w:sz="0" w:space="0" w:color="auto"/>
        <w:left w:val="none" w:sz="0" w:space="0" w:color="auto"/>
        <w:bottom w:val="none" w:sz="0" w:space="0" w:color="auto"/>
        <w:right w:val="none" w:sz="0" w:space="0" w:color="auto"/>
      </w:divBdr>
    </w:div>
    <w:div w:id="2062168309">
      <w:bodyDiv w:val="1"/>
      <w:marLeft w:val="0"/>
      <w:marRight w:val="0"/>
      <w:marTop w:val="0"/>
      <w:marBottom w:val="0"/>
      <w:divBdr>
        <w:top w:val="none" w:sz="0" w:space="0" w:color="auto"/>
        <w:left w:val="none" w:sz="0" w:space="0" w:color="auto"/>
        <w:bottom w:val="none" w:sz="0" w:space="0" w:color="auto"/>
        <w:right w:val="none" w:sz="0" w:space="0" w:color="auto"/>
      </w:divBdr>
    </w:div>
    <w:div w:id="20724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F8D9-4369-4777-A389-51544537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967</Words>
  <Characters>5711</Characters>
  <Application>Microsoft Office Word</Application>
  <DocSecurity>0</DocSecurity>
  <Lines>47</Lines>
  <Paragraphs>13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ČSÚ</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CEEC</dc:creator>
  <cp:lastModifiedBy>Jiří Vacek</cp:lastModifiedBy>
  <cp:revision>5</cp:revision>
  <cp:lastPrinted>2015-08-04T07:37:00Z</cp:lastPrinted>
  <dcterms:created xsi:type="dcterms:W3CDTF">2017-01-23T05:42:00Z</dcterms:created>
  <dcterms:modified xsi:type="dcterms:W3CDTF">2017-01-26T07:36:00Z</dcterms:modified>
</cp:coreProperties>
</file>