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30CE" w:rsidRPr="001530CE" w:rsidRDefault="001530CE" w:rsidP="00B84F3F">
      <w:pPr>
        <w:spacing w:line="360" w:lineRule="auto"/>
        <w:ind w:firstLine="708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Celkový objem investícií je tento rok prvýkrát za porovnateľné obdobie nižší ako v minulom roku</w:t>
      </w:r>
    </w:p>
    <w:p w:rsidR="001530CE" w:rsidRPr="001530CE" w:rsidRDefault="001530CE" w:rsidP="00315F24">
      <w:pPr>
        <w:spacing w:line="360" w:lineRule="auto"/>
        <w:jc w:val="both"/>
        <w:rPr>
          <w:b/>
          <w:bCs/>
        </w:rPr>
      </w:pPr>
      <w:r>
        <w:rPr>
          <w:b/>
          <w:bCs/>
        </w:rPr>
        <w:t xml:space="preserve">Bratislava </w:t>
      </w:r>
      <w:r w:rsidR="00A7053B">
        <w:rPr>
          <w:b/>
          <w:bCs/>
        </w:rPr>
        <w:t>19. júl</w:t>
      </w:r>
      <w:r>
        <w:rPr>
          <w:b/>
          <w:bCs/>
        </w:rPr>
        <w:t>a – Za prvých päť mesiacov roka 2016 vyhlásili investori 3 119 verejných obstarávaní</w:t>
      </w:r>
      <w:r w:rsidR="008302F1">
        <w:rPr>
          <w:b/>
          <w:bCs/>
        </w:rPr>
        <w:t xml:space="preserve"> </w:t>
      </w:r>
      <w:r>
        <w:rPr>
          <w:b/>
          <w:bCs/>
        </w:rPr>
        <w:t xml:space="preserve">v celkovej hodnote 1,99 miliardy EUR. To síce v medziročnom porovnaní predstavuje </w:t>
      </w:r>
      <w:proofErr w:type="spellStart"/>
      <w:r>
        <w:rPr>
          <w:b/>
          <w:bCs/>
        </w:rPr>
        <w:t>dvojpätinový</w:t>
      </w:r>
      <w:proofErr w:type="spellEnd"/>
      <w:r>
        <w:rPr>
          <w:b/>
          <w:bCs/>
        </w:rPr>
        <w:t xml:space="preserve"> nárast počtu, ale zároveň trojpercentný pokles objemu. Prvýkrát v tomto roku má tak celkový objem investícií zápornú bilanciu. Vyplýva to z najnovšej analýzy spracovanej analytickou spoločnosťou CEEC Research na základe údajov poskytnutých Úradom pre verejné obstarávanie ku </w:t>
      </w:r>
      <w:r w:rsidR="008C5431">
        <w:rPr>
          <w:b/>
          <w:bCs/>
        </w:rPr>
        <w:t xml:space="preserve">koncu </w:t>
      </w:r>
      <w:r>
        <w:rPr>
          <w:b/>
          <w:bCs/>
        </w:rPr>
        <w:t xml:space="preserve">mája 2016. </w:t>
      </w:r>
    </w:p>
    <w:p w:rsidR="001530CE" w:rsidRPr="001530CE" w:rsidRDefault="001530CE" w:rsidP="00DD3DC0">
      <w:pPr>
        <w:spacing w:line="360" w:lineRule="auto"/>
        <w:jc w:val="both"/>
        <w:rPr>
          <w:rStyle w:val="Hypertextovodkaz"/>
          <w:rFonts w:cs="Arial"/>
          <w:color w:val="auto"/>
          <w:u w:val="none"/>
        </w:rPr>
      </w:pPr>
      <w:r>
        <w:rPr>
          <w:rStyle w:val="Hypertextovodkaz"/>
          <w:rFonts w:cs="Arial"/>
          <w:color w:val="auto"/>
          <w:u w:val="none"/>
        </w:rPr>
        <w:t xml:space="preserve">V máji tohto roka vyhlásili </w:t>
      </w:r>
      <w:r w:rsidRPr="001530CE">
        <w:rPr>
          <w:rStyle w:val="Hypertextovodkaz"/>
          <w:rFonts w:cs="Arial"/>
          <w:color w:val="auto"/>
          <w:u w:val="none"/>
        </w:rPr>
        <w:t>verejní obstarávatelia, obstarávatelia a subjekty, ktorým bola poskytnutá dotácia 286</w:t>
      </w:r>
      <w:r>
        <w:rPr>
          <w:rStyle w:val="Hypertextovodkaz"/>
          <w:rFonts w:cs="Arial"/>
          <w:color w:val="auto"/>
          <w:u w:val="none"/>
        </w:rPr>
        <w:t xml:space="preserve"> verejných obstaráva</w:t>
      </w:r>
      <w:r w:rsidRPr="001530CE">
        <w:rPr>
          <w:rStyle w:val="Hypertextovodkaz"/>
          <w:rFonts w:cs="Arial"/>
          <w:color w:val="auto"/>
          <w:u w:val="none"/>
        </w:rPr>
        <w:t>ní v</w:t>
      </w:r>
      <w:r>
        <w:rPr>
          <w:rStyle w:val="Hypertextovodkaz"/>
          <w:rFonts w:cs="Arial"/>
          <w:color w:val="auto"/>
          <w:u w:val="none"/>
        </w:rPr>
        <w:t xml:space="preserve"> celkovej hodnote 244 miliónov EUR. To oproti porovnateľnému obdobiu minulého roka predstavuje pokles počtu zákaziek o polovicu (-53,3 percenta) a zároveň dvojtretinový pokles objemu (-62,9 percenta). </w:t>
      </w:r>
      <w:r w:rsidR="00A7053B" w:rsidRPr="00A7053B">
        <w:rPr>
          <w:rStyle w:val="Hypertextovodkaz"/>
          <w:rFonts w:cs="Arial"/>
          <w:i/>
          <w:color w:val="auto"/>
          <w:u w:val="none"/>
        </w:rPr>
        <w:t>„</w:t>
      </w:r>
      <w:r w:rsidRPr="00A7053B">
        <w:rPr>
          <w:rStyle w:val="Hypertextovodkaz"/>
          <w:rFonts w:cs="Arial"/>
          <w:i/>
          <w:color w:val="auto"/>
          <w:u w:val="none"/>
        </w:rPr>
        <w:t>Najväčšie obstarávanie tohto mesiaca v celkovej hodnote 110 miliónov EUR vyhlásila spoločnosť MH Invest, s. r. o. na hrubé terénne úpravy pre Str</w:t>
      </w:r>
      <w:r w:rsidR="00A7053B" w:rsidRPr="00A7053B">
        <w:rPr>
          <w:rStyle w:val="Hypertextovodkaz"/>
          <w:rFonts w:cs="Arial"/>
          <w:i/>
          <w:color w:val="auto"/>
          <w:u w:val="none"/>
        </w:rPr>
        <w:t xml:space="preserve">ategický priemyselný park Nitra,“ </w:t>
      </w:r>
      <w:r w:rsidR="00A7053B">
        <w:rPr>
          <w:rStyle w:val="Hypertextovodkaz"/>
          <w:rFonts w:cs="Arial"/>
          <w:color w:val="auto"/>
          <w:u w:val="none"/>
        </w:rPr>
        <w:t xml:space="preserve">doplňuje </w:t>
      </w:r>
      <w:r w:rsidR="00A7053B" w:rsidRPr="00A7053B">
        <w:rPr>
          <w:rStyle w:val="Hypertextovodkaz"/>
          <w:rFonts w:cs="Arial"/>
          <w:b/>
          <w:i/>
          <w:color w:val="auto"/>
          <w:u w:val="none"/>
        </w:rPr>
        <w:t>Jiří Vacek, riaditeľ spoločnosti CEEC Research.</w:t>
      </w:r>
    </w:p>
    <w:p w:rsidR="00A91308" w:rsidRDefault="001530CE" w:rsidP="00DD3DC0">
      <w:pPr>
        <w:spacing w:line="360" w:lineRule="auto"/>
        <w:jc w:val="both"/>
        <w:rPr>
          <w:rStyle w:val="Hypertextovodkaz"/>
          <w:rFonts w:cs="Arial"/>
          <w:color w:val="auto"/>
          <w:u w:val="none"/>
        </w:rPr>
      </w:pPr>
      <w:r>
        <w:rPr>
          <w:rStyle w:val="Hypertextovodkaz"/>
          <w:rFonts w:cs="Arial"/>
          <w:color w:val="auto"/>
          <w:u w:val="none"/>
        </w:rPr>
        <w:t>Od januára do mája 2016 sa vo Vestníku verejného obstarávania objavilo spolu 3 119 verejných obstarávan</w:t>
      </w:r>
      <w:r w:rsidR="008302F1">
        <w:rPr>
          <w:rStyle w:val="Hypertextovodkaz"/>
          <w:rFonts w:cs="Arial"/>
          <w:color w:val="auto"/>
          <w:u w:val="none"/>
        </w:rPr>
        <w:t xml:space="preserve">í </w:t>
      </w:r>
      <w:r>
        <w:rPr>
          <w:rStyle w:val="Hypertextovodkaz"/>
          <w:rFonts w:cs="Arial"/>
          <w:color w:val="auto"/>
          <w:u w:val="none"/>
        </w:rPr>
        <w:t>v celkovej hodnote 1,99 miliardy EUR. V medziročnom porovnaní si tak počet zákaziek udržuje kladnú bilanciu a </w:t>
      </w:r>
      <w:proofErr w:type="spellStart"/>
      <w:r>
        <w:rPr>
          <w:rStyle w:val="Hypertextovodkaz"/>
          <w:rFonts w:cs="Arial"/>
          <w:color w:val="auto"/>
          <w:u w:val="none"/>
        </w:rPr>
        <w:t>dvojpätinový</w:t>
      </w:r>
      <w:proofErr w:type="spellEnd"/>
      <w:r>
        <w:rPr>
          <w:rStyle w:val="Hypertextovodkaz"/>
          <w:rFonts w:cs="Arial"/>
          <w:color w:val="auto"/>
          <w:u w:val="none"/>
        </w:rPr>
        <w:t xml:space="preserve"> rast (39,5 percenta), objem však zaznamenal pokles o </w:t>
      </w:r>
      <w:r w:rsidR="008C5431">
        <w:rPr>
          <w:rStyle w:val="Hypertextovodkaz"/>
          <w:rFonts w:cs="Arial"/>
          <w:color w:val="auto"/>
          <w:u w:val="none"/>
        </w:rPr>
        <w:t>3</w:t>
      </w:r>
      <w:r>
        <w:rPr>
          <w:rStyle w:val="Hypertextovodkaz"/>
          <w:rFonts w:cs="Arial"/>
          <w:color w:val="auto"/>
          <w:u w:val="none"/>
        </w:rPr>
        <w:t xml:space="preserve"> </w:t>
      </w:r>
      <w:r w:rsidR="008C5431">
        <w:rPr>
          <w:rStyle w:val="Hypertextovodkaz"/>
          <w:rFonts w:cs="Arial"/>
          <w:color w:val="auto"/>
          <w:u w:val="none"/>
        </w:rPr>
        <w:t xml:space="preserve">percentá </w:t>
      </w:r>
      <w:r>
        <w:rPr>
          <w:rStyle w:val="Hypertextovodkaz"/>
          <w:rFonts w:cs="Arial"/>
          <w:color w:val="auto"/>
          <w:u w:val="none"/>
        </w:rPr>
        <w:t xml:space="preserve">a dostal sa tak v tomto roku prvýkrát do záporných hodnôt. </w:t>
      </w:r>
      <w:r w:rsidR="00A7053B" w:rsidRPr="00A7053B">
        <w:rPr>
          <w:rStyle w:val="Hypertextovodkaz"/>
          <w:rFonts w:cs="Arial"/>
          <w:i/>
          <w:color w:val="auto"/>
          <w:u w:val="none"/>
        </w:rPr>
        <w:t>„</w:t>
      </w:r>
      <w:r w:rsidR="00A91308" w:rsidRPr="00A7053B">
        <w:rPr>
          <w:rStyle w:val="Hypertextovodkaz"/>
          <w:rFonts w:cs="Arial"/>
          <w:i/>
          <w:color w:val="auto"/>
          <w:u w:val="none"/>
        </w:rPr>
        <w:t>V súčasnosti považujem za dôležitejšie nízky počet a objem ukončených zákaziek a zákaziek zadaných konkrétnym firmám, než je pokles objemu tých vyhlásených</w:t>
      </w:r>
      <w:r w:rsidR="00A7053B" w:rsidRPr="00A7053B">
        <w:rPr>
          <w:rStyle w:val="Hypertextovodkaz"/>
          <w:rFonts w:cs="Arial"/>
          <w:i/>
          <w:color w:val="auto"/>
          <w:u w:val="none"/>
        </w:rPr>
        <w:t>,“</w:t>
      </w:r>
      <w:r w:rsidR="00A7053B">
        <w:rPr>
          <w:rStyle w:val="Hypertextovodkaz"/>
          <w:rFonts w:cs="Arial"/>
          <w:color w:val="auto"/>
          <w:u w:val="none"/>
        </w:rPr>
        <w:t xml:space="preserve"> hovorí </w:t>
      </w:r>
      <w:r w:rsidR="00A7053B" w:rsidRPr="00A7053B">
        <w:rPr>
          <w:rStyle w:val="Hypertextovodkaz"/>
          <w:rFonts w:cs="Arial"/>
          <w:b/>
          <w:i/>
          <w:color w:val="auto"/>
          <w:u w:val="none"/>
        </w:rPr>
        <w:t>Mário Červenka, riaditeľ developerské spoločnosti O.M.C. Invest.</w:t>
      </w:r>
    </w:p>
    <w:p w:rsidR="00A91308" w:rsidRPr="001530CE" w:rsidRDefault="00A91308" w:rsidP="00DD3DC0">
      <w:pPr>
        <w:spacing w:line="360" w:lineRule="auto"/>
        <w:jc w:val="both"/>
        <w:rPr>
          <w:rStyle w:val="Hypertextovodkaz"/>
          <w:rFonts w:cs="Arial"/>
          <w:color w:val="auto"/>
          <w:u w:val="none"/>
        </w:rPr>
      </w:pPr>
    </w:p>
    <w:p w:rsidR="00601270" w:rsidRPr="001530CE" w:rsidRDefault="00601270" w:rsidP="00601270">
      <w:pPr>
        <w:spacing w:after="0" w:line="240" w:lineRule="auto"/>
        <w:jc w:val="both"/>
        <w:rPr>
          <w:rFonts w:ascii="Arial" w:eastAsia="Times New Roman" w:hAnsi="Arial" w:cs="Times New Roman"/>
          <w:bCs/>
          <w:sz w:val="20"/>
          <w:szCs w:val="24"/>
          <w:lang w:eastAsia="cs-CZ"/>
        </w:rPr>
      </w:pPr>
      <w:r w:rsidRPr="001530CE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Počet a obj</w:t>
      </w:r>
      <w:r w:rsidR="001530CE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em vyhlásených verejných obstaráva</w:t>
      </w:r>
      <w:r w:rsidR="006B0F91" w:rsidRPr="001530CE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ní</w:t>
      </w:r>
      <w:r w:rsidR="006B0F91" w:rsidRPr="001530CE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ab/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79"/>
        <w:gridCol w:w="1262"/>
        <w:gridCol w:w="798"/>
        <w:gridCol w:w="1433"/>
        <w:gridCol w:w="1263"/>
        <w:gridCol w:w="873"/>
        <w:gridCol w:w="1289"/>
      </w:tblGrid>
      <w:tr w:rsidR="00601270" w:rsidRPr="001530CE" w:rsidTr="0000119D">
        <w:trPr>
          <w:cantSplit/>
          <w:trHeight w:val="284"/>
        </w:trPr>
        <w:tc>
          <w:tcPr>
            <w:tcW w:w="2127" w:type="dxa"/>
            <w:vMerge w:val="restart"/>
            <w:tcBorders>
              <w:top w:val="nil"/>
              <w:left w:val="nil"/>
            </w:tcBorders>
            <w:vAlign w:val="center"/>
          </w:tcPr>
          <w:p w:rsidR="00601270" w:rsidRPr="001530CE" w:rsidRDefault="001530CE" w:rsidP="0060127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Zákazky celko</w:t>
            </w:r>
            <w:r w:rsidR="006B0F91" w:rsidRPr="001530CE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m</w:t>
            </w:r>
          </w:p>
        </w:tc>
        <w:tc>
          <w:tcPr>
            <w:tcW w:w="3543" w:type="dxa"/>
            <w:gridSpan w:val="3"/>
            <w:vAlign w:val="center"/>
          </w:tcPr>
          <w:p w:rsidR="00601270" w:rsidRPr="001530CE" w:rsidRDefault="00601270" w:rsidP="0060127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1530CE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Počet</w:t>
            </w:r>
          </w:p>
        </w:tc>
        <w:tc>
          <w:tcPr>
            <w:tcW w:w="3472" w:type="dxa"/>
            <w:gridSpan w:val="3"/>
            <w:vAlign w:val="center"/>
          </w:tcPr>
          <w:p w:rsidR="00601270" w:rsidRPr="001530CE" w:rsidRDefault="00601270" w:rsidP="0060127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1530CE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Objem</w:t>
            </w:r>
          </w:p>
        </w:tc>
      </w:tr>
      <w:tr w:rsidR="00601270" w:rsidRPr="001530CE" w:rsidTr="0000119D">
        <w:trPr>
          <w:cantSplit/>
          <w:trHeight w:val="284"/>
        </w:trPr>
        <w:tc>
          <w:tcPr>
            <w:tcW w:w="2127" w:type="dxa"/>
            <w:vMerge/>
            <w:tcBorders>
              <w:top w:val="nil"/>
              <w:left w:val="nil"/>
            </w:tcBorders>
          </w:tcPr>
          <w:p w:rsidR="00601270" w:rsidRPr="001530CE" w:rsidRDefault="00601270" w:rsidP="0060127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</w:p>
        </w:tc>
        <w:tc>
          <w:tcPr>
            <w:tcW w:w="1275" w:type="dxa"/>
            <w:vAlign w:val="center"/>
          </w:tcPr>
          <w:p w:rsidR="00601270" w:rsidRPr="001530CE" w:rsidRDefault="00601270" w:rsidP="0060127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1530CE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počet</w:t>
            </w:r>
          </w:p>
        </w:tc>
        <w:tc>
          <w:tcPr>
            <w:tcW w:w="2268" w:type="dxa"/>
            <w:gridSpan w:val="2"/>
            <w:tcBorders>
              <w:bottom w:val="single" w:sz="4" w:space="0" w:color="auto"/>
            </w:tcBorders>
            <w:vAlign w:val="center"/>
          </w:tcPr>
          <w:p w:rsidR="00601270" w:rsidRPr="001530CE" w:rsidRDefault="00601270" w:rsidP="0060127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1530CE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me</w:t>
            </w:r>
            <w:r w:rsidR="001530CE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dziročná zme</w:t>
            </w:r>
            <w:r w:rsidRPr="001530CE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na v %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601270" w:rsidRPr="001530CE" w:rsidRDefault="00601270" w:rsidP="0060127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1530CE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objem v</w:t>
            </w:r>
            <w:r w:rsidR="001530CE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 </w:t>
            </w:r>
            <w:r w:rsidRPr="001530CE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mil</w:t>
            </w:r>
            <w:r w:rsidR="001530CE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.</w:t>
            </w:r>
            <w:r w:rsidRPr="001530CE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 xml:space="preserve"> EUR</w:t>
            </w:r>
          </w:p>
        </w:tc>
        <w:tc>
          <w:tcPr>
            <w:tcW w:w="2196" w:type="dxa"/>
            <w:gridSpan w:val="2"/>
            <w:tcBorders>
              <w:bottom w:val="single" w:sz="4" w:space="0" w:color="auto"/>
            </w:tcBorders>
            <w:vAlign w:val="center"/>
          </w:tcPr>
          <w:p w:rsidR="00601270" w:rsidRPr="001530CE" w:rsidRDefault="00601270" w:rsidP="0060127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1530CE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me</w:t>
            </w:r>
            <w:r w:rsidR="001530CE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dziročná zme</w:t>
            </w:r>
            <w:r w:rsidRPr="001530CE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na v %</w:t>
            </w:r>
          </w:p>
        </w:tc>
      </w:tr>
      <w:tr w:rsidR="006B0F91" w:rsidRPr="001530CE" w:rsidTr="0000119D">
        <w:trPr>
          <w:cantSplit/>
          <w:trHeight w:val="284"/>
        </w:trPr>
        <w:tc>
          <w:tcPr>
            <w:tcW w:w="2127" w:type="dxa"/>
            <w:vAlign w:val="center"/>
          </w:tcPr>
          <w:p w:rsidR="006B0F91" w:rsidRPr="001530CE" w:rsidRDefault="006B0F91" w:rsidP="006B0F9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30CE">
              <w:rPr>
                <w:rFonts w:ascii="Arial" w:hAnsi="Arial" w:cs="Arial"/>
                <w:sz w:val="18"/>
                <w:szCs w:val="18"/>
              </w:rPr>
              <w:t>2012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6B0F91" w:rsidRPr="001530CE" w:rsidRDefault="006B0F91" w:rsidP="006B0F9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30CE">
              <w:rPr>
                <w:rFonts w:ascii="Arial" w:hAnsi="Arial" w:cs="Arial"/>
                <w:sz w:val="18"/>
                <w:szCs w:val="18"/>
              </w:rPr>
              <w:t>8 916</w:t>
            </w:r>
          </w:p>
        </w:tc>
        <w:tc>
          <w:tcPr>
            <w:tcW w:w="815" w:type="dxa"/>
            <w:tcBorders>
              <w:left w:val="single" w:sz="4" w:space="0" w:color="auto"/>
              <w:right w:val="nil"/>
            </w:tcBorders>
            <w:vAlign w:val="center"/>
          </w:tcPr>
          <w:p w:rsidR="006B0F91" w:rsidRPr="001530CE" w:rsidRDefault="006B0F91" w:rsidP="006B0F9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53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6B0F91" w:rsidRPr="001530CE" w:rsidRDefault="006B0F91" w:rsidP="006B0F9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30CE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6B0F91" w:rsidRPr="001530CE" w:rsidRDefault="006B0F91" w:rsidP="006B0F9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30CE">
              <w:rPr>
                <w:rFonts w:ascii="Arial" w:hAnsi="Arial" w:cs="Arial"/>
                <w:sz w:val="18"/>
                <w:szCs w:val="18"/>
              </w:rPr>
              <w:t>5 987</w:t>
            </w:r>
          </w:p>
        </w:tc>
        <w:tc>
          <w:tcPr>
            <w:tcW w:w="893" w:type="dxa"/>
            <w:tcBorders>
              <w:left w:val="single" w:sz="4" w:space="0" w:color="auto"/>
              <w:right w:val="nil"/>
            </w:tcBorders>
            <w:vAlign w:val="center"/>
          </w:tcPr>
          <w:p w:rsidR="006B0F91" w:rsidRPr="001530CE" w:rsidRDefault="006B0F91" w:rsidP="006B0F9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03" w:type="dxa"/>
            <w:tcBorders>
              <w:left w:val="nil"/>
            </w:tcBorders>
            <w:tcMar>
              <w:right w:w="397" w:type="dxa"/>
            </w:tcMar>
            <w:vAlign w:val="center"/>
          </w:tcPr>
          <w:p w:rsidR="006B0F91" w:rsidRPr="001530CE" w:rsidRDefault="006B0F91" w:rsidP="006B0F9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30CE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6B0F91" w:rsidRPr="001530CE" w:rsidTr="0000119D">
        <w:trPr>
          <w:cantSplit/>
          <w:trHeight w:val="284"/>
        </w:trPr>
        <w:tc>
          <w:tcPr>
            <w:tcW w:w="2127" w:type="dxa"/>
            <w:vAlign w:val="center"/>
          </w:tcPr>
          <w:p w:rsidR="006B0F91" w:rsidRPr="001530CE" w:rsidRDefault="006B0F91" w:rsidP="006B0F9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30CE">
              <w:rPr>
                <w:rFonts w:ascii="Arial" w:hAnsi="Arial" w:cs="Arial"/>
                <w:sz w:val="18"/>
                <w:szCs w:val="18"/>
              </w:rPr>
              <w:t>2013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6B0F91" w:rsidRPr="001530CE" w:rsidRDefault="006B0F91" w:rsidP="006B0F9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30CE">
              <w:rPr>
                <w:rFonts w:ascii="Arial" w:hAnsi="Arial" w:cs="Arial"/>
                <w:sz w:val="18"/>
                <w:szCs w:val="18"/>
              </w:rPr>
              <w:t>9 919</w:t>
            </w:r>
          </w:p>
        </w:tc>
        <w:tc>
          <w:tcPr>
            <w:tcW w:w="815" w:type="dxa"/>
            <w:tcBorders>
              <w:left w:val="single" w:sz="4" w:space="0" w:color="auto"/>
              <w:right w:val="nil"/>
            </w:tcBorders>
            <w:vAlign w:val="center"/>
          </w:tcPr>
          <w:p w:rsidR="006B0F91" w:rsidRPr="001530CE" w:rsidRDefault="006B0F91" w:rsidP="006B0F9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30CE">
              <w:rPr>
                <w:bCs/>
                <w:color w:val="92D050"/>
                <w:sz w:val="24"/>
              </w:rPr>
              <w:sym w:font="Wingdings 3" w:char="F0C7"/>
            </w:r>
          </w:p>
        </w:tc>
        <w:tc>
          <w:tcPr>
            <w:tcW w:w="1453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6B0F91" w:rsidRPr="001530CE" w:rsidRDefault="006B0F91" w:rsidP="006B0F9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30CE">
              <w:rPr>
                <w:rFonts w:ascii="Arial" w:hAnsi="Arial" w:cs="Arial"/>
                <w:sz w:val="18"/>
                <w:szCs w:val="18"/>
              </w:rPr>
              <w:t>+11,2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6B0F91" w:rsidRPr="001530CE" w:rsidRDefault="006B0F91" w:rsidP="006B0F9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30CE">
              <w:rPr>
                <w:rFonts w:ascii="Arial" w:hAnsi="Arial" w:cs="Arial"/>
                <w:sz w:val="18"/>
                <w:szCs w:val="18"/>
              </w:rPr>
              <w:t>8 377</w:t>
            </w:r>
          </w:p>
        </w:tc>
        <w:tc>
          <w:tcPr>
            <w:tcW w:w="893" w:type="dxa"/>
            <w:tcBorders>
              <w:left w:val="single" w:sz="4" w:space="0" w:color="auto"/>
              <w:right w:val="nil"/>
            </w:tcBorders>
            <w:vAlign w:val="center"/>
          </w:tcPr>
          <w:p w:rsidR="006B0F91" w:rsidRPr="001530CE" w:rsidRDefault="006B0F91" w:rsidP="006B0F9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30CE">
              <w:rPr>
                <w:bCs/>
                <w:color w:val="92D050"/>
                <w:sz w:val="24"/>
              </w:rPr>
              <w:sym w:font="Wingdings 3" w:char="F0C7"/>
            </w:r>
          </w:p>
        </w:tc>
        <w:tc>
          <w:tcPr>
            <w:tcW w:w="1303" w:type="dxa"/>
            <w:tcBorders>
              <w:left w:val="nil"/>
            </w:tcBorders>
            <w:tcMar>
              <w:right w:w="397" w:type="dxa"/>
            </w:tcMar>
            <w:vAlign w:val="center"/>
          </w:tcPr>
          <w:p w:rsidR="006B0F91" w:rsidRPr="001530CE" w:rsidRDefault="006B0F91" w:rsidP="006B0F9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30CE">
              <w:rPr>
                <w:rFonts w:ascii="Arial" w:hAnsi="Arial" w:cs="Arial"/>
                <w:sz w:val="18"/>
                <w:szCs w:val="18"/>
              </w:rPr>
              <w:t>+39,9</w:t>
            </w:r>
          </w:p>
        </w:tc>
      </w:tr>
      <w:tr w:rsidR="006B0F91" w:rsidRPr="001530CE" w:rsidTr="0000119D">
        <w:trPr>
          <w:cantSplit/>
          <w:trHeight w:val="284"/>
        </w:trPr>
        <w:tc>
          <w:tcPr>
            <w:tcW w:w="2127" w:type="dxa"/>
            <w:vAlign w:val="center"/>
          </w:tcPr>
          <w:p w:rsidR="006B0F91" w:rsidRPr="001530CE" w:rsidRDefault="006B0F91" w:rsidP="006B0F9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30CE">
              <w:rPr>
                <w:rFonts w:ascii="Arial" w:hAnsi="Arial" w:cs="Arial"/>
                <w:sz w:val="18"/>
                <w:szCs w:val="18"/>
              </w:rPr>
              <w:t>2014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6B0F91" w:rsidRPr="001530CE" w:rsidRDefault="006B0F91" w:rsidP="006B0F9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30CE">
              <w:rPr>
                <w:rFonts w:ascii="Arial" w:hAnsi="Arial" w:cs="Arial"/>
                <w:sz w:val="18"/>
                <w:szCs w:val="18"/>
              </w:rPr>
              <w:t>8 064</w:t>
            </w:r>
          </w:p>
        </w:tc>
        <w:tc>
          <w:tcPr>
            <w:tcW w:w="815" w:type="dxa"/>
            <w:tcBorders>
              <w:left w:val="single" w:sz="4" w:space="0" w:color="auto"/>
              <w:right w:val="nil"/>
            </w:tcBorders>
            <w:vAlign w:val="center"/>
          </w:tcPr>
          <w:p w:rsidR="006B0F91" w:rsidRPr="001530CE" w:rsidRDefault="006B0F91" w:rsidP="006B0F91">
            <w:pPr>
              <w:spacing w:after="0" w:line="240" w:lineRule="auto"/>
              <w:jc w:val="center"/>
              <w:rPr>
                <w:b/>
                <w:bCs/>
                <w:color w:val="FF0000"/>
                <w:sz w:val="24"/>
              </w:rPr>
            </w:pPr>
            <w:r w:rsidRPr="001530CE">
              <w:rPr>
                <w:b/>
                <w:bCs/>
                <w:color w:val="FF0000"/>
                <w:sz w:val="24"/>
              </w:rPr>
              <w:sym w:font="Wingdings 3" w:char="F0C8"/>
            </w:r>
          </w:p>
        </w:tc>
        <w:tc>
          <w:tcPr>
            <w:tcW w:w="1453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6B0F91" w:rsidRPr="001530CE" w:rsidRDefault="006B0F91" w:rsidP="006B0F9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30CE">
              <w:rPr>
                <w:rFonts w:ascii="Arial" w:hAnsi="Arial" w:cs="Arial"/>
                <w:sz w:val="18"/>
                <w:szCs w:val="18"/>
              </w:rPr>
              <w:t>-18,7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6B0F91" w:rsidRPr="001530CE" w:rsidRDefault="006B0F91" w:rsidP="006B0F9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30CE">
              <w:rPr>
                <w:rFonts w:ascii="Arial" w:hAnsi="Arial" w:cs="Arial"/>
                <w:sz w:val="18"/>
                <w:szCs w:val="18"/>
              </w:rPr>
              <w:t>6 621</w:t>
            </w:r>
          </w:p>
        </w:tc>
        <w:tc>
          <w:tcPr>
            <w:tcW w:w="893" w:type="dxa"/>
            <w:tcBorders>
              <w:left w:val="single" w:sz="4" w:space="0" w:color="auto"/>
              <w:right w:val="nil"/>
            </w:tcBorders>
            <w:vAlign w:val="center"/>
          </w:tcPr>
          <w:p w:rsidR="006B0F91" w:rsidRPr="001530CE" w:rsidRDefault="006B0F91" w:rsidP="006B0F91">
            <w:pPr>
              <w:spacing w:after="0" w:line="240" w:lineRule="auto"/>
              <w:jc w:val="center"/>
              <w:rPr>
                <w:b/>
                <w:bCs/>
                <w:color w:val="FF0000"/>
                <w:sz w:val="24"/>
              </w:rPr>
            </w:pPr>
            <w:r w:rsidRPr="001530CE">
              <w:rPr>
                <w:b/>
                <w:bCs/>
                <w:color w:val="FF0000"/>
                <w:sz w:val="24"/>
              </w:rPr>
              <w:sym w:font="Wingdings 3" w:char="F0C8"/>
            </w:r>
          </w:p>
        </w:tc>
        <w:tc>
          <w:tcPr>
            <w:tcW w:w="1303" w:type="dxa"/>
            <w:tcBorders>
              <w:left w:val="nil"/>
            </w:tcBorders>
            <w:tcMar>
              <w:right w:w="397" w:type="dxa"/>
            </w:tcMar>
            <w:vAlign w:val="center"/>
          </w:tcPr>
          <w:p w:rsidR="006B0F91" w:rsidRPr="001530CE" w:rsidRDefault="006B0F91" w:rsidP="006B0F9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30CE">
              <w:rPr>
                <w:rFonts w:ascii="Arial" w:hAnsi="Arial" w:cs="Arial"/>
                <w:sz w:val="18"/>
                <w:szCs w:val="18"/>
              </w:rPr>
              <w:t>-21,0</w:t>
            </w:r>
          </w:p>
        </w:tc>
      </w:tr>
      <w:tr w:rsidR="00136E59" w:rsidRPr="001530CE" w:rsidTr="0000119D">
        <w:trPr>
          <w:cantSplit/>
          <w:trHeight w:val="284"/>
        </w:trPr>
        <w:tc>
          <w:tcPr>
            <w:tcW w:w="2127" w:type="dxa"/>
            <w:vAlign w:val="center"/>
          </w:tcPr>
          <w:p w:rsidR="00136E59" w:rsidRPr="001530CE" w:rsidRDefault="00136E59" w:rsidP="00136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30CE">
              <w:rPr>
                <w:rFonts w:ascii="Arial" w:hAnsi="Arial" w:cs="Arial"/>
                <w:sz w:val="18"/>
                <w:szCs w:val="18"/>
              </w:rPr>
              <w:t>2015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136E59" w:rsidRPr="001530CE" w:rsidRDefault="00136E59" w:rsidP="00136E5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30CE">
              <w:rPr>
                <w:rFonts w:ascii="Arial" w:hAnsi="Arial" w:cs="Arial"/>
                <w:sz w:val="18"/>
                <w:szCs w:val="18"/>
              </w:rPr>
              <w:t> 7 331</w:t>
            </w:r>
          </w:p>
        </w:tc>
        <w:tc>
          <w:tcPr>
            <w:tcW w:w="815" w:type="dxa"/>
            <w:tcBorders>
              <w:left w:val="single" w:sz="4" w:space="0" w:color="auto"/>
              <w:right w:val="nil"/>
            </w:tcBorders>
            <w:vAlign w:val="center"/>
          </w:tcPr>
          <w:p w:rsidR="00136E59" w:rsidRPr="001530CE" w:rsidRDefault="00136E59" w:rsidP="00136E59">
            <w:pPr>
              <w:spacing w:after="0" w:line="240" w:lineRule="auto"/>
              <w:jc w:val="center"/>
              <w:rPr>
                <w:b/>
                <w:bCs/>
                <w:color w:val="FF0000"/>
                <w:sz w:val="24"/>
              </w:rPr>
            </w:pPr>
            <w:r w:rsidRPr="001530CE">
              <w:rPr>
                <w:b/>
                <w:bCs/>
                <w:color w:val="FF0000"/>
                <w:sz w:val="24"/>
              </w:rPr>
              <w:sym w:font="Wingdings 3" w:char="F0C8"/>
            </w:r>
          </w:p>
        </w:tc>
        <w:tc>
          <w:tcPr>
            <w:tcW w:w="1453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136E59" w:rsidRPr="001530CE" w:rsidRDefault="00136E59" w:rsidP="00136E5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30CE">
              <w:rPr>
                <w:rFonts w:ascii="Arial" w:hAnsi="Arial" w:cs="Arial"/>
                <w:sz w:val="18"/>
                <w:szCs w:val="18"/>
              </w:rPr>
              <w:t>-9,1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136E59" w:rsidRPr="001530CE" w:rsidRDefault="00136E59" w:rsidP="00136E5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30CE">
              <w:rPr>
                <w:rFonts w:ascii="Arial" w:hAnsi="Arial" w:cs="Arial"/>
                <w:sz w:val="18"/>
                <w:szCs w:val="18"/>
              </w:rPr>
              <w:t>7 657</w:t>
            </w:r>
          </w:p>
        </w:tc>
        <w:tc>
          <w:tcPr>
            <w:tcW w:w="893" w:type="dxa"/>
            <w:tcBorders>
              <w:left w:val="single" w:sz="4" w:space="0" w:color="auto"/>
              <w:right w:val="nil"/>
            </w:tcBorders>
            <w:vAlign w:val="center"/>
          </w:tcPr>
          <w:p w:rsidR="00136E59" w:rsidRPr="001530CE" w:rsidRDefault="00136E59" w:rsidP="00136E59">
            <w:pPr>
              <w:spacing w:after="0" w:line="240" w:lineRule="auto"/>
              <w:jc w:val="center"/>
              <w:rPr>
                <w:bCs/>
                <w:color w:val="92D050"/>
                <w:sz w:val="24"/>
              </w:rPr>
            </w:pPr>
            <w:r w:rsidRPr="001530CE">
              <w:rPr>
                <w:bCs/>
                <w:color w:val="92D050"/>
                <w:sz w:val="24"/>
              </w:rPr>
              <w:sym w:font="Wingdings 3" w:char="F0C7"/>
            </w:r>
          </w:p>
        </w:tc>
        <w:tc>
          <w:tcPr>
            <w:tcW w:w="1303" w:type="dxa"/>
            <w:tcBorders>
              <w:left w:val="nil"/>
            </w:tcBorders>
            <w:tcMar>
              <w:right w:w="397" w:type="dxa"/>
            </w:tcMar>
            <w:vAlign w:val="center"/>
          </w:tcPr>
          <w:p w:rsidR="00136E59" w:rsidRPr="001530CE" w:rsidRDefault="00136E59" w:rsidP="00136E5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30CE">
              <w:rPr>
                <w:rFonts w:ascii="Arial" w:hAnsi="Arial" w:cs="Arial"/>
                <w:sz w:val="18"/>
                <w:szCs w:val="18"/>
              </w:rPr>
              <w:t>+16,9</w:t>
            </w:r>
          </w:p>
        </w:tc>
      </w:tr>
      <w:tr w:rsidR="00FB15A6" w:rsidRPr="001530CE" w:rsidTr="0000119D">
        <w:trPr>
          <w:cantSplit/>
          <w:trHeight w:val="284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5A6" w:rsidRPr="001530CE" w:rsidRDefault="001530CE" w:rsidP="00FB15A6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Január až máj</w:t>
            </w:r>
            <w:r w:rsidR="00FB15A6" w:rsidRPr="001530CE">
              <w:rPr>
                <w:rFonts w:ascii="Arial" w:hAnsi="Arial" w:cs="Arial"/>
                <w:b/>
                <w:sz w:val="18"/>
                <w:szCs w:val="18"/>
              </w:rPr>
              <w:t xml:space="preserve"> 2016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FB15A6" w:rsidRPr="001530CE" w:rsidRDefault="00FB15A6" w:rsidP="00FB15A6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1530CE">
              <w:rPr>
                <w:rFonts w:ascii="Arial" w:hAnsi="Arial" w:cs="Arial"/>
                <w:b/>
                <w:sz w:val="18"/>
                <w:szCs w:val="18"/>
              </w:rPr>
              <w:t>3 119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B15A6" w:rsidRPr="001530CE" w:rsidRDefault="00FB15A6" w:rsidP="00FB15A6">
            <w:pPr>
              <w:spacing w:after="0" w:line="240" w:lineRule="auto"/>
              <w:jc w:val="center"/>
              <w:rPr>
                <w:bCs/>
                <w:color w:val="92D050"/>
                <w:sz w:val="24"/>
              </w:rPr>
            </w:pPr>
            <w:r w:rsidRPr="001530CE">
              <w:rPr>
                <w:bCs/>
                <w:color w:val="92D050"/>
                <w:sz w:val="24"/>
              </w:rPr>
              <w:sym w:font="Wingdings 3" w:char="F0C7"/>
            </w:r>
          </w:p>
        </w:tc>
        <w:tc>
          <w:tcPr>
            <w:tcW w:w="14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FB15A6" w:rsidRPr="001530CE" w:rsidRDefault="00FB15A6" w:rsidP="00FB15A6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1530CE">
              <w:rPr>
                <w:rFonts w:ascii="Arial" w:hAnsi="Arial" w:cs="Arial"/>
                <w:b/>
                <w:sz w:val="18"/>
                <w:szCs w:val="18"/>
              </w:rPr>
              <w:t>+39,5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FB15A6" w:rsidRPr="001530CE" w:rsidRDefault="00FB15A6" w:rsidP="00FB15A6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1530CE">
              <w:rPr>
                <w:rFonts w:ascii="Arial" w:hAnsi="Arial" w:cs="Arial"/>
                <w:b/>
                <w:sz w:val="18"/>
                <w:szCs w:val="18"/>
              </w:rPr>
              <w:t>1 988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B15A6" w:rsidRPr="001530CE" w:rsidRDefault="00FB15A6" w:rsidP="00FB15A6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530CE">
              <w:rPr>
                <w:b/>
                <w:bCs/>
                <w:color w:val="FF0000"/>
                <w:sz w:val="24"/>
              </w:rPr>
              <w:sym w:font="Wingdings 3" w:char="F0C8"/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FB15A6" w:rsidRPr="001530CE" w:rsidRDefault="00FB15A6" w:rsidP="00FB15A6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1530CE">
              <w:rPr>
                <w:rFonts w:ascii="Arial" w:hAnsi="Arial" w:cs="Arial"/>
                <w:b/>
                <w:sz w:val="18"/>
                <w:szCs w:val="18"/>
              </w:rPr>
              <w:t>-3,0</w:t>
            </w:r>
          </w:p>
        </w:tc>
      </w:tr>
    </w:tbl>
    <w:p w:rsidR="00601270" w:rsidRPr="001530CE" w:rsidRDefault="00601270" w:rsidP="00601270">
      <w:pPr>
        <w:spacing w:after="0" w:line="240" w:lineRule="auto"/>
        <w:jc w:val="both"/>
        <w:rPr>
          <w:rFonts w:ascii="Arial" w:eastAsia="Times New Roman" w:hAnsi="Arial" w:cs="Times New Roman"/>
          <w:bCs/>
          <w:sz w:val="20"/>
          <w:szCs w:val="24"/>
          <w:lang w:eastAsia="cs-CZ"/>
        </w:rPr>
      </w:pPr>
      <w:r w:rsidRPr="001530CE">
        <w:rPr>
          <w:rFonts w:ascii="Arial" w:eastAsia="Times New Roman" w:hAnsi="Arial" w:cs="Times New Roman"/>
          <w:bCs/>
          <w:sz w:val="16"/>
          <w:szCs w:val="16"/>
          <w:lang w:eastAsia="cs-CZ"/>
        </w:rPr>
        <w:lastRenderedPageBreak/>
        <w:t xml:space="preserve">Zdroj: </w:t>
      </w:r>
      <w:r w:rsidRPr="001530CE">
        <w:rPr>
          <w:rFonts w:ascii="Arial" w:eastAsia="Times New Roman" w:hAnsi="Arial" w:cs="Times New Roman"/>
          <w:sz w:val="16"/>
          <w:szCs w:val="16"/>
          <w:lang w:eastAsia="cs-CZ"/>
        </w:rPr>
        <w:t>Vestník verejného obstarávania</w:t>
      </w:r>
      <w:r w:rsidRPr="001530CE">
        <w:rPr>
          <w:rFonts w:ascii="Arial" w:eastAsia="Times New Roman" w:hAnsi="Arial" w:cs="Times New Roman"/>
          <w:bCs/>
          <w:sz w:val="16"/>
          <w:szCs w:val="16"/>
          <w:lang w:eastAsia="cs-CZ"/>
        </w:rPr>
        <w:t>, výpočty CEEC Research</w:t>
      </w:r>
    </w:p>
    <w:p w:rsidR="000321DF" w:rsidRPr="001530CE" w:rsidRDefault="000321DF" w:rsidP="000321DF">
      <w:pPr>
        <w:spacing w:after="0" w:line="360" w:lineRule="auto"/>
        <w:jc w:val="both"/>
        <w:rPr>
          <w:rStyle w:val="Hypertextovodkaz"/>
          <w:rFonts w:cs="Arial"/>
          <w:color w:val="auto"/>
          <w:u w:val="none"/>
        </w:rPr>
      </w:pPr>
    </w:p>
    <w:p w:rsidR="001530CE" w:rsidRPr="001530CE" w:rsidRDefault="001530CE" w:rsidP="001768AF">
      <w:pPr>
        <w:spacing w:after="0" w:line="360" w:lineRule="auto"/>
        <w:jc w:val="both"/>
        <w:rPr>
          <w:rStyle w:val="Hypertextovodkaz"/>
          <w:color w:val="auto"/>
          <w:u w:val="none"/>
        </w:rPr>
      </w:pPr>
      <w:r>
        <w:rPr>
          <w:rStyle w:val="Hypertextovodkaz"/>
          <w:color w:val="auto"/>
          <w:u w:val="none"/>
        </w:rPr>
        <w:t xml:space="preserve">Z vyššie uvedených zákaziek už bolo investormi 20 percent ukončených a zadaných </w:t>
      </w:r>
      <w:r w:rsidR="008C5431">
        <w:rPr>
          <w:rStyle w:val="Hypertextovodkaz"/>
          <w:color w:val="auto"/>
          <w:u w:val="none"/>
        </w:rPr>
        <w:t>konkrétnym firmám</w:t>
      </w:r>
      <w:r>
        <w:rPr>
          <w:rStyle w:val="Hypertextovodkaz"/>
          <w:color w:val="auto"/>
          <w:u w:val="none"/>
        </w:rPr>
        <w:t>, čo z celkového objemu predstavuje 8 percent</w:t>
      </w:r>
      <w:r w:rsidR="00AA2BEB">
        <w:rPr>
          <w:rStyle w:val="Hypertextovodkaz"/>
          <w:color w:val="auto"/>
          <w:u w:val="none"/>
        </w:rPr>
        <w:t xml:space="preserve"> vo vyhlásenej celkovej hodnote 157 miliónov EUR. Reálne však boli tieto zákazky zadané v celkovej hodnote 140 miliónov EUR, teda o 11 percent menej, </w:t>
      </w:r>
      <w:r w:rsidR="008C5431">
        <w:rPr>
          <w:rStyle w:val="Hypertextovodkaz"/>
          <w:color w:val="auto"/>
          <w:u w:val="none"/>
        </w:rPr>
        <w:t>ako</w:t>
      </w:r>
      <w:r w:rsidR="00AA2BEB">
        <w:rPr>
          <w:rStyle w:val="Hypertextovodkaz"/>
          <w:color w:val="auto"/>
          <w:u w:val="none"/>
        </w:rPr>
        <w:t xml:space="preserve"> bola pôvodná hodnota pri vyhlásení. Desatina z celkového objemu (11 percent) verejných obstarávaní bola neskôr zrušená. Po odčítaní zadaných a zrušených </w:t>
      </w:r>
      <w:r w:rsidR="008C5431">
        <w:rPr>
          <w:rStyle w:val="Hypertextovodkaz"/>
          <w:color w:val="auto"/>
          <w:u w:val="none"/>
        </w:rPr>
        <w:t xml:space="preserve">zákaziek </w:t>
      </w:r>
      <w:r w:rsidR="00AA2BEB">
        <w:rPr>
          <w:rStyle w:val="Hypertextovodkaz"/>
          <w:color w:val="auto"/>
          <w:u w:val="none"/>
        </w:rPr>
        <w:t>zostávajú ešte v </w:t>
      </w:r>
      <w:r w:rsidR="008C5431">
        <w:rPr>
          <w:rStyle w:val="Hypertextovodkaz"/>
          <w:color w:val="auto"/>
          <w:u w:val="none"/>
        </w:rPr>
        <w:t xml:space="preserve">procese verejného obstarávania </w:t>
      </w:r>
      <w:r w:rsidR="00AA2BEB">
        <w:rPr>
          <w:rStyle w:val="Hypertextovodkaz"/>
          <w:color w:val="auto"/>
          <w:u w:val="none"/>
        </w:rPr>
        <w:t xml:space="preserve">zákazky v celkovej hodnote 1,6 miliardy EUR. </w:t>
      </w:r>
    </w:p>
    <w:p w:rsidR="001768AF" w:rsidRPr="001530CE" w:rsidRDefault="001768AF" w:rsidP="000321DF">
      <w:pPr>
        <w:spacing w:after="0" w:line="360" w:lineRule="auto"/>
        <w:jc w:val="both"/>
        <w:rPr>
          <w:rStyle w:val="Hypertextovodkaz"/>
          <w:rFonts w:cs="Arial"/>
          <w:color w:val="auto"/>
          <w:u w:val="none"/>
        </w:rPr>
      </w:pPr>
    </w:p>
    <w:p w:rsidR="00AA2BEB" w:rsidRPr="001530CE" w:rsidRDefault="00AA2BEB" w:rsidP="000321DF">
      <w:pPr>
        <w:spacing w:after="0" w:line="360" w:lineRule="auto"/>
        <w:jc w:val="both"/>
        <w:rPr>
          <w:rStyle w:val="Hypertextovodkaz"/>
          <w:rFonts w:cs="Arial"/>
          <w:color w:val="auto"/>
          <w:u w:val="none"/>
        </w:rPr>
      </w:pPr>
      <w:r>
        <w:rPr>
          <w:rStyle w:val="Hypertextovodkaz"/>
          <w:color w:val="auto"/>
          <w:u w:val="none"/>
        </w:rPr>
        <w:t>Ukončených a zadaných konkrétnym firmám bolo v prvých piatich mesiacoch tohto roka 2 126 verejných obstarávaní v celkovej hodnote 1,64 miliardy EUR. To síce predstavuje mierny nárast počtu zadaných zákaziek o </w:t>
      </w:r>
      <w:r w:rsidR="008C5431">
        <w:rPr>
          <w:rStyle w:val="Hypertextovodkaz"/>
          <w:color w:val="auto"/>
          <w:u w:val="none"/>
        </w:rPr>
        <w:t>6</w:t>
      </w:r>
      <w:r>
        <w:rPr>
          <w:rStyle w:val="Hypertextovodkaz"/>
          <w:color w:val="auto"/>
          <w:u w:val="none"/>
        </w:rPr>
        <w:t xml:space="preserve"> percent, ale zároveň ide o </w:t>
      </w:r>
      <w:proofErr w:type="spellStart"/>
      <w:r>
        <w:rPr>
          <w:rStyle w:val="Hypertextovodkaz"/>
          <w:color w:val="auto"/>
          <w:u w:val="none"/>
        </w:rPr>
        <w:t>pätinový</w:t>
      </w:r>
      <w:proofErr w:type="spellEnd"/>
      <w:r>
        <w:rPr>
          <w:rStyle w:val="Hypertextovodkaz"/>
          <w:color w:val="auto"/>
          <w:u w:val="none"/>
        </w:rPr>
        <w:t xml:space="preserve"> pokles ich objemu (-21,2 percenta). Niektoré verejné obstarávania stále prebiehajú, a preto treba očakávať, že v ďalších mesiacoch dôjde ešte k aktualizácii a upresneniu dát. </w:t>
      </w:r>
    </w:p>
    <w:p w:rsidR="00C7622D" w:rsidRPr="001530CE" w:rsidRDefault="00C7622D" w:rsidP="000321DF">
      <w:pPr>
        <w:spacing w:after="0" w:line="360" w:lineRule="auto"/>
        <w:jc w:val="both"/>
        <w:rPr>
          <w:rStyle w:val="Hypertextovodkaz"/>
          <w:rFonts w:cs="Arial"/>
          <w:color w:val="auto"/>
          <w:u w:val="none"/>
        </w:rPr>
      </w:pPr>
    </w:p>
    <w:p w:rsidR="00D077D7" w:rsidRPr="001530CE" w:rsidRDefault="00D077D7" w:rsidP="00D077D7">
      <w:pPr>
        <w:spacing w:after="0" w:line="240" w:lineRule="auto"/>
        <w:jc w:val="both"/>
        <w:rPr>
          <w:rFonts w:ascii="Arial" w:eastAsia="Times New Roman" w:hAnsi="Arial" w:cs="Times New Roman"/>
          <w:bCs/>
          <w:sz w:val="20"/>
          <w:szCs w:val="24"/>
          <w:lang w:eastAsia="cs-CZ"/>
        </w:rPr>
      </w:pPr>
      <w:r w:rsidRPr="001530CE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Počet a ob</w:t>
      </w:r>
      <w:r w:rsidR="00AA2BEB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jem ukončených verejných obstaráva</w:t>
      </w:r>
      <w:r w:rsidR="006B0F91" w:rsidRPr="001530CE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ní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80"/>
        <w:gridCol w:w="1262"/>
        <w:gridCol w:w="808"/>
        <w:gridCol w:w="1421"/>
        <w:gridCol w:w="1263"/>
        <w:gridCol w:w="897"/>
        <w:gridCol w:w="1266"/>
      </w:tblGrid>
      <w:tr w:rsidR="00D077D7" w:rsidRPr="001530CE" w:rsidTr="00165846">
        <w:trPr>
          <w:cantSplit/>
          <w:trHeight w:val="284"/>
        </w:trPr>
        <w:tc>
          <w:tcPr>
            <w:tcW w:w="2127" w:type="dxa"/>
            <w:vMerge w:val="restart"/>
            <w:tcBorders>
              <w:top w:val="nil"/>
              <w:left w:val="nil"/>
            </w:tcBorders>
            <w:vAlign w:val="center"/>
          </w:tcPr>
          <w:p w:rsidR="00D077D7" w:rsidRPr="001530CE" w:rsidRDefault="00AA2BEB" w:rsidP="00D077D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Zákazky celko</w:t>
            </w:r>
            <w:r w:rsidR="006B0F91" w:rsidRPr="001530CE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m</w:t>
            </w:r>
          </w:p>
        </w:tc>
        <w:tc>
          <w:tcPr>
            <w:tcW w:w="3543" w:type="dxa"/>
            <w:gridSpan w:val="3"/>
            <w:vAlign w:val="center"/>
          </w:tcPr>
          <w:p w:rsidR="00D077D7" w:rsidRPr="001530CE" w:rsidRDefault="00D077D7" w:rsidP="00D077D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1530CE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Počet</w:t>
            </w:r>
          </w:p>
        </w:tc>
        <w:tc>
          <w:tcPr>
            <w:tcW w:w="3472" w:type="dxa"/>
            <w:gridSpan w:val="3"/>
            <w:vAlign w:val="center"/>
          </w:tcPr>
          <w:p w:rsidR="00D077D7" w:rsidRPr="001530CE" w:rsidRDefault="00D077D7" w:rsidP="00D077D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1530CE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Objem</w:t>
            </w:r>
          </w:p>
        </w:tc>
      </w:tr>
      <w:tr w:rsidR="00D077D7" w:rsidRPr="001530CE" w:rsidTr="00165846">
        <w:trPr>
          <w:cantSplit/>
          <w:trHeight w:val="284"/>
        </w:trPr>
        <w:tc>
          <w:tcPr>
            <w:tcW w:w="2127" w:type="dxa"/>
            <w:vMerge/>
            <w:tcBorders>
              <w:top w:val="nil"/>
              <w:left w:val="nil"/>
            </w:tcBorders>
          </w:tcPr>
          <w:p w:rsidR="00D077D7" w:rsidRPr="001530CE" w:rsidRDefault="00D077D7" w:rsidP="00D077D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</w:p>
        </w:tc>
        <w:tc>
          <w:tcPr>
            <w:tcW w:w="1275" w:type="dxa"/>
            <w:vAlign w:val="center"/>
          </w:tcPr>
          <w:p w:rsidR="00D077D7" w:rsidRPr="001530CE" w:rsidRDefault="00D077D7" w:rsidP="00D077D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1530CE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počet</w:t>
            </w:r>
          </w:p>
        </w:tc>
        <w:tc>
          <w:tcPr>
            <w:tcW w:w="2268" w:type="dxa"/>
            <w:gridSpan w:val="2"/>
            <w:tcBorders>
              <w:bottom w:val="single" w:sz="4" w:space="0" w:color="auto"/>
            </w:tcBorders>
            <w:vAlign w:val="center"/>
          </w:tcPr>
          <w:p w:rsidR="00D077D7" w:rsidRPr="001530CE" w:rsidRDefault="00D077D7" w:rsidP="00D077D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1530CE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me</w:t>
            </w:r>
            <w:r w:rsidR="00AA2BEB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dziročná zme</w:t>
            </w:r>
            <w:r w:rsidRPr="001530CE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na v %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D077D7" w:rsidRPr="001530CE" w:rsidRDefault="00D077D7" w:rsidP="00D077D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1530CE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objem v</w:t>
            </w:r>
            <w:r w:rsidR="00AA2BEB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 </w:t>
            </w:r>
            <w:r w:rsidRPr="001530CE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mil</w:t>
            </w:r>
            <w:r w:rsidR="00AA2BEB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.</w:t>
            </w:r>
            <w:r w:rsidRPr="001530CE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 xml:space="preserve"> EUR</w:t>
            </w:r>
          </w:p>
        </w:tc>
        <w:tc>
          <w:tcPr>
            <w:tcW w:w="2196" w:type="dxa"/>
            <w:gridSpan w:val="2"/>
            <w:tcBorders>
              <w:bottom w:val="single" w:sz="4" w:space="0" w:color="auto"/>
            </w:tcBorders>
            <w:vAlign w:val="center"/>
          </w:tcPr>
          <w:p w:rsidR="00D077D7" w:rsidRPr="001530CE" w:rsidRDefault="00D077D7" w:rsidP="00D077D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1530CE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me</w:t>
            </w:r>
            <w:r w:rsidR="00AA2BEB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dziročná zme</w:t>
            </w:r>
            <w:r w:rsidRPr="001530CE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na v %</w:t>
            </w:r>
          </w:p>
        </w:tc>
      </w:tr>
      <w:tr w:rsidR="006B0F91" w:rsidRPr="001530CE" w:rsidTr="00165846">
        <w:trPr>
          <w:cantSplit/>
          <w:trHeight w:val="284"/>
        </w:trPr>
        <w:tc>
          <w:tcPr>
            <w:tcW w:w="2127" w:type="dxa"/>
            <w:vAlign w:val="center"/>
          </w:tcPr>
          <w:p w:rsidR="006B0F91" w:rsidRPr="001530CE" w:rsidRDefault="006B0F91" w:rsidP="006B0F9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30CE">
              <w:rPr>
                <w:rFonts w:ascii="Arial" w:hAnsi="Arial" w:cs="Arial"/>
                <w:sz w:val="18"/>
                <w:szCs w:val="18"/>
              </w:rPr>
              <w:t>2012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6B0F91" w:rsidRPr="001530CE" w:rsidRDefault="006B0F91" w:rsidP="006B0F9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30CE">
              <w:rPr>
                <w:rFonts w:ascii="Arial" w:hAnsi="Arial" w:cs="Arial"/>
                <w:sz w:val="18"/>
                <w:szCs w:val="18"/>
              </w:rPr>
              <w:t>7 997</w:t>
            </w:r>
          </w:p>
        </w:tc>
        <w:tc>
          <w:tcPr>
            <w:tcW w:w="825" w:type="dxa"/>
            <w:tcBorders>
              <w:left w:val="single" w:sz="4" w:space="0" w:color="auto"/>
              <w:right w:val="nil"/>
            </w:tcBorders>
            <w:vAlign w:val="center"/>
          </w:tcPr>
          <w:p w:rsidR="006B0F91" w:rsidRPr="001530CE" w:rsidRDefault="006B0F91" w:rsidP="006B0F9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43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6B0F91" w:rsidRPr="001530CE" w:rsidRDefault="006B0F91" w:rsidP="006B0F9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30CE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6B0F91" w:rsidRPr="001530CE" w:rsidRDefault="006B0F91" w:rsidP="006B0F9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30CE">
              <w:rPr>
                <w:rFonts w:ascii="Arial" w:hAnsi="Arial" w:cs="Arial"/>
                <w:sz w:val="18"/>
                <w:szCs w:val="18"/>
              </w:rPr>
              <w:t>4 231</w:t>
            </w:r>
          </w:p>
        </w:tc>
        <w:tc>
          <w:tcPr>
            <w:tcW w:w="917" w:type="dxa"/>
            <w:tcBorders>
              <w:left w:val="single" w:sz="4" w:space="0" w:color="auto"/>
              <w:right w:val="nil"/>
            </w:tcBorders>
            <w:vAlign w:val="center"/>
          </w:tcPr>
          <w:p w:rsidR="006B0F91" w:rsidRPr="001530CE" w:rsidRDefault="006B0F91" w:rsidP="006B0F9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9" w:type="dxa"/>
            <w:tcBorders>
              <w:left w:val="nil"/>
            </w:tcBorders>
            <w:tcMar>
              <w:right w:w="397" w:type="dxa"/>
            </w:tcMar>
            <w:vAlign w:val="center"/>
          </w:tcPr>
          <w:p w:rsidR="006B0F91" w:rsidRPr="001530CE" w:rsidRDefault="006B0F91" w:rsidP="006B0F9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30CE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6B0F91" w:rsidRPr="001530CE" w:rsidTr="00165846">
        <w:trPr>
          <w:cantSplit/>
          <w:trHeight w:val="284"/>
        </w:trPr>
        <w:tc>
          <w:tcPr>
            <w:tcW w:w="2127" w:type="dxa"/>
            <w:vAlign w:val="center"/>
          </w:tcPr>
          <w:p w:rsidR="006B0F91" w:rsidRPr="001530CE" w:rsidRDefault="006B0F91" w:rsidP="006B0F9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30CE">
              <w:rPr>
                <w:rFonts w:ascii="Arial" w:hAnsi="Arial" w:cs="Arial"/>
                <w:sz w:val="18"/>
                <w:szCs w:val="18"/>
              </w:rPr>
              <w:t>2013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6B0F91" w:rsidRPr="001530CE" w:rsidRDefault="006B0F91" w:rsidP="006B0F9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30CE">
              <w:rPr>
                <w:rFonts w:ascii="Arial" w:hAnsi="Arial" w:cs="Arial"/>
                <w:sz w:val="18"/>
                <w:szCs w:val="18"/>
              </w:rPr>
              <w:t>8 615</w:t>
            </w:r>
          </w:p>
        </w:tc>
        <w:tc>
          <w:tcPr>
            <w:tcW w:w="825" w:type="dxa"/>
            <w:tcBorders>
              <w:left w:val="single" w:sz="4" w:space="0" w:color="auto"/>
              <w:right w:val="nil"/>
            </w:tcBorders>
            <w:vAlign w:val="center"/>
          </w:tcPr>
          <w:p w:rsidR="006B0F91" w:rsidRPr="001530CE" w:rsidRDefault="006B0F91" w:rsidP="006B0F9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30CE">
              <w:rPr>
                <w:bCs/>
                <w:color w:val="92D050"/>
                <w:sz w:val="24"/>
              </w:rPr>
              <w:sym w:font="Wingdings 3" w:char="F0C7"/>
            </w:r>
          </w:p>
        </w:tc>
        <w:tc>
          <w:tcPr>
            <w:tcW w:w="1443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6B0F91" w:rsidRPr="001530CE" w:rsidRDefault="006B0F91" w:rsidP="006B0F9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30CE">
              <w:rPr>
                <w:rFonts w:ascii="Arial" w:hAnsi="Arial" w:cs="Arial"/>
                <w:sz w:val="18"/>
                <w:szCs w:val="18"/>
              </w:rPr>
              <w:t>+7,7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6B0F91" w:rsidRPr="001530CE" w:rsidRDefault="006B0F91" w:rsidP="006B0F9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30CE">
              <w:rPr>
                <w:rFonts w:ascii="Arial" w:hAnsi="Arial" w:cs="Arial"/>
                <w:sz w:val="18"/>
                <w:szCs w:val="18"/>
              </w:rPr>
              <w:t>6 407</w:t>
            </w:r>
          </w:p>
        </w:tc>
        <w:tc>
          <w:tcPr>
            <w:tcW w:w="917" w:type="dxa"/>
            <w:tcBorders>
              <w:left w:val="single" w:sz="4" w:space="0" w:color="auto"/>
              <w:right w:val="nil"/>
            </w:tcBorders>
            <w:vAlign w:val="center"/>
          </w:tcPr>
          <w:p w:rsidR="006B0F91" w:rsidRPr="001530CE" w:rsidRDefault="006B0F91" w:rsidP="006B0F91">
            <w:pPr>
              <w:spacing w:after="0" w:line="240" w:lineRule="auto"/>
              <w:jc w:val="center"/>
              <w:rPr>
                <w:bCs/>
                <w:color w:val="92D050"/>
                <w:sz w:val="24"/>
              </w:rPr>
            </w:pPr>
            <w:r w:rsidRPr="001530CE">
              <w:rPr>
                <w:bCs/>
                <w:color w:val="92D050"/>
                <w:sz w:val="24"/>
              </w:rPr>
              <w:sym w:font="Wingdings 3" w:char="F0C7"/>
            </w:r>
          </w:p>
        </w:tc>
        <w:tc>
          <w:tcPr>
            <w:tcW w:w="1279" w:type="dxa"/>
            <w:tcBorders>
              <w:left w:val="nil"/>
            </w:tcBorders>
            <w:tcMar>
              <w:right w:w="397" w:type="dxa"/>
            </w:tcMar>
            <w:vAlign w:val="center"/>
          </w:tcPr>
          <w:p w:rsidR="006B0F91" w:rsidRPr="001530CE" w:rsidRDefault="006B0F91" w:rsidP="006B0F9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30CE">
              <w:rPr>
                <w:rFonts w:ascii="Arial" w:hAnsi="Arial" w:cs="Arial"/>
                <w:sz w:val="18"/>
                <w:szCs w:val="18"/>
              </w:rPr>
              <w:t>+51,4</w:t>
            </w:r>
          </w:p>
        </w:tc>
      </w:tr>
      <w:tr w:rsidR="006B0F91" w:rsidRPr="001530CE" w:rsidTr="00165846">
        <w:trPr>
          <w:cantSplit/>
          <w:trHeight w:val="284"/>
        </w:trPr>
        <w:tc>
          <w:tcPr>
            <w:tcW w:w="2127" w:type="dxa"/>
            <w:vAlign w:val="center"/>
          </w:tcPr>
          <w:p w:rsidR="006B0F91" w:rsidRPr="001530CE" w:rsidRDefault="006B0F91" w:rsidP="006B0F9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30CE">
              <w:rPr>
                <w:rFonts w:ascii="Arial" w:hAnsi="Arial" w:cs="Arial"/>
                <w:sz w:val="18"/>
                <w:szCs w:val="18"/>
              </w:rPr>
              <w:t>2014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6B0F91" w:rsidRPr="001530CE" w:rsidRDefault="006B0F91" w:rsidP="006B0F9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30CE">
              <w:rPr>
                <w:rFonts w:ascii="Arial" w:hAnsi="Arial" w:cs="Arial"/>
                <w:sz w:val="18"/>
                <w:szCs w:val="18"/>
              </w:rPr>
              <w:t>5 964</w:t>
            </w:r>
          </w:p>
        </w:tc>
        <w:tc>
          <w:tcPr>
            <w:tcW w:w="825" w:type="dxa"/>
            <w:tcBorders>
              <w:left w:val="single" w:sz="4" w:space="0" w:color="auto"/>
              <w:right w:val="nil"/>
            </w:tcBorders>
            <w:vAlign w:val="center"/>
          </w:tcPr>
          <w:p w:rsidR="006B0F91" w:rsidRPr="001530CE" w:rsidRDefault="006B0F91" w:rsidP="006B0F91">
            <w:pPr>
              <w:spacing w:after="0" w:line="240" w:lineRule="auto"/>
              <w:jc w:val="center"/>
              <w:rPr>
                <w:b/>
                <w:bCs/>
                <w:color w:val="FF0000"/>
                <w:sz w:val="24"/>
              </w:rPr>
            </w:pPr>
            <w:r w:rsidRPr="001530CE">
              <w:rPr>
                <w:b/>
                <w:bCs/>
                <w:color w:val="FF0000"/>
                <w:sz w:val="24"/>
              </w:rPr>
              <w:sym w:font="Wingdings 3" w:char="F0C8"/>
            </w:r>
          </w:p>
        </w:tc>
        <w:tc>
          <w:tcPr>
            <w:tcW w:w="1443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6B0F91" w:rsidRPr="001530CE" w:rsidRDefault="006B0F91" w:rsidP="006B0F9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30CE">
              <w:rPr>
                <w:rFonts w:ascii="Arial" w:hAnsi="Arial" w:cs="Arial"/>
                <w:sz w:val="18"/>
                <w:szCs w:val="18"/>
              </w:rPr>
              <w:t>-30,8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6B0F91" w:rsidRPr="001530CE" w:rsidRDefault="006B0F91" w:rsidP="006B0F9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30CE">
              <w:rPr>
                <w:rFonts w:ascii="Arial" w:hAnsi="Arial" w:cs="Arial"/>
                <w:sz w:val="18"/>
                <w:szCs w:val="18"/>
              </w:rPr>
              <w:t>6 503</w:t>
            </w:r>
          </w:p>
        </w:tc>
        <w:tc>
          <w:tcPr>
            <w:tcW w:w="917" w:type="dxa"/>
            <w:tcBorders>
              <w:left w:val="single" w:sz="4" w:space="0" w:color="auto"/>
              <w:right w:val="nil"/>
            </w:tcBorders>
            <w:vAlign w:val="center"/>
          </w:tcPr>
          <w:p w:rsidR="006B0F91" w:rsidRPr="001530CE" w:rsidRDefault="006B0F91" w:rsidP="006B0F91">
            <w:pPr>
              <w:spacing w:after="0" w:line="240" w:lineRule="auto"/>
              <w:jc w:val="center"/>
              <w:rPr>
                <w:bCs/>
                <w:color w:val="92D050"/>
                <w:sz w:val="24"/>
              </w:rPr>
            </w:pPr>
            <w:r w:rsidRPr="001530CE">
              <w:rPr>
                <w:bCs/>
                <w:color w:val="92D050"/>
                <w:sz w:val="24"/>
              </w:rPr>
              <w:sym w:font="Wingdings 3" w:char="F0C7"/>
            </w:r>
          </w:p>
        </w:tc>
        <w:tc>
          <w:tcPr>
            <w:tcW w:w="1279" w:type="dxa"/>
            <w:tcBorders>
              <w:left w:val="nil"/>
            </w:tcBorders>
            <w:tcMar>
              <w:right w:w="397" w:type="dxa"/>
            </w:tcMar>
            <w:vAlign w:val="center"/>
          </w:tcPr>
          <w:p w:rsidR="006B0F91" w:rsidRPr="001530CE" w:rsidRDefault="006B0F91" w:rsidP="006B0F9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30CE">
              <w:rPr>
                <w:rFonts w:ascii="Arial" w:hAnsi="Arial" w:cs="Arial"/>
                <w:sz w:val="18"/>
                <w:szCs w:val="18"/>
              </w:rPr>
              <w:t>+1,5</w:t>
            </w:r>
          </w:p>
        </w:tc>
      </w:tr>
      <w:tr w:rsidR="000D1365" w:rsidRPr="001530CE" w:rsidTr="00165846">
        <w:trPr>
          <w:cantSplit/>
          <w:trHeight w:val="284"/>
        </w:trPr>
        <w:tc>
          <w:tcPr>
            <w:tcW w:w="2127" w:type="dxa"/>
            <w:vAlign w:val="center"/>
          </w:tcPr>
          <w:p w:rsidR="000D1365" w:rsidRPr="001530CE" w:rsidRDefault="000D1365" w:rsidP="000D136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30CE">
              <w:rPr>
                <w:rFonts w:ascii="Arial" w:hAnsi="Arial" w:cs="Arial"/>
                <w:sz w:val="18"/>
                <w:szCs w:val="18"/>
              </w:rPr>
              <w:t>2015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0D1365" w:rsidRPr="001530CE" w:rsidRDefault="000D1365" w:rsidP="000D136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30CE">
              <w:rPr>
                <w:rFonts w:ascii="Arial" w:hAnsi="Arial" w:cs="Arial"/>
                <w:sz w:val="18"/>
                <w:szCs w:val="18"/>
              </w:rPr>
              <w:t>6 065</w:t>
            </w:r>
          </w:p>
        </w:tc>
        <w:tc>
          <w:tcPr>
            <w:tcW w:w="825" w:type="dxa"/>
            <w:tcBorders>
              <w:left w:val="single" w:sz="4" w:space="0" w:color="auto"/>
              <w:right w:val="nil"/>
            </w:tcBorders>
            <w:vAlign w:val="center"/>
          </w:tcPr>
          <w:p w:rsidR="000D1365" w:rsidRPr="001530CE" w:rsidRDefault="000D1365" w:rsidP="000D136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30CE">
              <w:rPr>
                <w:bCs/>
                <w:color w:val="92D050"/>
                <w:sz w:val="24"/>
              </w:rPr>
              <w:sym w:font="Wingdings 3" w:char="F0C7"/>
            </w:r>
          </w:p>
        </w:tc>
        <w:tc>
          <w:tcPr>
            <w:tcW w:w="1443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0D1365" w:rsidRPr="001530CE" w:rsidRDefault="000D1365" w:rsidP="000D136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30CE">
              <w:rPr>
                <w:rFonts w:ascii="Arial" w:hAnsi="Arial" w:cs="Arial"/>
                <w:sz w:val="18"/>
                <w:szCs w:val="18"/>
              </w:rPr>
              <w:t>+1,7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0D1365" w:rsidRPr="001530CE" w:rsidRDefault="000D1365" w:rsidP="000D136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30CE">
              <w:rPr>
                <w:rFonts w:ascii="Arial" w:hAnsi="Arial" w:cs="Arial"/>
                <w:sz w:val="18"/>
                <w:szCs w:val="18"/>
              </w:rPr>
              <w:t>4 880</w:t>
            </w:r>
          </w:p>
        </w:tc>
        <w:tc>
          <w:tcPr>
            <w:tcW w:w="917" w:type="dxa"/>
            <w:tcBorders>
              <w:left w:val="single" w:sz="4" w:space="0" w:color="auto"/>
              <w:right w:val="nil"/>
            </w:tcBorders>
            <w:vAlign w:val="center"/>
          </w:tcPr>
          <w:p w:rsidR="000D1365" w:rsidRPr="001530CE" w:rsidRDefault="000D1365" w:rsidP="000D136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30CE">
              <w:rPr>
                <w:b/>
                <w:bCs/>
                <w:color w:val="FF0000"/>
                <w:sz w:val="24"/>
              </w:rPr>
              <w:sym w:font="Wingdings 3" w:char="F0C8"/>
            </w:r>
          </w:p>
        </w:tc>
        <w:tc>
          <w:tcPr>
            <w:tcW w:w="1279" w:type="dxa"/>
            <w:tcBorders>
              <w:left w:val="nil"/>
            </w:tcBorders>
            <w:tcMar>
              <w:right w:w="397" w:type="dxa"/>
            </w:tcMar>
            <w:vAlign w:val="center"/>
          </w:tcPr>
          <w:p w:rsidR="000D1365" w:rsidRPr="001530CE" w:rsidRDefault="000D1365" w:rsidP="000D136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30CE">
              <w:rPr>
                <w:rFonts w:ascii="Arial" w:hAnsi="Arial" w:cs="Arial"/>
                <w:sz w:val="18"/>
                <w:szCs w:val="18"/>
              </w:rPr>
              <w:t>-25,0</w:t>
            </w:r>
          </w:p>
        </w:tc>
      </w:tr>
      <w:tr w:rsidR="00C3131B" w:rsidRPr="001530CE" w:rsidTr="00165846">
        <w:trPr>
          <w:cantSplit/>
          <w:trHeight w:val="284"/>
        </w:trPr>
        <w:tc>
          <w:tcPr>
            <w:tcW w:w="2127" w:type="dxa"/>
            <w:vAlign w:val="center"/>
          </w:tcPr>
          <w:p w:rsidR="00C3131B" w:rsidRPr="001530CE" w:rsidRDefault="00AA2BEB" w:rsidP="00C3131B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Január až máj</w:t>
            </w:r>
            <w:r w:rsidR="00C3131B" w:rsidRPr="001530CE">
              <w:rPr>
                <w:rFonts w:ascii="Arial" w:hAnsi="Arial" w:cs="Arial"/>
                <w:b/>
                <w:sz w:val="18"/>
                <w:szCs w:val="18"/>
              </w:rPr>
              <w:t xml:space="preserve"> 2016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C3131B" w:rsidRPr="001530CE" w:rsidRDefault="00C3131B" w:rsidP="00C3131B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1530CE">
              <w:rPr>
                <w:rFonts w:ascii="Arial" w:hAnsi="Arial" w:cs="Arial"/>
                <w:b/>
                <w:sz w:val="18"/>
                <w:szCs w:val="18"/>
              </w:rPr>
              <w:t>2 126</w:t>
            </w:r>
          </w:p>
        </w:tc>
        <w:tc>
          <w:tcPr>
            <w:tcW w:w="825" w:type="dxa"/>
            <w:tcBorders>
              <w:left w:val="single" w:sz="4" w:space="0" w:color="auto"/>
              <w:right w:val="nil"/>
            </w:tcBorders>
            <w:vAlign w:val="center"/>
          </w:tcPr>
          <w:p w:rsidR="00C3131B" w:rsidRPr="001530CE" w:rsidRDefault="00C3131B" w:rsidP="00C3131B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530CE">
              <w:rPr>
                <w:bCs/>
                <w:color w:val="92D050"/>
                <w:sz w:val="24"/>
              </w:rPr>
              <w:sym w:font="Wingdings 3" w:char="F0C7"/>
            </w:r>
          </w:p>
        </w:tc>
        <w:tc>
          <w:tcPr>
            <w:tcW w:w="1443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C3131B" w:rsidRPr="001530CE" w:rsidRDefault="00C3131B" w:rsidP="00C3131B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1530CE">
              <w:rPr>
                <w:rFonts w:ascii="Arial" w:hAnsi="Arial" w:cs="Arial"/>
                <w:b/>
                <w:sz w:val="18"/>
                <w:szCs w:val="18"/>
              </w:rPr>
              <w:t>+6,0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C3131B" w:rsidRPr="001530CE" w:rsidRDefault="00C3131B" w:rsidP="00C3131B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1530CE">
              <w:rPr>
                <w:rFonts w:ascii="Arial" w:hAnsi="Arial" w:cs="Arial"/>
                <w:b/>
                <w:sz w:val="18"/>
                <w:szCs w:val="18"/>
              </w:rPr>
              <w:t>1 635</w:t>
            </w:r>
          </w:p>
        </w:tc>
        <w:tc>
          <w:tcPr>
            <w:tcW w:w="917" w:type="dxa"/>
            <w:tcBorders>
              <w:left w:val="single" w:sz="4" w:space="0" w:color="auto"/>
              <w:right w:val="nil"/>
            </w:tcBorders>
            <w:vAlign w:val="center"/>
          </w:tcPr>
          <w:p w:rsidR="00C3131B" w:rsidRPr="001530CE" w:rsidRDefault="00C3131B" w:rsidP="00C3131B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530CE">
              <w:rPr>
                <w:b/>
                <w:bCs/>
                <w:color w:val="FF0000"/>
                <w:sz w:val="24"/>
              </w:rPr>
              <w:sym w:font="Wingdings 3" w:char="F0C8"/>
            </w:r>
          </w:p>
        </w:tc>
        <w:tc>
          <w:tcPr>
            <w:tcW w:w="1279" w:type="dxa"/>
            <w:tcBorders>
              <w:left w:val="nil"/>
            </w:tcBorders>
            <w:tcMar>
              <w:right w:w="397" w:type="dxa"/>
            </w:tcMar>
            <w:vAlign w:val="center"/>
          </w:tcPr>
          <w:p w:rsidR="00C3131B" w:rsidRPr="001530CE" w:rsidRDefault="00C3131B" w:rsidP="00C3131B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1530CE">
              <w:rPr>
                <w:rFonts w:ascii="Arial" w:hAnsi="Arial" w:cs="Arial"/>
                <w:b/>
                <w:sz w:val="18"/>
                <w:szCs w:val="18"/>
              </w:rPr>
              <w:t>-21,2</w:t>
            </w:r>
          </w:p>
        </w:tc>
      </w:tr>
    </w:tbl>
    <w:p w:rsidR="00D077D7" w:rsidRPr="001530CE" w:rsidRDefault="00D077D7" w:rsidP="00D077D7">
      <w:pPr>
        <w:spacing w:after="0" w:line="240" w:lineRule="auto"/>
        <w:jc w:val="both"/>
        <w:rPr>
          <w:rFonts w:ascii="Arial" w:eastAsia="Times New Roman" w:hAnsi="Arial" w:cs="Times New Roman"/>
          <w:bCs/>
          <w:sz w:val="16"/>
          <w:szCs w:val="16"/>
          <w:lang w:eastAsia="cs-CZ"/>
        </w:rPr>
      </w:pPr>
      <w:r w:rsidRPr="001530CE">
        <w:rPr>
          <w:rFonts w:ascii="Arial" w:eastAsia="Times New Roman" w:hAnsi="Arial" w:cs="Times New Roman"/>
          <w:bCs/>
          <w:sz w:val="16"/>
          <w:szCs w:val="16"/>
          <w:lang w:eastAsia="cs-CZ"/>
        </w:rPr>
        <w:t xml:space="preserve">Zdroj: </w:t>
      </w:r>
      <w:r w:rsidRPr="001530CE">
        <w:rPr>
          <w:rFonts w:ascii="Arial" w:eastAsia="Times New Roman" w:hAnsi="Arial" w:cs="Times New Roman"/>
          <w:sz w:val="16"/>
          <w:szCs w:val="16"/>
          <w:lang w:eastAsia="cs-CZ"/>
        </w:rPr>
        <w:t>Vestník verejného obstarávania</w:t>
      </w:r>
      <w:r w:rsidRPr="001530CE">
        <w:rPr>
          <w:rFonts w:ascii="Arial" w:eastAsia="Times New Roman" w:hAnsi="Arial" w:cs="Times New Roman"/>
          <w:bCs/>
          <w:sz w:val="16"/>
          <w:szCs w:val="16"/>
          <w:lang w:eastAsia="cs-CZ"/>
        </w:rPr>
        <w:t>, výpočty CEEC Research</w:t>
      </w:r>
    </w:p>
    <w:p w:rsidR="00D077D7" w:rsidRPr="001530CE" w:rsidRDefault="00D077D7" w:rsidP="000321DF">
      <w:pPr>
        <w:spacing w:after="0" w:line="360" w:lineRule="auto"/>
        <w:jc w:val="both"/>
        <w:rPr>
          <w:rStyle w:val="Hypertextovodkaz"/>
          <w:rFonts w:cs="Arial"/>
          <w:color w:val="auto"/>
          <w:u w:val="none"/>
        </w:rPr>
      </w:pPr>
    </w:p>
    <w:p w:rsidR="000321DF" w:rsidRPr="001530CE" w:rsidRDefault="000321DF" w:rsidP="000321DF">
      <w:pPr>
        <w:spacing w:after="0" w:line="360" w:lineRule="auto"/>
        <w:rPr>
          <w:rStyle w:val="Hypertextovodkaz"/>
          <w:rFonts w:cs="Arial"/>
          <w:color w:val="auto"/>
          <w:u w:val="none"/>
        </w:rPr>
      </w:pPr>
    </w:p>
    <w:p w:rsidR="00535ADA" w:rsidRPr="001530CE" w:rsidRDefault="00B70AEE" w:rsidP="003371A6">
      <w:pPr>
        <w:spacing w:after="0" w:line="360" w:lineRule="auto"/>
        <w:jc w:val="center"/>
        <w:rPr>
          <w:rStyle w:val="Hypertextovodkaz"/>
          <w:rFonts w:cs="Arial"/>
        </w:rPr>
      </w:pPr>
      <w:r w:rsidRPr="001530CE">
        <w:rPr>
          <w:rStyle w:val="Hypertextovodkaz"/>
          <w:rFonts w:cs="Arial"/>
          <w:color w:val="auto"/>
          <w:u w:val="none"/>
        </w:rPr>
        <w:t>N</w:t>
      </w:r>
      <w:r w:rsidR="00535ADA" w:rsidRPr="001530CE">
        <w:rPr>
          <w:rStyle w:val="Hypertextovodkaz"/>
          <w:rFonts w:cs="Arial"/>
          <w:color w:val="auto"/>
          <w:u w:val="none"/>
        </w:rPr>
        <w:t>ajnovšie prognózy vývoja stavebného a projektového trhu nájdete na</w:t>
      </w:r>
      <w:r w:rsidR="00535ADA" w:rsidRPr="001530CE">
        <w:rPr>
          <w:rStyle w:val="Hypertextovodkaz"/>
          <w:rFonts w:cs="Arial"/>
          <w:color w:val="auto"/>
        </w:rPr>
        <w:t xml:space="preserve"> </w:t>
      </w:r>
    </w:p>
    <w:p w:rsidR="00535ADA" w:rsidRPr="001530CE" w:rsidRDefault="00535ADA" w:rsidP="003371A6">
      <w:pPr>
        <w:spacing w:after="0" w:line="360" w:lineRule="auto"/>
        <w:jc w:val="center"/>
        <w:rPr>
          <w:rStyle w:val="Hypertextovodkaz"/>
          <w:rFonts w:ascii="Arial" w:hAnsi="Arial" w:cs="Arial"/>
        </w:rPr>
      </w:pPr>
      <w:r w:rsidRPr="001530CE">
        <w:rPr>
          <w:rStyle w:val="Hypertextovodkaz"/>
          <w:rFonts w:ascii="Arial" w:hAnsi="Arial" w:cs="Arial"/>
        </w:rPr>
        <w:t>www.ceec.eu</w:t>
      </w:r>
    </w:p>
    <w:p w:rsidR="003371A6" w:rsidRPr="001530CE" w:rsidRDefault="003371A6" w:rsidP="003371A6">
      <w:pPr>
        <w:spacing w:after="0" w:line="360" w:lineRule="auto"/>
        <w:jc w:val="center"/>
        <w:rPr>
          <w:rFonts w:ascii="Arial" w:hAnsi="Arial" w:cs="Arial"/>
          <w:color w:val="000000"/>
        </w:rPr>
      </w:pPr>
    </w:p>
    <w:p w:rsidR="00C968F2" w:rsidRPr="001530CE" w:rsidRDefault="00C968F2" w:rsidP="00C45298">
      <w:pPr>
        <w:spacing w:after="0" w:line="240" w:lineRule="auto"/>
        <w:rPr>
          <w:rFonts w:ascii="Arial" w:hAnsi="Arial" w:cs="Arial"/>
          <w:b/>
          <w:color w:val="000000"/>
        </w:rPr>
      </w:pPr>
      <w:r w:rsidRPr="001530CE">
        <w:rPr>
          <w:rFonts w:ascii="Arial" w:hAnsi="Arial" w:cs="Arial"/>
          <w:b/>
          <w:color w:val="000000"/>
        </w:rPr>
        <w:t>Kontakt pr</w:t>
      </w:r>
      <w:r w:rsidR="00B25F7D" w:rsidRPr="001530CE">
        <w:rPr>
          <w:rFonts w:ascii="Arial" w:hAnsi="Arial" w:cs="Arial"/>
          <w:b/>
          <w:color w:val="000000"/>
        </w:rPr>
        <w:t>e</w:t>
      </w:r>
      <w:r w:rsidRPr="001530CE">
        <w:rPr>
          <w:rFonts w:ascii="Arial" w:hAnsi="Arial" w:cs="Arial"/>
          <w:b/>
          <w:color w:val="000000"/>
        </w:rPr>
        <w:t xml:space="preserve"> média:</w:t>
      </w:r>
    </w:p>
    <w:p w:rsidR="00C968F2" w:rsidRPr="001530CE" w:rsidRDefault="00C968F2" w:rsidP="00C45298">
      <w:pPr>
        <w:spacing w:after="0" w:line="240" w:lineRule="auto"/>
        <w:rPr>
          <w:rFonts w:ascii="Arial" w:hAnsi="Arial" w:cs="Arial"/>
          <w:color w:val="000000"/>
        </w:rPr>
      </w:pPr>
      <w:r w:rsidRPr="001530CE">
        <w:rPr>
          <w:rFonts w:ascii="Arial" w:hAnsi="Arial" w:cs="Arial"/>
          <w:b/>
          <w:color w:val="000000"/>
        </w:rPr>
        <w:br/>
      </w:r>
      <w:r w:rsidRPr="001530CE">
        <w:rPr>
          <w:rFonts w:ascii="Arial" w:hAnsi="Arial" w:cs="Arial"/>
          <w:color w:val="000000"/>
        </w:rPr>
        <w:t xml:space="preserve">Alena </w:t>
      </w:r>
      <w:r w:rsidR="00B718C2" w:rsidRPr="001530CE">
        <w:rPr>
          <w:rFonts w:ascii="Arial" w:hAnsi="Arial" w:cs="Arial"/>
          <w:color w:val="000000"/>
        </w:rPr>
        <w:t>Bradáčová</w:t>
      </w:r>
      <w:r w:rsidRPr="001530CE">
        <w:rPr>
          <w:rFonts w:ascii="Arial" w:hAnsi="Arial" w:cs="Arial"/>
          <w:color w:val="000000"/>
        </w:rPr>
        <w:br/>
        <w:t xml:space="preserve">PR &amp; </w:t>
      </w:r>
      <w:proofErr w:type="spellStart"/>
      <w:r w:rsidRPr="001530CE">
        <w:rPr>
          <w:rFonts w:ascii="Arial" w:hAnsi="Arial" w:cs="Arial"/>
          <w:color w:val="000000"/>
        </w:rPr>
        <w:t>Communication</w:t>
      </w:r>
      <w:proofErr w:type="spellEnd"/>
      <w:r w:rsidRPr="001530CE">
        <w:rPr>
          <w:rFonts w:ascii="Arial" w:hAnsi="Arial" w:cs="Arial"/>
          <w:color w:val="000000"/>
        </w:rPr>
        <w:t xml:space="preserve"> Director</w:t>
      </w:r>
      <w:r w:rsidRPr="001530CE">
        <w:rPr>
          <w:rFonts w:ascii="Arial" w:hAnsi="Arial" w:cs="Arial"/>
          <w:color w:val="000000"/>
        </w:rPr>
        <w:br/>
      </w:r>
      <w:r w:rsidR="00B718C2" w:rsidRPr="001530CE">
        <w:rPr>
          <w:rFonts w:ascii="Arial" w:hAnsi="Arial" w:cs="Arial"/>
          <w:color w:val="000000"/>
        </w:rPr>
        <w:t>CEEC Research</w:t>
      </w:r>
      <w:r w:rsidR="00B718C2" w:rsidRPr="001530CE">
        <w:rPr>
          <w:rFonts w:ascii="Arial" w:hAnsi="Arial" w:cs="Arial"/>
          <w:color w:val="000000"/>
        </w:rPr>
        <w:br/>
        <w:t>E-mail: bradacova</w:t>
      </w:r>
      <w:r w:rsidRPr="001530CE">
        <w:rPr>
          <w:rFonts w:ascii="Arial" w:hAnsi="Arial" w:cs="Arial"/>
          <w:color w:val="000000"/>
        </w:rPr>
        <w:t>@ceec.eu</w:t>
      </w:r>
      <w:r w:rsidRPr="001530CE">
        <w:rPr>
          <w:rFonts w:ascii="Arial" w:hAnsi="Arial" w:cs="Arial"/>
          <w:color w:val="000000"/>
        </w:rPr>
        <w:br/>
        <w:t>Tel.: +420 777 299</w:t>
      </w:r>
      <w:r w:rsidR="005F0F7B" w:rsidRPr="001530CE">
        <w:rPr>
          <w:rFonts w:ascii="Arial" w:hAnsi="Arial" w:cs="Arial"/>
          <w:color w:val="000000"/>
        </w:rPr>
        <w:t> </w:t>
      </w:r>
      <w:r w:rsidRPr="001530CE">
        <w:rPr>
          <w:rFonts w:ascii="Arial" w:hAnsi="Arial" w:cs="Arial"/>
          <w:color w:val="000000"/>
        </w:rPr>
        <w:t>790</w:t>
      </w:r>
    </w:p>
    <w:p w:rsidR="007C55A2" w:rsidRPr="001530CE" w:rsidRDefault="007C55A2" w:rsidP="00D66843">
      <w:pPr>
        <w:spacing w:after="0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5F0F7B" w:rsidRPr="001530CE" w:rsidRDefault="005F0F7B" w:rsidP="00D66843">
      <w:pPr>
        <w:spacing w:after="0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B25F7D" w:rsidRPr="009A545E" w:rsidRDefault="00B25F7D" w:rsidP="00B25F7D">
      <w:pPr>
        <w:jc w:val="both"/>
        <w:rPr>
          <w:rFonts w:ascii="Arial" w:hAnsi="Arial" w:cs="Arial"/>
          <w:color w:val="000000"/>
          <w:sz w:val="16"/>
          <w:szCs w:val="16"/>
        </w:rPr>
      </w:pPr>
      <w:r w:rsidRPr="009A545E">
        <w:rPr>
          <w:rFonts w:ascii="Arial" w:hAnsi="Arial" w:cs="Arial"/>
          <w:b/>
          <w:color w:val="000000"/>
          <w:sz w:val="16"/>
          <w:szCs w:val="16"/>
        </w:rPr>
        <w:lastRenderedPageBreak/>
        <w:t>CEEC Research</w:t>
      </w:r>
      <w:r w:rsidRPr="009A545E">
        <w:rPr>
          <w:rFonts w:ascii="Arial" w:hAnsi="Arial" w:cs="Arial"/>
          <w:color w:val="000000"/>
          <w:sz w:val="16"/>
          <w:szCs w:val="16"/>
        </w:rPr>
        <w:t xml:space="preserve"> je najväčšou analytickou spoločnosťou špecializu</w:t>
      </w:r>
      <w:bookmarkStart w:id="0" w:name="_GoBack"/>
      <w:bookmarkEnd w:id="0"/>
      <w:r w:rsidRPr="009A545E">
        <w:rPr>
          <w:rFonts w:ascii="Arial" w:hAnsi="Arial" w:cs="Arial"/>
          <w:color w:val="000000"/>
          <w:sz w:val="16"/>
          <w:szCs w:val="16"/>
        </w:rPr>
        <w:t>júcou sa na stavebníctvo, projektový a developerský sektor, strojárenstvo a oblasť verejných zákaziek v krajinách strednej a východnej Európy. Bola založená v roku 2005 a od tej doby bezplatne poskytuje štúdie o aktuálnom stave a očakávanom vývoji v týchto segmentoch v desiatich krajinách strednej a východnej Európy. Všetky štúdie a analýzy CEEC Research sú založené výhradne na údajoch získaných z pravidelných štruktúrovaných interview s kľúčovými predstaviteľmi vybraných najväčších, stredných a malých spoločností.</w:t>
      </w:r>
    </w:p>
    <w:p w:rsidR="00B25F7D" w:rsidRPr="009A545E" w:rsidRDefault="00B25F7D" w:rsidP="00B25F7D">
      <w:pPr>
        <w:jc w:val="both"/>
        <w:rPr>
          <w:rFonts w:ascii="Arial" w:hAnsi="Arial" w:cs="Arial"/>
          <w:color w:val="000000"/>
        </w:rPr>
      </w:pPr>
      <w:r w:rsidRPr="009A545E">
        <w:rPr>
          <w:rFonts w:ascii="Arial" w:hAnsi="Arial" w:cs="Arial"/>
          <w:b/>
          <w:color w:val="000000"/>
          <w:sz w:val="16"/>
          <w:szCs w:val="16"/>
        </w:rPr>
        <w:t xml:space="preserve">CEEC Research </w:t>
      </w:r>
      <w:r w:rsidRPr="009A545E">
        <w:rPr>
          <w:rFonts w:ascii="Arial" w:hAnsi="Arial" w:cs="Arial"/>
          <w:color w:val="000000"/>
          <w:sz w:val="16"/>
          <w:szCs w:val="16"/>
        </w:rPr>
        <w:t>navyše k pravidelným a bezplatným analýzam stavebného, projektového, developerského, strojárenského a verejného sektora tiež organizuje úzko zamerané konferencie, ktorých sa zúčastňujú generálni riaditelia najvýznamnejších stavebných, developerských, projektových a strojárenských spoločností, prezidenti zväzov, cechov a komôr z týchto oblastí, aby diskutovali s najvyššími predstaviteľmi štátu vybraných krajín.</w:t>
      </w:r>
    </w:p>
    <w:p w:rsidR="005F0F7B" w:rsidRPr="001530CE" w:rsidRDefault="005F0F7B" w:rsidP="00D66843">
      <w:pPr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</w:p>
    <w:p w:rsidR="00C66A5B" w:rsidRPr="001530CE" w:rsidRDefault="00C66A5B" w:rsidP="00C66A5B">
      <w:pPr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</w:p>
    <w:p w:rsidR="00C66A5B" w:rsidRPr="001530CE" w:rsidRDefault="00C66A5B" w:rsidP="00C66A5B">
      <w:pPr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</w:p>
    <w:sectPr w:rsidR="00C66A5B" w:rsidRPr="001530CE" w:rsidSect="00DF6221">
      <w:headerReference w:type="default" r:id="rId8"/>
      <w:footerReference w:type="default" r:id="rId9"/>
      <w:type w:val="continuous"/>
      <w:pgSz w:w="11906" w:h="16838"/>
      <w:pgMar w:top="1417" w:right="1417" w:bottom="1417" w:left="1417" w:header="708" w:footer="216" w:gutter="0"/>
      <w:cols w:space="709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5FF8" w:rsidRDefault="00EA5FF8" w:rsidP="00A76E50">
      <w:pPr>
        <w:spacing w:after="0" w:line="240" w:lineRule="auto"/>
      </w:pPr>
      <w:r>
        <w:separator/>
      </w:r>
    </w:p>
  </w:endnote>
  <w:endnote w:type="continuationSeparator" w:id="0">
    <w:p w:rsidR="00EA5FF8" w:rsidRDefault="00EA5FF8" w:rsidP="00A76E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yanmar Text">
    <w:altName w:val="Times New Roman"/>
    <w:charset w:val="00"/>
    <w:family w:val="swiss"/>
    <w:pitch w:val="variable"/>
    <w:sig w:usb0="00000003" w:usb1="00000000" w:usb2="000004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Borders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</w:tblBorders>
      <w:shd w:val="clear" w:color="auto" w:fill="D9D9D9"/>
      <w:tblLook w:val="04A0" w:firstRow="1" w:lastRow="0" w:firstColumn="1" w:lastColumn="0" w:noHBand="0" w:noVBand="1"/>
    </w:tblPr>
    <w:tblGrid>
      <w:gridCol w:w="9062"/>
    </w:tblGrid>
    <w:tr w:rsidR="00DF6221" w:rsidRPr="0010694C" w:rsidTr="0010694C">
      <w:trPr>
        <w:trHeight w:val="844"/>
      </w:trPr>
      <w:tc>
        <w:tcPr>
          <w:tcW w:w="9062" w:type="dxa"/>
          <w:shd w:val="clear" w:color="auto" w:fill="D9D9D9"/>
        </w:tcPr>
        <w:p w:rsidR="00DF6221" w:rsidRPr="0010694C" w:rsidRDefault="00DF6221" w:rsidP="0010694C">
          <w:pPr>
            <w:spacing w:after="0" w:line="240" w:lineRule="auto"/>
            <w:rPr>
              <w:rStyle w:val="Hypertextovodkaz"/>
              <w:rFonts w:ascii="Arial" w:hAnsi="Arial" w:cs="Arial"/>
              <w:color w:val="808080"/>
              <w:sz w:val="6"/>
              <w:szCs w:val="6"/>
            </w:rPr>
          </w:pPr>
        </w:p>
        <w:p w:rsidR="00DF6221" w:rsidRPr="0010694C" w:rsidRDefault="00DF6221" w:rsidP="0010694C">
          <w:pPr>
            <w:spacing w:after="0" w:line="240" w:lineRule="auto"/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</w:pPr>
          <w:r w:rsidRPr="0010694C"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  <w:t>Metodika výpočtu:</w:t>
          </w:r>
        </w:p>
        <w:p w:rsidR="00DF6221" w:rsidRPr="0010694C" w:rsidRDefault="00DF6221" w:rsidP="0010694C">
          <w:pPr>
            <w:pStyle w:val="Odstavecseseznamem"/>
            <w:widowControl w:val="0"/>
            <w:numPr>
              <w:ilvl w:val="0"/>
              <w:numId w:val="4"/>
            </w:numPr>
            <w:spacing w:after="0" w:line="240" w:lineRule="auto"/>
            <w:ind w:left="284" w:firstLine="0"/>
            <w:contextualSpacing w:val="0"/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</w:pPr>
          <w:r w:rsidRPr="0010694C">
            <w:rPr>
              <w:rStyle w:val="Hypertextovodkaz"/>
              <w:rFonts w:ascii="Arial" w:hAnsi="Arial" w:cs="Arial"/>
              <w:b/>
              <w:color w:val="808080"/>
              <w:sz w:val="16"/>
              <w:szCs w:val="16"/>
              <w:u w:val="none"/>
            </w:rPr>
            <w:t>vyhlásené zákazky</w:t>
          </w:r>
          <w:r w:rsidRPr="0010694C"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  <w:t xml:space="preserve"> – vzťahuje sa k dátumu odoslania </w:t>
          </w:r>
          <w:r w:rsidR="002F35BB" w:rsidRPr="0010694C"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  <w:t xml:space="preserve">oznámenia </w:t>
          </w:r>
          <w:r w:rsidRPr="0010694C"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  <w:t>na Úrad pre verejné obstarávanie</w:t>
          </w:r>
        </w:p>
        <w:p w:rsidR="00171527" w:rsidRPr="0010694C" w:rsidRDefault="00DF6221" w:rsidP="0010694C">
          <w:pPr>
            <w:pStyle w:val="Odstavecseseznamem"/>
            <w:widowControl w:val="0"/>
            <w:numPr>
              <w:ilvl w:val="0"/>
              <w:numId w:val="4"/>
            </w:numPr>
            <w:spacing w:after="0" w:line="240" w:lineRule="auto"/>
            <w:ind w:left="284" w:firstLine="0"/>
            <w:contextualSpacing w:val="0"/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</w:pPr>
          <w:r w:rsidRPr="0010694C">
            <w:rPr>
              <w:rStyle w:val="Hypertextovodkaz"/>
              <w:rFonts w:ascii="Arial" w:hAnsi="Arial" w:cs="Arial"/>
              <w:b/>
              <w:color w:val="808080"/>
              <w:sz w:val="16"/>
              <w:szCs w:val="16"/>
              <w:u w:val="none"/>
            </w:rPr>
            <w:t>zadané (ukončené) zákazky</w:t>
          </w:r>
          <w:r w:rsidRPr="0010694C"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  <w:t xml:space="preserve"> – vzťahuje sa k skutočnému dátumu zadania zákazky (uvedeného v</w:t>
          </w:r>
          <w:r w:rsidR="002F35BB" w:rsidRPr="0010694C"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  <w:t xml:space="preserve"> oznámení</w:t>
          </w:r>
          <w:r w:rsidRPr="0010694C"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  <w:t>)</w:t>
          </w:r>
        </w:p>
        <w:p w:rsidR="00DF6221" w:rsidRPr="0010694C" w:rsidRDefault="00DF6221" w:rsidP="0010694C">
          <w:pPr>
            <w:pStyle w:val="Odstavecseseznamem"/>
            <w:widowControl w:val="0"/>
            <w:numPr>
              <w:ilvl w:val="0"/>
              <w:numId w:val="4"/>
            </w:numPr>
            <w:spacing w:after="0" w:line="240" w:lineRule="auto"/>
            <w:ind w:left="284" w:firstLine="0"/>
            <w:contextualSpacing w:val="0"/>
            <w:rPr>
              <w:rFonts w:ascii="Arial" w:hAnsi="Arial" w:cs="Arial"/>
              <w:color w:val="808080"/>
              <w:sz w:val="16"/>
              <w:szCs w:val="16"/>
            </w:rPr>
          </w:pPr>
          <w:r w:rsidRPr="0010694C"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  <w:t xml:space="preserve">do výpočtu neboli zahrnuté </w:t>
          </w:r>
          <w:r w:rsidR="002F35BB" w:rsidRPr="0010694C"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  <w:t>oznámenia o koncesiách</w:t>
          </w:r>
        </w:p>
      </w:tc>
    </w:tr>
  </w:tbl>
  <w:p w:rsidR="00DF6221" w:rsidRPr="00171527" w:rsidRDefault="00DF6221" w:rsidP="00DF6221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5FF8" w:rsidRDefault="00EA5FF8" w:rsidP="00A76E50">
      <w:pPr>
        <w:spacing w:after="0" w:line="240" w:lineRule="auto"/>
      </w:pPr>
      <w:r>
        <w:separator/>
      </w:r>
    </w:p>
  </w:footnote>
  <w:footnote w:type="continuationSeparator" w:id="0">
    <w:p w:rsidR="00EA5FF8" w:rsidRDefault="00EA5FF8" w:rsidP="00A76E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7B77" w:rsidRDefault="00E47B77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noProof/>
        <w:color w:val="808080"/>
        <w:sz w:val="60"/>
        <w:szCs w:val="60"/>
        <w:lang w:eastAsia="cs-CZ"/>
      </w:rPr>
    </w:pPr>
    <w:r>
      <w:rPr>
        <w:b/>
        <w:noProof/>
        <w:color w:val="808080"/>
        <w:sz w:val="60"/>
        <w:szCs w:val="60"/>
        <w:lang w:eastAsia="cs-CZ"/>
      </w:rPr>
      <w:t xml:space="preserve">                                                       </w:t>
    </w:r>
    <w:r w:rsidR="00AD45FE">
      <w:rPr>
        <w:noProof/>
        <w:lang w:val="cs-CZ" w:eastAsia="cs-CZ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-240030</wp:posOffset>
          </wp:positionH>
          <wp:positionV relativeFrom="paragraph">
            <wp:posOffset>-203200</wp:posOffset>
          </wp:positionV>
          <wp:extent cx="1285240" cy="758825"/>
          <wp:effectExtent l="0" t="0" r="0" b="3175"/>
          <wp:wrapNone/>
          <wp:docPr id="1" name="obrázek 6" descr="Popis: Popis: Popis: Popis: Popis: Popis: Popis: logo CEEC Resear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6" descr="Popis: Popis: Popis: Popis: Popis: Popis: Popis: logo CEEC Resear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240" cy="758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E47B77" w:rsidRPr="00B25F7D" w:rsidRDefault="00B25F7D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noProof/>
        <w:color w:val="808080"/>
        <w:sz w:val="60"/>
        <w:szCs w:val="60"/>
        <w:lang w:eastAsia="cs-CZ"/>
      </w:rPr>
    </w:pPr>
    <w:r w:rsidRPr="00B25F7D">
      <w:rPr>
        <w:b/>
        <w:noProof/>
        <w:color w:val="808080"/>
        <w:sz w:val="60"/>
        <w:szCs w:val="60"/>
        <w:lang w:eastAsia="cs-CZ"/>
      </w:rPr>
      <w:t>Tlačová správa</w:t>
    </w:r>
  </w:p>
  <w:p w:rsidR="00AC2D6D" w:rsidRPr="00AC2D6D" w:rsidRDefault="00AC2D6D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color w:val="808080"/>
        <w:sz w:val="18"/>
        <w:szCs w:val="18"/>
      </w:rPr>
    </w:pPr>
  </w:p>
  <w:p w:rsidR="00E47B77" w:rsidRDefault="00E47B77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6D265A"/>
    <w:multiLevelType w:val="hybridMultilevel"/>
    <w:tmpl w:val="7CCE8D2E"/>
    <w:lvl w:ilvl="0" w:tplc="DAFA2688">
      <w:start w:val="1"/>
      <w:numFmt w:val="decimal"/>
      <w:lvlText w:val="%1."/>
      <w:lvlJc w:val="left"/>
      <w:pPr>
        <w:ind w:left="13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857" w:hanging="360"/>
      </w:pPr>
    </w:lvl>
    <w:lvl w:ilvl="2" w:tplc="0405001B" w:tentative="1">
      <w:start w:val="1"/>
      <w:numFmt w:val="lowerRoman"/>
      <w:lvlText w:val="%3."/>
      <w:lvlJc w:val="right"/>
      <w:pPr>
        <w:ind w:left="1577" w:hanging="180"/>
      </w:pPr>
    </w:lvl>
    <w:lvl w:ilvl="3" w:tplc="0405000F" w:tentative="1">
      <w:start w:val="1"/>
      <w:numFmt w:val="decimal"/>
      <w:lvlText w:val="%4."/>
      <w:lvlJc w:val="left"/>
      <w:pPr>
        <w:ind w:left="2297" w:hanging="360"/>
      </w:pPr>
    </w:lvl>
    <w:lvl w:ilvl="4" w:tplc="04050019" w:tentative="1">
      <w:start w:val="1"/>
      <w:numFmt w:val="lowerLetter"/>
      <w:lvlText w:val="%5."/>
      <w:lvlJc w:val="left"/>
      <w:pPr>
        <w:ind w:left="3017" w:hanging="360"/>
      </w:pPr>
    </w:lvl>
    <w:lvl w:ilvl="5" w:tplc="0405001B" w:tentative="1">
      <w:start w:val="1"/>
      <w:numFmt w:val="lowerRoman"/>
      <w:lvlText w:val="%6."/>
      <w:lvlJc w:val="right"/>
      <w:pPr>
        <w:ind w:left="3737" w:hanging="180"/>
      </w:pPr>
    </w:lvl>
    <w:lvl w:ilvl="6" w:tplc="0405000F" w:tentative="1">
      <w:start w:val="1"/>
      <w:numFmt w:val="decimal"/>
      <w:lvlText w:val="%7."/>
      <w:lvlJc w:val="left"/>
      <w:pPr>
        <w:ind w:left="4457" w:hanging="360"/>
      </w:pPr>
    </w:lvl>
    <w:lvl w:ilvl="7" w:tplc="04050019" w:tentative="1">
      <w:start w:val="1"/>
      <w:numFmt w:val="lowerLetter"/>
      <w:lvlText w:val="%8."/>
      <w:lvlJc w:val="left"/>
      <w:pPr>
        <w:ind w:left="5177" w:hanging="360"/>
      </w:pPr>
    </w:lvl>
    <w:lvl w:ilvl="8" w:tplc="0405001B" w:tentative="1">
      <w:start w:val="1"/>
      <w:numFmt w:val="lowerRoman"/>
      <w:lvlText w:val="%9."/>
      <w:lvlJc w:val="right"/>
      <w:pPr>
        <w:ind w:left="5897" w:hanging="180"/>
      </w:pPr>
    </w:lvl>
  </w:abstractNum>
  <w:abstractNum w:abstractNumId="1" w15:restartNumberingAfterBreak="0">
    <w:nsid w:val="3B4F0BDD"/>
    <w:multiLevelType w:val="hybridMultilevel"/>
    <w:tmpl w:val="6620417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F821328"/>
    <w:multiLevelType w:val="hybridMultilevel"/>
    <w:tmpl w:val="75942C22"/>
    <w:lvl w:ilvl="0" w:tplc="9C644B6A">
      <w:start w:val="1"/>
      <w:numFmt w:val="decimal"/>
      <w:lvlText w:val="%1."/>
      <w:lvlJc w:val="left"/>
      <w:pPr>
        <w:ind w:left="13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857" w:hanging="360"/>
      </w:pPr>
    </w:lvl>
    <w:lvl w:ilvl="2" w:tplc="0405001B" w:tentative="1">
      <w:start w:val="1"/>
      <w:numFmt w:val="lowerRoman"/>
      <w:lvlText w:val="%3."/>
      <w:lvlJc w:val="right"/>
      <w:pPr>
        <w:ind w:left="1577" w:hanging="180"/>
      </w:pPr>
    </w:lvl>
    <w:lvl w:ilvl="3" w:tplc="0405000F" w:tentative="1">
      <w:start w:val="1"/>
      <w:numFmt w:val="decimal"/>
      <w:lvlText w:val="%4."/>
      <w:lvlJc w:val="left"/>
      <w:pPr>
        <w:ind w:left="2297" w:hanging="360"/>
      </w:pPr>
    </w:lvl>
    <w:lvl w:ilvl="4" w:tplc="04050019" w:tentative="1">
      <w:start w:val="1"/>
      <w:numFmt w:val="lowerLetter"/>
      <w:lvlText w:val="%5."/>
      <w:lvlJc w:val="left"/>
      <w:pPr>
        <w:ind w:left="3017" w:hanging="360"/>
      </w:pPr>
    </w:lvl>
    <w:lvl w:ilvl="5" w:tplc="0405001B" w:tentative="1">
      <w:start w:val="1"/>
      <w:numFmt w:val="lowerRoman"/>
      <w:lvlText w:val="%6."/>
      <w:lvlJc w:val="right"/>
      <w:pPr>
        <w:ind w:left="3737" w:hanging="180"/>
      </w:pPr>
    </w:lvl>
    <w:lvl w:ilvl="6" w:tplc="0405000F" w:tentative="1">
      <w:start w:val="1"/>
      <w:numFmt w:val="decimal"/>
      <w:lvlText w:val="%7."/>
      <w:lvlJc w:val="left"/>
      <w:pPr>
        <w:ind w:left="4457" w:hanging="360"/>
      </w:pPr>
    </w:lvl>
    <w:lvl w:ilvl="7" w:tplc="04050019" w:tentative="1">
      <w:start w:val="1"/>
      <w:numFmt w:val="lowerLetter"/>
      <w:lvlText w:val="%8."/>
      <w:lvlJc w:val="left"/>
      <w:pPr>
        <w:ind w:left="5177" w:hanging="360"/>
      </w:pPr>
    </w:lvl>
    <w:lvl w:ilvl="8" w:tplc="0405001B" w:tentative="1">
      <w:start w:val="1"/>
      <w:numFmt w:val="lowerRoman"/>
      <w:lvlText w:val="%9."/>
      <w:lvlJc w:val="right"/>
      <w:pPr>
        <w:ind w:left="5897" w:hanging="180"/>
      </w:pPr>
    </w:lvl>
  </w:abstractNum>
  <w:abstractNum w:abstractNumId="3" w15:restartNumberingAfterBreak="0">
    <w:nsid w:val="708A318F"/>
    <w:multiLevelType w:val="hybridMultilevel"/>
    <w:tmpl w:val="FD9E235A"/>
    <w:lvl w:ilvl="0" w:tplc="55A89484">
      <w:start w:val="1"/>
      <w:numFmt w:val="decimal"/>
      <w:lvlText w:val="%1."/>
      <w:lvlJc w:val="left"/>
      <w:pPr>
        <w:ind w:left="13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857" w:hanging="360"/>
      </w:pPr>
    </w:lvl>
    <w:lvl w:ilvl="2" w:tplc="0405001B" w:tentative="1">
      <w:start w:val="1"/>
      <w:numFmt w:val="lowerRoman"/>
      <w:lvlText w:val="%3."/>
      <w:lvlJc w:val="right"/>
      <w:pPr>
        <w:ind w:left="1577" w:hanging="180"/>
      </w:pPr>
    </w:lvl>
    <w:lvl w:ilvl="3" w:tplc="0405000F" w:tentative="1">
      <w:start w:val="1"/>
      <w:numFmt w:val="decimal"/>
      <w:lvlText w:val="%4."/>
      <w:lvlJc w:val="left"/>
      <w:pPr>
        <w:ind w:left="2297" w:hanging="360"/>
      </w:pPr>
    </w:lvl>
    <w:lvl w:ilvl="4" w:tplc="04050019" w:tentative="1">
      <w:start w:val="1"/>
      <w:numFmt w:val="lowerLetter"/>
      <w:lvlText w:val="%5."/>
      <w:lvlJc w:val="left"/>
      <w:pPr>
        <w:ind w:left="3017" w:hanging="360"/>
      </w:pPr>
    </w:lvl>
    <w:lvl w:ilvl="5" w:tplc="0405001B" w:tentative="1">
      <w:start w:val="1"/>
      <w:numFmt w:val="lowerRoman"/>
      <w:lvlText w:val="%6."/>
      <w:lvlJc w:val="right"/>
      <w:pPr>
        <w:ind w:left="3737" w:hanging="180"/>
      </w:pPr>
    </w:lvl>
    <w:lvl w:ilvl="6" w:tplc="0405000F" w:tentative="1">
      <w:start w:val="1"/>
      <w:numFmt w:val="decimal"/>
      <w:lvlText w:val="%7."/>
      <w:lvlJc w:val="left"/>
      <w:pPr>
        <w:ind w:left="4457" w:hanging="360"/>
      </w:pPr>
    </w:lvl>
    <w:lvl w:ilvl="7" w:tplc="04050019" w:tentative="1">
      <w:start w:val="1"/>
      <w:numFmt w:val="lowerLetter"/>
      <w:lvlText w:val="%8."/>
      <w:lvlJc w:val="left"/>
      <w:pPr>
        <w:ind w:left="5177" w:hanging="360"/>
      </w:pPr>
    </w:lvl>
    <w:lvl w:ilvl="8" w:tplc="0405001B" w:tentative="1">
      <w:start w:val="1"/>
      <w:numFmt w:val="lowerRoman"/>
      <w:lvlText w:val="%9."/>
      <w:lvlJc w:val="right"/>
      <w:pPr>
        <w:ind w:left="5897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55A2"/>
    <w:rsid w:val="0000119D"/>
    <w:rsid w:val="00001257"/>
    <w:rsid w:val="0000227C"/>
    <w:rsid w:val="00002781"/>
    <w:rsid w:val="00003552"/>
    <w:rsid w:val="000039CF"/>
    <w:rsid w:val="000110D5"/>
    <w:rsid w:val="00012CB9"/>
    <w:rsid w:val="00014CF3"/>
    <w:rsid w:val="00014F6D"/>
    <w:rsid w:val="00016986"/>
    <w:rsid w:val="00017E2E"/>
    <w:rsid w:val="00023D83"/>
    <w:rsid w:val="000261EE"/>
    <w:rsid w:val="0002664C"/>
    <w:rsid w:val="00027656"/>
    <w:rsid w:val="00030F20"/>
    <w:rsid w:val="0003155E"/>
    <w:rsid w:val="000321DF"/>
    <w:rsid w:val="00033E4F"/>
    <w:rsid w:val="00034237"/>
    <w:rsid w:val="00035EB9"/>
    <w:rsid w:val="00040AF2"/>
    <w:rsid w:val="0004318D"/>
    <w:rsid w:val="000431B3"/>
    <w:rsid w:val="00047BEE"/>
    <w:rsid w:val="00052956"/>
    <w:rsid w:val="0005371F"/>
    <w:rsid w:val="00053DE6"/>
    <w:rsid w:val="00055740"/>
    <w:rsid w:val="00055D25"/>
    <w:rsid w:val="00055FC7"/>
    <w:rsid w:val="00060DD1"/>
    <w:rsid w:val="00060F14"/>
    <w:rsid w:val="0006280C"/>
    <w:rsid w:val="000633FF"/>
    <w:rsid w:val="00064569"/>
    <w:rsid w:val="0006538F"/>
    <w:rsid w:val="00067C5F"/>
    <w:rsid w:val="0007025C"/>
    <w:rsid w:val="00072FDF"/>
    <w:rsid w:val="00072FE8"/>
    <w:rsid w:val="00073FC5"/>
    <w:rsid w:val="00076EE1"/>
    <w:rsid w:val="000803AD"/>
    <w:rsid w:val="00080FA0"/>
    <w:rsid w:val="00082873"/>
    <w:rsid w:val="000853CA"/>
    <w:rsid w:val="000909E4"/>
    <w:rsid w:val="000914EB"/>
    <w:rsid w:val="00092923"/>
    <w:rsid w:val="00093D49"/>
    <w:rsid w:val="000952CE"/>
    <w:rsid w:val="000957C6"/>
    <w:rsid w:val="000A03AB"/>
    <w:rsid w:val="000A0C73"/>
    <w:rsid w:val="000A2E0E"/>
    <w:rsid w:val="000A4C61"/>
    <w:rsid w:val="000A593D"/>
    <w:rsid w:val="000B0EFB"/>
    <w:rsid w:val="000B2314"/>
    <w:rsid w:val="000B3A8B"/>
    <w:rsid w:val="000B5E95"/>
    <w:rsid w:val="000B690A"/>
    <w:rsid w:val="000B694A"/>
    <w:rsid w:val="000C0093"/>
    <w:rsid w:val="000C079A"/>
    <w:rsid w:val="000C2B3C"/>
    <w:rsid w:val="000C4278"/>
    <w:rsid w:val="000C4F6C"/>
    <w:rsid w:val="000C5911"/>
    <w:rsid w:val="000C6179"/>
    <w:rsid w:val="000C6B1F"/>
    <w:rsid w:val="000D031A"/>
    <w:rsid w:val="000D1365"/>
    <w:rsid w:val="000D2CE5"/>
    <w:rsid w:val="000D3395"/>
    <w:rsid w:val="000D5EC9"/>
    <w:rsid w:val="000E0FE0"/>
    <w:rsid w:val="000E1438"/>
    <w:rsid w:val="000E60CC"/>
    <w:rsid w:val="000E620E"/>
    <w:rsid w:val="000E71B9"/>
    <w:rsid w:val="000E7454"/>
    <w:rsid w:val="000F4820"/>
    <w:rsid w:val="000F58C9"/>
    <w:rsid w:val="000F5D71"/>
    <w:rsid w:val="000F6F79"/>
    <w:rsid w:val="001037D9"/>
    <w:rsid w:val="00104FFE"/>
    <w:rsid w:val="0010694C"/>
    <w:rsid w:val="00110295"/>
    <w:rsid w:val="001111BA"/>
    <w:rsid w:val="001131DD"/>
    <w:rsid w:val="0011344B"/>
    <w:rsid w:val="00113B38"/>
    <w:rsid w:val="00115DA0"/>
    <w:rsid w:val="00116FFB"/>
    <w:rsid w:val="00121151"/>
    <w:rsid w:val="0012196C"/>
    <w:rsid w:val="00121C9B"/>
    <w:rsid w:val="00125253"/>
    <w:rsid w:val="0012555E"/>
    <w:rsid w:val="00127951"/>
    <w:rsid w:val="001346AF"/>
    <w:rsid w:val="001350E0"/>
    <w:rsid w:val="00136C43"/>
    <w:rsid w:val="00136E59"/>
    <w:rsid w:val="001409B2"/>
    <w:rsid w:val="00143695"/>
    <w:rsid w:val="00147738"/>
    <w:rsid w:val="001530CE"/>
    <w:rsid w:val="001536EE"/>
    <w:rsid w:val="00156DD0"/>
    <w:rsid w:val="00160F29"/>
    <w:rsid w:val="00165846"/>
    <w:rsid w:val="00166B57"/>
    <w:rsid w:val="00166DEA"/>
    <w:rsid w:val="00171527"/>
    <w:rsid w:val="00172B7C"/>
    <w:rsid w:val="00172C66"/>
    <w:rsid w:val="001768AF"/>
    <w:rsid w:val="00180560"/>
    <w:rsid w:val="001854A9"/>
    <w:rsid w:val="0018743F"/>
    <w:rsid w:val="00196346"/>
    <w:rsid w:val="0019645D"/>
    <w:rsid w:val="00197C1E"/>
    <w:rsid w:val="001A203D"/>
    <w:rsid w:val="001A281A"/>
    <w:rsid w:val="001A3B07"/>
    <w:rsid w:val="001A3CBC"/>
    <w:rsid w:val="001A55ED"/>
    <w:rsid w:val="001A6A6E"/>
    <w:rsid w:val="001A6C7A"/>
    <w:rsid w:val="001B6429"/>
    <w:rsid w:val="001B76D5"/>
    <w:rsid w:val="001C6F33"/>
    <w:rsid w:val="001C7E05"/>
    <w:rsid w:val="001D0C46"/>
    <w:rsid w:val="001D1F00"/>
    <w:rsid w:val="001D32B1"/>
    <w:rsid w:val="001D36EB"/>
    <w:rsid w:val="001D5798"/>
    <w:rsid w:val="001D5EB6"/>
    <w:rsid w:val="001D6EDB"/>
    <w:rsid w:val="001D7AEC"/>
    <w:rsid w:val="001E3B75"/>
    <w:rsid w:val="001E446E"/>
    <w:rsid w:val="001E4926"/>
    <w:rsid w:val="001E5881"/>
    <w:rsid w:val="001E715E"/>
    <w:rsid w:val="001F11C2"/>
    <w:rsid w:val="001F128B"/>
    <w:rsid w:val="001F22BC"/>
    <w:rsid w:val="001F70AA"/>
    <w:rsid w:val="001F724D"/>
    <w:rsid w:val="002070E9"/>
    <w:rsid w:val="00211533"/>
    <w:rsid w:val="00212725"/>
    <w:rsid w:val="00214474"/>
    <w:rsid w:val="0021506F"/>
    <w:rsid w:val="002262A5"/>
    <w:rsid w:val="00233D6F"/>
    <w:rsid w:val="002353AC"/>
    <w:rsid w:val="00237274"/>
    <w:rsid w:val="00240AFB"/>
    <w:rsid w:val="00242CAA"/>
    <w:rsid w:val="00251186"/>
    <w:rsid w:val="00251AB8"/>
    <w:rsid w:val="002522DF"/>
    <w:rsid w:val="002533DB"/>
    <w:rsid w:val="002560EF"/>
    <w:rsid w:val="00257FDE"/>
    <w:rsid w:val="00257FF1"/>
    <w:rsid w:val="002603EC"/>
    <w:rsid w:val="00260DD4"/>
    <w:rsid w:val="00263565"/>
    <w:rsid w:val="00263649"/>
    <w:rsid w:val="0026597A"/>
    <w:rsid w:val="002678EB"/>
    <w:rsid w:val="00271171"/>
    <w:rsid w:val="00275AD4"/>
    <w:rsid w:val="00277459"/>
    <w:rsid w:val="00280FF2"/>
    <w:rsid w:val="002818F3"/>
    <w:rsid w:val="00282C79"/>
    <w:rsid w:val="002830C6"/>
    <w:rsid w:val="0028338C"/>
    <w:rsid w:val="0029157C"/>
    <w:rsid w:val="00293553"/>
    <w:rsid w:val="00294841"/>
    <w:rsid w:val="0029594C"/>
    <w:rsid w:val="0029718C"/>
    <w:rsid w:val="002A05C0"/>
    <w:rsid w:val="002A0D8C"/>
    <w:rsid w:val="002A6CC8"/>
    <w:rsid w:val="002A7D29"/>
    <w:rsid w:val="002A7D2C"/>
    <w:rsid w:val="002A7D9C"/>
    <w:rsid w:val="002B1925"/>
    <w:rsid w:val="002B69EB"/>
    <w:rsid w:val="002B7003"/>
    <w:rsid w:val="002C1475"/>
    <w:rsid w:val="002C2C67"/>
    <w:rsid w:val="002C376E"/>
    <w:rsid w:val="002C5F1D"/>
    <w:rsid w:val="002C6809"/>
    <w:rsid w:val="002C6870"/>
    <w:rsid w:val="002C76EC"/>
    <w:rsid w:val="002D00D5"/>
    <w:rsid w:val="002D1579"/>
    <w:rsid w:val="002D1D8C"/>
    <w:rsid w:val="002E04E6"/>
    <w:rsid w:val="002E0D84"/>
    <w:rsid w:val="002E1B68"/>
    <w:rsid w:val="002E1CCD"/>
    <w:rsid w:val="002E4528"/>
    <w:rsid w:val="002E5204"/>
    <w:rsid w:val="002E5456"/>
    <w:rsid w:val="002E7E2A"/>
    <w:rsid w:val="002F030D"/>
    <w:rsid w:val="002F1525"/>
    <w:rsid w:val="002F35BB"/>
    <w:rsid w:val="002F3CFF"/>
    <w:rsid w:val="002F42A5"/>
    <w:rsid w:val="002F4916"/>
    <w:rsid w:val="002F5151"/>
    <w:rsid w:val="002F5850"/>
    <w:rsid w:val="002F683F"/>
    <w:rsid w:val="002F69FF"/>
    <w:rsid w:val="002F7E3F"/>
    <w:rsid w:val="003008A7"/>
    <w:rsid w:val="003016AD"/>
    <w:rsid w:val="003057BE"/>
    <w:rsid w:val="00305E0A"/>
    <w:rsid w:val="00306F83"/>
    <w:rsid w:val="00311898"/>
    <w:rsid w:val="00311BF9"/>
    <w:rsid w:val="003120A5"/>
    <w:rsid w:val="00312578"/>
    <w:rsid w:val="00312EBF"/>
    <w:rsid w:val="00315F24"/>
    <w:rsid w:val="00317CBD"/>
    <w:rsid w:val="003207A8"/>
    <w:rsid w:val="00320FF8"/>
    <w:rsid w:val="00322E22"/>
    <w:rsid w:val="00324918"/>
    <w:rsid w:val="00325137"/>
    <w:rsid w:val="003267D4"/>
    <w:rsid w:val="00326977"/>
    <w:rsid w:val="00327098"/>
    <w:rsid w:val="00332EC1"/>
    <w:rsid w:val="00336791"/>
    <w:rsid w:val="003371A6"/>
    <w:rsid w:val="00340DBD"/>
    <w:rsid w:val="00340F91"/>
    <w:rsid w:val="0034103C"/>
    <w:rsid w:val="00341337"/>
    <w:rsid w:val="00343FE1"/>
    <w:rsid w:val="00344AA1"/>
    <w:rsid w:val="00345FAA"/>
    <w:rsid w:val="00346F0E"/>
    <w:rsid w:val="00350B86"/>
    <w:rsid w:val="003536E6"/>
    <w:rsid w:val="00355142"/>
    <w:rsid w:val="003567AD"/>
    <w:rsid w:val="00356815"/>
    <w:rsid w:val="00357CBB"/>
    <w:rsid w:val="00366798"/>
    <w:rsid w:val="00367609"/>
    <w:rsid w:val="00367B43"/>
    <w:rsid w:val="00370B08"/>
    <w:rsid w:val="00374BE7"/>
    <w:rsid w:val="00376E15"/>
    <w:rsid w:val="00380371"/>
    <w:rsid w:val="00382A30"/>
    <w:rsid w:val="00383358"/>
    <w:rsid w:val="00387314"/>
    <w:rsid w:val="00387937"/>
    <w:rsid w:val="00390E15"/>
    <w:rsid w:val="0039104A"/>
    <w:rsid w:val="003953D3"/>
    <w:rsid w:val="00395988"/>
    <w:rsid w:val="003964E1"/>
    <w:rsid w:val="003A14B6"/>
    <w:rsid w:val="003A181B"/>
    <w:rsid w:val="003A3434"/>
    <w:rsid w:val="003A4732"/>
    <w:rsid w:val="003A4FD1"/>
    <w:rsid w:val="003A6F3A"/>
    <w:rsid w:val="003A7A48"/>
    <w:rsid w:val="003B2226"/>
    <w:rsid w:val="003B24B6"/>
    <w:rsid w:val="003B2E18"/>
    <w:rsid w:val="003B5EAE"/>
    <w:rsid w:val="003C0CCF"/>
    <w:rsid w:val="003C54F2"/>
    <w:rsid w:val="003C6408"/>
    <w:rsid w:val="003C6EB8"/>
    <w:rsid w:val="003D2951"/>
    <w:rsid w:val="003D48F8"/>
    <w:rsid w:val="003D6F8E"/>
    <w:rsid w:val="003E1A1F"/>
    <w:rsid w:val="003E1E49"/>
    <w:rsid w:val="003E3DE2"/>
    <w:rsid w:val="003E40D1"/>
    <w:rsid w:val="003E77A1"/>
    <w:rsid w:val="003F1964"/>
    <w:rsid w:val="00402D9F"/>
    <w:rsid w:val="0040325E"/>
    <w:rsid w:val="00403492"/>
    <w:rsid w:val="00403731"/>
    <w:rsid w:val="00405EA9"/>
    <w:rsid w:val="00410AA6"/>
    <w:rsid w:val="00426A92"/>
    <w:rsid w:val="004316C7"/>
    <w:rsid w:val="00433364"/>
    <w:rsid w:val="0043543D"/>
    <w:rsid w:val="004370C0"/>
    <w:rsid w:val="00437237"/>
    <w:rsid w:val="00437D6C"/>
    <w:rsid w:val="00441736"/>
    <w:rsid w:val="00442507"/>
    <w:rsid w:val="0044390B"/>
    <w:rsid w:val="0044519F"/>
    <w:rsid w:val="004462F7"/>
    <w:rsid w:val="004467C4"/>
    <w:rsid w:val="00446BD0"/>
    <w:rsid w:val="004503E6"/>
    <w:rsid w:val="00452412"/>
    <w:rsid w:val="0045410A"/>
    <w:rsid w:val="00454A85"/>
    <w:rsid w:val="00460C42"/>
    <w:rsid w:val="0046114D"/>
    <w:rsid w:val="00461766"/>
    <w:rsid w:val="00463642"/>
    <w:rsid w:val="00466AB9"/>
    <w:rsid w:val="004706FC"/>
    <w:rsid w:val="00471F4D"/>
    <w:rsid w:val="00475411"/>
    <w:rsid w:val="00476F5C"/>
    <w:rsid w:val="00477E8F"/>
    <w:rsid w:val="004831E5"/>
    <w:rsid w:val="004861FD"/>
    <w:rsid w:val="0048734D"/>
    <w:rsid w:val="00490688"/>
    <w:rsid w:val="004907FF"/>
    <w:rsid w:val="00492AE9"/>
    <w:rsid w:val="00493E4C"/>
    <w:rsid w:val="00495320"/>
    <w:rsid w:val="00495F8C"/>
    <w:rsid w:val="004973FD"/>
    <w:rsid w:val="00497993"/>
    <w:rsid w:val="004A0F38"/>
    <w:rsid w:val="004A1A95"/>
    <w:rsid w:val="004A714A"/>
    <w:rsid w:val="004B21C6"/>
    <w:rsid w:val="004B2FEB"/>
    <w:rsid w:val="004B5204"/>
    <w:rsid w:val="004C14E3"/>
    <w:rsid w:val="004C6916"/>
    <w:rsid w:val="004C778E"/>
    <w:rsid w:val="004D1726"/>
    <w:rsid w:val="004D3539"/>
    <w:rsid w:val="004D3CE0"/>
    <w:rsid w:val="004D40B2"/>
    <w:rsid w:val="004D75BF"/>
    <w:rsid w:val="004E5331"/>
    <w:rsid w:val="004E5B70"/>
    <w:rsid w:val="004E6937"/>
    <w:rsid w:val="004E7A70"/>
    <w:rsid w:val="004F4146"/>
    <w:rsid w:val="004F5B25"/>
    <w:rsid w:val="004F5B5A"/>
    <w:rsid w:val="00500DCA"/>
    <w:rsid w:val="005034DA"/>
    <w:rsid w:val="00503F76"/>
    <w:rsid w:val="00504958"/>
    <w:rsid w:val="005073A6"/>
    <w:rsid w:val="0051183B"/>
    <w:rsid w:val="00512BB8"/>
    <w:rsid w:val="00514F16"/>
    <w:rsid w:val="005171E3"/>
    <w:rsid w:val="00517883"/>
    <w:rsid w:val="0052175E"/>
    <w:rsid w:val="00524ADB"/>
    <w:rsid w:val="00527067"/>
    <w:rsid w:val="00530C65"/>
    <w:rsid w:val="00532BE3"/>
    <w:rsid w:val="005349AB"/>
    <w:rsid w:val="00535ADA"/>
    <w:rsid w:val="0054074A"/>
    <w:rsid w:val="0054087B"/>
    <w:rsid w:val="005409B9"/>
    <w:rsid w:val="00540E43"/>
    <w:rsid w:val="00545502"/>
    <w:rsid w:val="00545FBD"/>
    <w:rsid w:val="0054668A"/>
    <w:rsid w:val="0054748B"/>
    <w:rsid w:val="0055065F"/>
    <w:rsid w:val="0055308D"/>
    <w:rsid w:val="005556C1"/>
    <w:rsid w:val="00556713"/>
    <w:rsid w:val="00561C4A"/>
    <w:rsid w:val="005643F4"/>
    <w:rsid w:val="00565634"/>
    <w:rsid w:val="00567582"/>
    <w:rsid w:val="005677BC"/>
    <w:rsid w:val="005704C5"/>
    <w:rsid w:val="0057268D"/>
    <w:rsid w:val="005733C7"/>
    <w:rsid w:val="00575BAA"/>
    <w:rsid w:val="0057721C"/>
    <w:rsid w:val="00577D4E"/>
    <w:rsid w:val="00580972"/>
    <w:rsid w:val="005826BC"/>
    <w:rsid w:val="00582B13"/>
    <w:rsid w:val="00584AAD"/>
    <w:rsid w:val="005861A0"/>
    <w:rsid w:val="0058771B"/>
    <w:rsid w:val="00590933"/>
    <w:rsid w:val="005912D0"/>
    <w:rsid w:val="005912F8"/>
    <w:rsid w:val="00594C7B"/>
    <w:rsid w:val="005954D5"/>
    <w:rsid w:val="00595D66"/>
    <w:rsid w:val="005A0BAA"/>
    <w:rsid w:val="005A2292"/>
    <w:rsid w:val="005A262C"/>
    <w:rsid w:val="005A2BCC"/>
    <w:rsid w:val="005A4048"/>
    <w:rsid w:val="005A498E"/>
    <w:rsid w:val="005B03B8"/>
    <w:rsid w:val="005B1E39"/>
    <w:rsid w:val="005B2B45"/>
    <w:rsid w:val="005B51C0"/>
    <w:rsid w:val="005C03A3"/>
    <w:rsid w:val="005C0FA8"/>
    <w:rsid w:val="005C5660"/>
    <w:rsid w:val="005C60BC"/>
    <w:rsid w:val="005C7342"/>
    <w:rsid w:val="005C740D"/>
    <w:rsid w:val="005D15C7"/>
    <w:rsid w:val="005D15D0"/>
    <w:rsid w:val="005D2256"/>
    <w:rsid w:val="005D32BF"/>
    <w:rsid w:val="005D3E08"/>
    <w:rsid w:val="005D6670"/>
    <w:rsid w:val="005E2954"/>
    <w:rsid w:val="005E295F"/>
    <w:rsid w:val="005E30D6"/>
    <w:rsid w:val="005E61DC"/>
    <w:rsid w:val="005E76DC"/>
    <w:rsid w:val="005E7D50"/>
    <w:rsid w:val="005F0F7B"/>
    <w:rsid w:val="005F3853"/>
    <w:rsid w:val="005F436D"/>
    <w:rsid w:val="005F6F58"/>
    <w:rsid w:val="005F7637"/>
    <w:rsid w:val="00601270"/>
    <w:rsid w:val="0060359F"/>
    <w:rsid w:val="00605FD4"/>
    <w:rsid w:val="00610915"/>
    <w:rsid w:val="006134B4"/>
    <w:rsid w:val="0061471F"/>
    <w:rsid w:val="00616288"/>
    <w:rsid w:val="00625010"/>
    <w:rsid w:val="00627370"/>
    <w:rsid w:val="0063027C"/>
    <w:rsid w:val="0063126E"/>
    <w:rsid w:val="00631B69"/>
    <w:rsid w:val="00635DBB"/>
    <w:rsid w:val="0063643D"/>
    <w:rsid w:val="00637A4B"/>
    <w:rsid w:val="00643070"/>
    <w:rsid w:val="0065684B"/>
    <w:rsid w:val="00656C38"/>
    <w:rsid w:val="0066111C"/>
    <w:rsid w:val="00661312"/>
    <w:rsid w:val="00662F0D"/>
    <w:rsid w:val="00665B5E"/>
    <w:rsid w:val="006665E9"/>
    <w:rsid w:val="00667AFE"/>
    <w:rsid w:val="006702E4"/>
    <w:rsid w:val="006718DD"/>
    <w:rsid w:val="00672B58"/>
    <w:rsid w:val="00672B96"/>
    <w:rsid w:val="00672BB7"/>
    <w:rsid w:val="00673835"/>
    <w:rsid w:val="006744DE"/>
    <w:rsid w:val="0067612A"/>
    <w:rsid w:val="00677213"/>
    <w:rsid w:val="006801BB"/>
    <w:rsid w:val="00680BEE"/>
    <w:rsid w:val="0068119D"/>
    <w:rsid w:val="00683995"/>
    <w:rsid w:val="00684A1B"/>
    <w:rsid w:val="00684B67"/>
    <w:rsid w:val="00692512"/>
    <w:rsid w:val="006927BA"/>
    <w:rsid w:val="00693E78"/>
    <w:rsid w:val="006953F2"/>
    <w:rsid w:val="00696322"/>
    <w:rsid w:val="00697385"/>
    <w:rsid w:val="006A01B1"/>
    <w:rsid w:val="006A122B"/>
    <w:rsid w:val="006A13CF"/>
    <w:rsid w:val="006A15E7"/>
    <w:rsid w:val="006A231E"/>
    <w:rsid w:val="006A23EE"/>
    <w:rsid w:val="006A44C0"/>
    <w:rsid w:val="006A528C"/>
    <w:rsid w:val="006A594B"/>
    <w:rsid w:val="006A6DE3"/>
    <w:rsid w:val="006B0F91"/>
    <w:rsid w:val="006B5BFA"/>
    <w:rsid w:val="006B5E3D"/>
    <w:rsid w:val="006C209F"/>
    <w:rsid w:val="006C5597"/>
    <w:rsid w:val="006C712D"/>
    <w:rsid w:val="006C735B"/>
    <w:rsid w:val="006D51F0"/>
    <w:rsid w:val="006E20F2"/>
    <w:rsid w:val="006E4E8A"/>
    <w:rsid w:val="006F0F71"/>
    <w:rsid w:val="006F24FE"/>
    <w:rsid w:val="006F29EF"/>
    <w:rsid w:val="006F2C05"/>
    <w:rsid w:val="006F5538"/>
    <w:rsid w:val="00702F17"/>
    <w:rsid w:val="00703F7F"/>
    <w:rsid w:val="00706ADB"/>
    <w:rsid w:val="007076E0"/>
    <w:rsid w:val="00710E8F"/>
    <w:rsid w:val="00710EF9"/>
    <w:rsid w:val="007115B5"/>
    <w:rsid w:val="007138AB"/>
    <w:rsid w:val="0071470C"/>
    <w:rsid w:val="007151ED"/>
    <w:rsid w:val="00716F81"/>
    <w:rsid w:val="00721DB4"/>
    <w:rsid w:val="00722EFE"/>
    <w:rsid w:val="0072523F"/>
    <w:rsid w:val="00725A3E"/>
    <w:rsid w:val="007262F3"/>
    <w:rsid w:val="0072646B"/>
    <w:rsid w:val="00733CEF"/>
    <w:rsid w:val="00733E20"/>
    <w:rsid w:val="00735C53"/>
    <w:rsid w:val="00737158"/>
    <w:rsid w:val="0074021E"/>
    <w:rsid w:val="00741C6E"/>
    <w:rsid w:val="007430B7"/>
    <w:rsid w:val="0074409A"/>
    <w:rsid w:val="00744A97"/>
    <w:rsid w:val="00746880"/>
    <w:rsid w:val="007526FE"/>
    <w:rsid w:val="00752F10"/>
    <w:rsid w:val="007547AB"/>
    <w:rsid w:val="00754831"/>
    <w:rsid w:val="00756A20"/>
    <w:rsid w:val="0075728E"/>
    <w:rsid w:val="00757E18"/>
    <w:rsid w:val="00760BCE"/>
    <w:rsid w:val="00763269"/>
    <w:rsid w:val="00766B88"/>
    <w:rsid w:val="00767779"/>
    <w:rsid w:val="0077612F"/>
    <w:rsid w:val="007761DF"/>
    <w:rsid w:val="007765E8"/>
    <w:rsid w:val="00782680"/>
    <w:rsid w:val="00784608"/>
    <w:rsid w:val="00785B22"/>
    <w:rsid w:val="00787051"/>
    <w:rsid w:val="007904B6"/>
    <w:rsid w:val="0079119F"/>
    <w:rsid w:val="00791C84"/>
    <w:rsid w:val="0079530A"/>
    <w:rsid w:val="007959B4"/>
    <w:rsid w:val="00797377"/>
    <w:rsid w:val="007977DF"/>
    <w:rsid w:val="00797F02"/>
    <w:rsid w:val="007A4653"/>
    <w:rsid w:val="007A4790"/>
    <w:rsid w:val="007A4BC1"/>
    <w:rsid w:val="007B2BC0"/>
    <w:rsid w:val="007B2BD0"/>
    <w:rsid w:val="007B4F0F"/>
    <w:rsid w:val="007B67E8"/>
    <w:rsid w:val="007B7078"/>
    <w:rsid w:val="007C015D"/>
    <w:rsid w:val="007C35D7"/>
    <w:rsid w:val="007C55A2"/>
    <w:rsid w:val="007C7D83"/>
    <w:rsid w:val="007D01D4"/>
    <w:rsid w:val="007D1E9E"/>
    <w:rsid w:val="007D51D0"/>
    <w:rsid w:val="007D73AB"/>
    <w:rsid w:val="007E2491"/>
    <w:rsid w:val="007E5D4A"/>
    <w:rsid w:val="007F0ADF"/>
    <w:rsid w:val="007F5413"/>
    <w:rsid w:val="007F7BD4"/>
    <w:rsid w:val="00800455"/>
    <w:rsid w:val="00806025"/>
    <w:rsid w:val="00806E7F"/>
    <w:rsid w:val="0081423F"/>
    <w:rsid w:val="008201AD"/>
    <w:rsid w:val="008220B0"/>
    <w:rsid w:val="008252E4"/>
    <w:rsid w:val="00825E03"/>
    <w:rsid w:val="008302F1"/>
    <w:rsid w:val="00832635"/>
    <w:rsid w:val="008342E2"/>
    <w:rsid w:val="00836B50"/>
    <w:rsid w:val="0084004E"/>
    <w:rsid w:val="008428C9"/>
    <w:rsid w:val="00853CC9"/>
    <w:rsid w:val="00855382"/>
    <w:rsid w:val="00855F1F"/>
    <w:rsid w:val="00862954"/>
    <w:rsid w:val="00863F4C"/>
    <w:rsid w:val="00867152"/>
    <w:rsid w:val="00870DAE"/>
    <w:rsid w:val="00871E1E"/>
    <w:rsid w:val="0087210A"/>
    <w:rsid w:val="00872C5B"/>
    <w:rsid w:val="00873C3E"/>
    <w:rsid w:val="008748F4"/>
    <w:rsid w:val="00875846"/>
    <w:rsid w:val="00875B48"/>
    <w:rsid w:val="0088009B"/>
    <w:rsid w:val="00882E09"/>
    <w:rsid w:val="0088365C"/>
    <w:rsid w:val="0088520D"/>
    <w:rsid w:val="008869E8"/>
    <w:rsid w:val="008878D0"/>
    <w:rsid w:val="00890743"/>
    <w:rsid w:val="00892803"/>
    <w:rsid w:val="00892A30"/>
    <w:rsid w:val="008A08DC"/>
    <w:rsid w:val="008A1918"/>
    <w:rsid w:val="008A2871"/>
    <w:rsid w:val="008A2FB6"/>
    <w:rsid w:val="008A6751"/>
    <w:rsid w:val="008B1388"/>
    <w:rsid w:val="008B2FE8"/>
    <w:rsid w:val="008B43D8"/>
    <w:rsid w:val="008B50B9"/>
    <w:rsid w:val="008B7DCF"/>
    <w:rsid w:val="008C50DE"/>
    <w:rsid w:val="008C5431"/>
    <w:rsid w:val="008C716E"/>
    <w:rsid w:val="008C72A0"/>
    <w:rsid w:val="008D414B"/>
    <w:rsid w:val="008E2BCE"/>
    <w:rsid w:val="008E4090"/>
    <w:rsid w:val="008E44D7"/>
    <w:rsid w:val="008E51E4"/>
    <w:rsid w:val="008E70F3"/>
    <w:rsid w:val="008F20F7"/>
    <w:rsid w:val="008F4D01"/>
    <w:rsid w:val="008F564C"/>
    <w:rsid w:val="009009E5"/>
    <w:rsid w:val="00902841"/>
    <w:rsid w:val="00902A00"/>
    <w:rsid w:val="009048D6"/>
    <w:rsid w:val="00906B01"/>
    <w:rsid w:val="00914FF6"/>
    <w:rsid w:val="00916FD0"/>
    <w:rsid w:val="00917465"/>
    <w:rsid w:val="00930100"/>
    <w:rsid w:val="00930BEC"/>
    <w:rsid w:val="00930CA6"/>
    <w:rsid w:val="00931E7E"/>
    <w:rsid w:val="00932481"/>
    <w:rsid w:val="009356AB"/>
    <w:rsid w:val="00935BE4"/>
    <w:rsid w:val="009377BA"/>
    <w:rsid w:val="0094074A"/>
    <w:rsid w:val="00941616"/>
    <w:rsid w:val="00942613"/>
    <w:rsid w:val="00942706"/>
    <w:rsid w:val="009443F0"/>
    <w:rsid w:val="00944A8E"/>
    <w:rsid w:val="009452AD"/>
    <w:rsid w:val="00946628"/>
    <w:rsid w:val="00947F5D"/>
    <w:rsid w:val="0095004C"/>
    <w:rsid w:val="009522FC"/>
    <w:rsid w:val="00955701"/>
    <w:rsid w:val="009564A3"/>
    <w:rsid w:val="00957D0D"/>
    <w:rsid w:val="00962CD2"/>
    <w:rsid w:val="0096552D"/>
    <w:rsid w:val="00965531"/>
    <w:rsid w:val="00967E64"/>
    <w:rsid w:val="0097485C"/>
    <w:rsid w:val="00976DBB"/>
    <w:rsid w:val="00981E90"/>
    <w:rsid w:val="00984994"/>
    <w:rsid w:val="00985694"/>
    <w:rsid w:val="00985F9A"/>
    <w:rsid w:val="00987D32"/>
    <w:rsid w:val="00990B27"/>
    <w:rsid w:val="00992BC3"/>
    <w:rsid w:val="00994C7B"/>
    <w:rsid w:val="00997C6E"/>
    <w:rsid w:val="009A0BBF"/>
    <w:rsid w:val="009A1D73"/>
    <w:rsid w:val="009A38B8"/>
    <w:rsid w:val="009A4A5D"/>
    <w:rsid w:val="009A545E"/>
    <w:rsid w:val="009A58B4"/>
    <w:rsid w:val="009A6632"/>
    <w:rsid w:val="009B06AF"/>
    <w:rsid w:val="009B2597"/>
    <w:rsid w:val="009B3A8B"/>
    <w:rsid w:val="009B41D2"/>
    <w:rsid w:val="009B4443"/>
    <w:rsid w:val="009C0119"/>
    <w:rsid w:val="009C099A"/>
    <w:rsid w:val="009C246B"/>
    <w:rsid w:val="009C265B"/>
    <w:rsid w:val="009C2F66"/>
    <w:rsid w:val="009C4538"/>
    <w:rsid w:val="009C590D"/>
    <w:rsid w:val="009C59E9"/>
    <w:rsid w:val="009C7022"/>
    <w:rsid w:val="009C7C7E"/>
    <w:rsid w:val="009D01E8"/>
    <w:rsid w:val="009D117F"/>
    <w:rsid w:val="009D125D"/>
    <w:rsid w:val="009E295C"/>
    <w:rsid w:val="009E4135"/>
    <w:rsid w:val="009E635F"/>
    <w:rsid w:val="009E663B"/>
    <w:rsid w:val="009E6FA2"/>
    <w:rsid w:val="009E72B1"/>
    <w:rsid w:val="009F092C"/>
    <w:rsid w:val="009F318A"/>
    <w:rsid w:val="009F4BE3"/>
    <w:rsid w:val="009F5081"/>
    <w:rsid w:val="009F5E0B"/>
    <w:rsid w:val="009F6763"/>
    <w:rsid w:val="009F7987"/>
    <w:rsid w:val="00A057BE"/>
    <w:rsid w:val="00A07038"/>
    <w:rsid w:val="00A12BF5"/>
    <w:rsid w:val="00A13B5D"/>
    <w:rsid w:val="00A13BD2"/>
    <w:rsid w:val="00A15685"/>
    <w:rsid w:val="00A20227"/>
    <w:rsid w:val="00A231F3"/>
    <w:rsid w:val="00A244C8"/>
    <w:rsid w:val="00A26852"/>
    <w:rsid w:val="00A26A00"/>
    <w:rsid w:val="00A300A2"/>
    <w:rsid w:val="00A324E2"/>
    <w:rsid w:val="00A32896"/>
    <w:rsid w:val="00A32EEE"/>
    <w:rsid w:val="00A3482C"/>
    <w:rsid w:val="00A422C7"/>
    <w:rsid w:val="00A434D1"/>
    <w:rsid w:val="00A45442"/>
    <w:rsid w:val="00A45FB9"/>
    <w:rsid w:val="00A46725"/>
    <w:rsid w:val="00A47511"/>
    <w:rsid w:val="00A479D6"/>
    <w:rsid w:val="00A52D31"/>
    <w:rsid w:val="00A541D4"/>
    <w:rsid w:val="00A5482F"/>
    <w:rsid w:val="00A601AE"/>
    <w:rsid w:val="00A62797"/>
    <w:rsid w:val="00A63FAA"/>
    <w:rsid w:val="00A6782D"/>
    <w:rsid w:val="00A7053B"/>
    <w:rsid w:val="00A71EE8"/>
    <w:rsid w:val="00A728A3"/>
    <w:rsid w:val="00A7323A"/>
    <w:rsid w:val="00A745C1"/>
    <w:rsid w:val="00A76799"/>
    <w:rsid w:val="00A76E50"/>
    <w:rsid w:val="00A776CB"/>
    <w:rsid w:val="00A84CE9"/>
    <w:rsid w:val="00A85F2F"/>
    <w:rsid w:val="00A87DB5"/>
    <w:rsid w:val="00A906AF"/>
    <w:rsid w:val="00A906B5"/>
    <w:rsid w:val="00A90EF4"/>
    <w:rsid w:val="00A91308"/>
    <w:rsid w:val="00A926D4"/>
    <w:rsid w:val="00A943B2"/>
    <w:rsid w:val="00A94542"/>
    <w:rsid w:val="00AA1387"/>
    <w:rsid w:val="00AA2BEB"/>
    <w:rsid w:val="00AA2C9F"/>
    <w:rsid w:val="00AA5E74"/>
    <w:rsid w:val="00AB12E5"/>
    <w:rsid w:val="00AB2DE8"/>
    <w:rsid w:val="00AB6561"/>
    <w:rsid w:val="00AB793C"/>
    <w:rsid w:val="00AC22A3"/>
    <w:rsid w:val="00AC2395"/>
    <w:rsid w:val="00AC2D6D"/>
    <w:rsid w:val="00AC339F"/>
    <w:rsid w:val="00AC3A50"/>
    <w:rsid w:val="00AC5BCC"/>
    <w:rsid w:val="00AC5F68"/>
    <w:rsid w:val="00AC6AD5"/>
    <w:rsid w:val="00AD0157"/>
    <w:rsid w:val="00AD317B"/>
    <w:rsid w:val="00AD45FE"/>
    <w:rsid w:val="00AD4919"/>
    <w:rsid w:val="00AE0527"/>
    <w:rsid w:val="00AE1035"/>
    <w:rsid w:val="00AE16A4"/>
    <w:rsid w:val="00AE221F"/>
    <w:rsid w:val="00AE443F"/>
    <w:rsid w:val="00AE4C3F"/>
    <w:rsid w:val="00AE6024"/>
    <w:rsid w:val="00AF2A07"/>
    <w:rsid w:val="00AF4BFC"/>
    <w:rsid w:val="00B01F29"/>
    <w:rsid w:val="00B10B32"/>
    <w:rsid w:val="00B12D93"/>
    <w:rsid w:val="00B131A2"/>
    <w:rsid w:val="00B14BB4"/>
    <w:rsid w:val="00B15312"/>
    <w:rsid w:val="00B172EC"/>
    <w:rsid w:val="00B23DC0"/>
    <w:rsid w:val="00B24A80"/>
    <w:rsid w:val="00B25F7D"/>
    <w:rsid w:val="00B2632A"/>
    <w:rsid w:val="00B273A5"/>
    <w:rsid w:val="00B30D0D"/>
    <w:rsid w:val="00B319B5"/>
    <w:rsid w:val="00B31B0E"/>
    <w:rsid w:val="00B345C4"/>
    <w:rsid w:val="00B34C67"/>
    <w:rsid w:val="00B35EEF"/>
    <w:rsid w:val="00B41CB4"/>
    <w:rsid w:val="00B42338"/>
    <w:rsid w:val="00B42D41"/>
    <w:rsid w:val="00B42E63"/>
    <w:rsid w:val="00B46243"/>
    <w:rsid w:val="00B47BF2"/>
    <w:rsid w:val="00B51315"/>
    <w:rsid w:val="00B51318"/>
    <w:rsid w:val="00B51326"/>
    <w:rsid w:val="00B544E3"/>
    <w:rsid w:val="00B64015"/>
    <w:rsid w:val="00B64398"/>
    <w:rsid w:val="00B660F0"/>
    <w:rsid w:val="00B676BD"/>
    <w:rsid w:val="00B7063C"/>
    <w:rsid w:val="00B70AEE"/>
    <w:rsid w:val="00B718C2"/>
    <w:rsid w:val="00B774A8"/>
    <w:rsid w:val="00B775E0"/>
    <w:rsid w:val="00B84F3F"/>
    <w:rsid w:val="00B87D38"/>
    <w:rsid w:val="00B91100"/>
    <w:rsid w:val="00B92593"/>
    <w:rsid w:val="00B948E1"/>
    <w:rsid w:val="00BA0468"/>
    <w:rsid w:val="00BA097C"/>
    <w:rsid w:val="00BA36CE"/>
    <w:rsid w:val="00BA3989"/>
    <w:rsid w:val="00BA5729"/>
    <w:rsid w:val="00BA58D2"/>
    <w:rsid w:val="00BA6672"/>
    <w:rsid w:val="00BB1847"/>
    <w:rsid w:val="00BB3010"/>
    <w:rsid w:val="00BB7537"/>
    <w:rsid w:val="00BB7792"/>
    <w:rsid w:val="00BC1E57"/>
    <w:rsid w:val="00BC2F01"/>
    <w:rsid w:val="00BC3888"/>
    <w:rsid w:val="00BD0D4F"/>
    <w:rsid w:val="00BD3F96"/>
    <w:rsid w:val="00BD65DC"/>
    <w:rsid w:val="00BD6790"/>
    <w:rsid w:val="00BD7803"/>
    <w:rsid w:val="00BE059D"/>
    <w:rsid w:val="00BE0FB2"/>
    <w:rsid w:val="00BE1FCB"/>
    <w:rsid w:val="00BE4C87"/>
    <w:rsid w:val="00BE50C4"/>
    <w:rsid w:val="00BF0A39"/>
    <w:rsid w:val="00BF14DC"/>
    <w:rsid w:val="00BF22DB"/>
    <w:rsid w:val="00BF3BA9"/>
    <w:rsid w:val="00C00076"/>
    <w:rsid w:val="00C01639"/>
    <w:rsid w:val="00C027EB"/>
    <w:rsid w:val="00C04049"/>
    <w:rsid w:val="00C07358"/>
    <w:rsid w:val="00C07B25"/>
    <w:rsid w:val="00C1456C"/>
    <w:rsid w:val="00C17493"/>
    <w:rsid w:val="00C21F49"/>
    <w:rsid w:val="00C231A7"/>
    <w:rsid w:val="00C231F2"/>
    <w:rsid w:val="00C24FD2"/>
    <w:rsid w:val="00C25C5A"/>
    <w:rsid w:val="00C3131B"/>
    <w:rsid w:val="00C3186F"/>
    <w:rsid w:val="00C31C5B"/>
    <w:rsid w:val="00C32127"/>
    <w:rsid w:val="00C33A96"/>
    <w:rsid w:val="00C438AE"/>
    <w:rsid w:val="00C45298"/>
    <w:rsid w:val="00C456A8"/>
    <w:rsid w:val="00C52010"/>
    <w:rsid w:val="00C57142"/>
    <w:rsid w:val="00C6119E"/>
    <w:rsid w:val="00C61698"/>
    <w:rsid w:val="00C65869"/>
    <w:rsid w:val="00C66A5B"/>
    <w:rsid w:val="00C66B21"/>
    <w:rsid w:val="00C675FD"/>
    <w:rsid w:val="00C71D8B"/>
    <w:rsid w:val="00C72CC1"/>
    <w:rsid w:val="00C75FBF"/>
    <w:rsid w:val="00C7622D"/>
    <w:rsid w:val="00C764E2"/>
    <w:rsid w:val="00C76EFB"/>
    <w:rsid w:val="00C772C3"/>
    <w:rsid w:val="00C81037"/>
    <w:rsid w:val="00C8222C"/>
    <w:rsid w:val="00C826F4"/>
    <w:rsid w:val="00C86CEC"/>
    <w:rsid w:val="00C87FF0"/>
    <w:rsid w:val="00C91307"/>
    <w:rsid w:val="00C9176D"/>
    <w:rsid w:val="00C93D89"/>
    <w:rsid w:val="00C93F8A"/>
    <w:rsid w:val="00C94082"/>
    <w:rsid w:val="00C945F2"/>
    <w:rsid w:val="00C95A8C"/>
    <w:rsid w:val="00C968F2"/>
    <w:rsid w:val="00C96933"/>
    <w:rsid w:val="00CA3F6B"/>
    <w:rsid w:val="00CA6E94"/>
    <w:rsid w:val="00CB19AF"/>
    <w:rsid w:val="00CB1D87"/>
    <w:rsid w:val="00CB2C3F"/>
    <w:rsid w:val="00CB46BD"/>
    <w:rsid w:val="00CB5E6C"/>
    <w:rsid w:val="00CC3C58"/>
    <w:rsid w:val="00CC7536"/>
    <w:rsid w:val="00CC7F02"/>
    <w:rsid w:val="00CD001D"/>
    <w:rsid w:val="00CD2EFD"/>
    <w:rsid w:val="00CD3166"/>
    <w:rsid w:val="00CD6919"/>
    <w:rsid w:val="00CE0207"/>
    <w:rsid w:val="00CE167C"/>
    <w:rsid w:val="00CE177F"/>
    <w:rsid w:val="00CE1D9C"/>
    <w:rsid w:val="00CE3BCF"/>
    <w:rsid w:val="00CE67AD"/>
    <w:rsid w:val="00CF08E7"/>
    <w:rsid w:val="00CF2F03"/>
    <w:rsid w:val="00D01178"/>
    <w:rsid w:val="00D01786"/>
    <w:rsid w:val="00D03A20"/>
    <w:rsid w:val="00D05153"/>
    <w:rsid w:val="00D077D7"/>
    <w:rsid w:val="00D1081C"/>
    <w:rsid w:val="00D11C20"/>
    <w:rsid w:val="00D124CD"/>
    <w:rsid w:val="00D14540"/>
    <w:rsid w:val="00D148C7"/>
    <w:rsid w:val="00D14C0C"/>
    <w:rsid w:val="00D16BBC"/>
    <w:rsid w:val="00D16BDE"/>
    <w:rsid w:val="00D16C44"/>
    <w:rsid w:val="00D17B2A"/>
    <w:rsid w:val="00D17F2B"/>
    <w:rsid w:val="00D21B76"/>
    <w:rsid w:val="00D262A9"/>
    <w:rsid w:val="00D277DC"/>
    <w:rsid w:val="00D27830"/>
    <w:rsid w:val="00D308FE"/>
    <w:rsid w:val="00D3106C"/>
    <w:rsid w:val="00D335C7"/>
    <w:rsid w:val="00D376F8"/>
    <w:rsid w:val="00D45875"/>
    <w:rsid w:val="00D50A6E"/>
    <w:rsid w:val="00D52AE5"/>
    <w:rsid w:val="00D5767B"/>
    <w:rsid w:val="00D601E1"/>
    <w:rsid w:val="00D611DB"/>
    <w:rsid w:val="00D61585"/>
    <w:rsid w:val="00D62A2C"/>
    <w:rsid w:val="00D63F9C"/>
    <w:rsid w:val="00D64833"/>
    <w:rsid w:val="00D6525A"/>
    <w:rsid w:val="00D6569F"/>
    <w:rsid w:val="00D6587A"/>
    <w:rsid w:val="00D662C2"/>
    <w:rsid w:val="00D66843"/>
    <w:rsid w:val="00D66E38"/>
    <w:rsid w:val="00D70C8E"/>
    <w:rsid w:val="00D75763"/>
    <w:rsid w:val="00D77EA2"/>
    <w:rsid w:val="00D8719A"/>
    <w:rsid w:val="00D8721F"/>
    <w:rsid w:val="00D91433"/>
    <w:rsid w:val="00D9555B"/>
    <w:rsid w:val="00D95BC5"/>
    <w:rsid w:val="00DA0086"/>
    <w:rsid w:val="00DA36FB"/>
    <w:rsid w:val="00DA649A"/>
    <w:rsid w:val="00DB07A6"/>
    <w:rsid w:val="00DB1885"/>
    <w:rsid w:val="00DB21E5"/>
    <w:rsid w:val="00DB34B3"/>
    <w:rsid w:val="00DB5242"/>
    <w:rsid w:val="00DC2371"/>
    <w:rsid w:val="00DD367E"/>
    <w:rsid w:val="00DD3DC0"/>
    <w:rsid w:val="00DE33C2"/>
    <w:rsid w:val="00DE5DFF"/>
    <w:rsid w:val="00DE6045"/>
    <w:rsid w:val="00DE6B4C"/>
    <w:rsid w:val="00DF28AF"/>
    <w:rsid w:val="00DF369B"/>
    <w:rsid w:val="00DF59C2"/>
    <w:rsid w:val="00DF59F0"/>
    <w:rsid w:val="00DF6221"/>
    <w:rsid w:val="00E018DE"/>
    <w:rsid w:val="00E01BB6"/>
    <w:rsid w:val="00E06719"/>
    <w:rsid w:val="00E10913"/>
    <w:rsid w:val="00E12712"/>
    <w:rsid w:val="00E128C6"/>
    <w:rsid w:val="00E15271"/>
    <w:rsid w:val="00E15E35"/>
    <w:rsid w:val="00E17213"/>
    <w:rsid w:val="00E22B32"/>
    <w:rsid w:val="00E236D2"/>
    <w:rsid w:val="00E250FF"/>
    <w:rsid w:val="00E25CA4"/>
    <w:rsid w:val="00E27F64"/>
    <w:rsid w:val="00E32B62"/>
    <w:rsid w:val="00E3366C"/>
    <w:rsid w:val="00E35919"/>
    <w:rsid w:val="00E367CE"/>
    <w:rsid w:val="00E37900"/>
    <w:rsid w:val="00E41E40"/>
    <w:rsid w:val="00E42E74"/>
    <w:rsid w:val="00E46B3F"/>
    <w:rsid w:val="00E47AB7"/>
    <w:rsid w:val="00E47B77"/>
    <w:rsid w:val="00E508E4"/>
    <w:rsid w:val="00E50CC2"/>
    <w:rsid w:val="00E529A9"/>
    <w:rsid w:val="00E53D57"/>
    <w:rsid w:val="00E56EA4"/>
    <w:rsid w:val="00E646C5"/>
    <w:rsid w:val="00E64F14"/>
    <w:rsid w:val="00E65EA3"/>
    <w:rsid w:val="00E6747F"/>
    <w:rsid w:val="00E732B9"/>
    <w:rsid w:val="00E758AE"/>
    <w:rsid w:val="00E75B18"/>
    <w:rsid w:val="00E763DF"/>
    <w:rsid w:val="00E76F3D"/>
    <w:rsid w:val="00E81238"/>
    <w:rsid w:val="00E83685"/>
    <w:rsid w:val="00E87005"/>
    <w:rsid w:val="00E907AC"/>
    <w:rsid w:val="00E9100F"/>
    <w:rsid w:val="00E92382"/>
    <w:rsid w:val="00E92774"/>
    <w:rsid w:val="00E9337A"/>
    <w:rsid w:val="00E95B38"/>
    <w:rsid w:val="00E96228"/>
    <w:rsid w:val="00EA307E"/>
    <w:rsid w:val="00EA31B9"/>
    <w:rsid w:val="00EA3F2E"/>
    <w:rsid w:val="00EA4F78"/>
    <w:rsid w:val="00EA555E"/>
    <w:rsid w:val="00EA5FF8"/>
    <w:rsid w:val="00EB37E6"/>
    <w:rsid w:val="00EB3F9F"/>
    <w:rsid w:val="00EB72FA"/>
    <w:rsid w:val="00EB78D0"/>
    <w:rsid w:val="00EC008B"/>
    <w:rsid w:val="00EC029C"/>
    <w:rsid w:val="00EC17F7"/>
    <w:rsid w:val="00EC548D"/>
    <w:rsid w:val="00EC5FD4"/>
    <w:rsid w:val="00EC5FE5"/>
    <w:rsid w:val="00EC6620"/>
    <w:rsid w:val="00ED76BA"/>
    <w:rsid w:val="00EE0F00"/>
    <w:rsid w:val="00EF0B88"/>
    <w:rsid w:val="00EF4615"/>
    <w:rsid w:val="00EF5387"/>
    <w:rsid w:val="00EF6BE0"/>
    <w:rsid w:val="00EF7147"/>
    <w:rsid w:val="00EF7BB3"/>
    <w:rsid w:val="00F11403"/>
    <w:rsid w:val="00F15EB5"/>
    <w:rsid w:val="00F1623E"/>
    <w:rsid w:val="00F173A2"/>
    <w:rsid w:val="00F17FD0"/>
    <w:rsid w:val="00F204B7"/>
    <w:rsid w:val="00F20E32"/>
    <w:rsid w:val="00F21FD4"/>
    <w:rsid w:val="00F24528"/>
    <w:rsid w:val="00F322AB"/>
    <w:rsid w:val="00F358CC"/>
    <w:rsid w:val="00F35FFE"/>
    <w:rsid w:val="00F36129"/>
    <w:rsid w:val="00F41506"/>
    <w:rsid w:val="00F42521"/>
    <w:rsid w:val="00F437EE"/>
    <w:rsid w:val="00F47169"/>
    <w:rsid w:val="00F5151A"/>
    <w:rsid w:val="00F5346D"/>
    <w:rsid w:val="00F546D9"/>
    <w:rsid w:val="00F54CBC"/>
    <w:rsid w:val="00F55F68"/>
    <w:rsid w:val="00F644BD"/>
    <w:rsid w:val="00F71352"/>
    <w:rsid w:val="00F7205E"/>
    <w:rsid w:val="00F72E94"/>
    <w:rsid w:val="00F740B9"/>
    <w:rsid w:val="00F76197"/>
    <w:rsid w:val="00F76E9D"/>
    <w:rsid w:val="00F819E2"/>
    <w:rsid w:val="00F90113"/>
    <w:rsid w:val="00F90A1F"/>
    <w:rsid w:val="00F90EF7"/>
    <w:rsid w:val="00F94DB2"/>
    <w:rsid w:val="00F956A2"/>
    <w:rsid w:val="00F976FB"/>
    <w:rsid w:val="00FA048C"/>
    <w:rsid w:val="00FA3564"/>
    <w:rsid w:val="00FA7065"/>
    <w:rsid w:val="00FA7766"/>
    <w:rsid w:val="00FB15A6"/>
    <w:rsid w:val="00FB1F53"/>
    <w:rsid w:val="00FB282F"/>
    <w:rsid w:val="00FB55E5"/>
    <w:rsid w:val="00FB6632"/>
    <w:rsid w:val="00FC2A47"/>
    <w:rsid w:val="00FC7792"/>
    <w:rsid w:val="00FC7D17"/>
    <w:rsid w:val="00FD0C4C"/>
    <w:rsid w:val="00FD1948"/>
    <w:rsid w:val="00FE1F07"/>
    <w:rsid w:val="00FE4D4F"/>
    <w:rsid w:val="00FE5ADA"/>
    <w:rsid w:val="00FF07BB"/>
    <w:rsid w:val="00FF1841"/>
    <w:rsid w:val="00FF1E26"/>
    <w:rsid w:val="00FF369E"/>
    <w:rsid w:val="00FF4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F2D1499"/>
  <w15:docId w15:val="{6C7A41EB-AB7B-497D-B448-8C09C73B76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Myanmar Text"/>
        <w:lang w:val="cs-CZ" w:eastAsia="zh-CN" w:bidi="ar-SA"/>
      </w:rPr>
    </w:rPrDefault>
    <w:pPrDefault/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ln">
    <w:name w:val="Normal"/>
    <w:qFormat/>
    <w:rsid w:val="00BA3989"/>
    <w:pPr>
      <w:spacing w:after="200" w:line="276" w:lineRule="auto"/>
    </w:pPr>
    <w:rPr>
      <w:sz w:val="22"/>
      <w:szCs w:val="22"/>
      <w:lang w:val="sk-SK"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C968F2"/>
    <w:rPr>
      <w:color w:val="0000FF"/>
      <w:u w:val="single"/>
    </w:rPr>
  </w:style>
  <w:style w:type="character" w:customStyle="1" w:styleId="hps">
    <w:name w:val="hps"/>
    <w:basedOn w:val="Standardnpsmoodstavce"/>
    <w:rsid w:val="00C968F2"/>
  </w:style>
  <w:style w:type="paragraph" w:styleId="Zhlav">
    <w:name w:val="header"/>
    <w:basedOn w:val="Normln"/>
    <w:link w:val="Zhlav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76E50"/>
  </w:style>
  <w:style w:type="paragraph" w:styleId="Zpat">
    <w:name w:val="footer"/>
    <w:basedOn w:val="Normln"/>
    <w:link w:val="Zpat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76E50"/>
  </w:style>
  <w:style w:type="paragraph" w:styleId="Textbubliny">
    <w:name w:val="Balloon Text"/>
    <w:basedOn w:val="Normln"/>
    <w:link w:val="TextbublinyChar"/>
    <w:uiPriority w:val="99"/>
    <w:semiHidden/>
    <w:unhideWhenUsed/>
    <w:rsid w:val="00FF07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FF07BB"/>
    <w:rPr>
      <w:rFonts w:ascii="Tahoma" w:hAnsi="Tahoma" w:cs="Tahoma"/>
      <w:sz w:val="16"/>
      <w:szCs w:val="16"/>
    </w:rPr>
  </w:style>
  <w:style w:type="character" w:styleId="Odkaznakoment">
    <w:name w:val="annotation reference"/>
    <w:uiPriority w:val="99"/>
    <w:semiHidden/>
    <w:unhideWhenUsed/>
    <w:rsid w:val="00F94DB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94DB2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link w:val="Textkomente"/>
    <w:uiPriority w:val="99"/>
    <w:semiHidden/>
    <w:rsid w:val="00F94DB2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94DB2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F94DB2"/>
    <w:rPr>
      <w:b/>
      <w:bCs/>
      <w:sz w:val="20"/>
      <w:szCs w:val="20"/>
    </w:rPr>
  </w:style>
  <w:style w:type="paragraph" w:styleId="Prosttext">
    <w:name w:val="Plain Text"/>
    <w:basedOn w:val="Normln"/>
    <w:link w:val="ProsttextChar"/>
    <w:uiPriority w:val="99"/>
    <w:semiHidden/>
    <w:unhideWhenUsed/>
    <w:rsid w:val="00A84CE9"/>
    <w:pPr>
      <w:spacing w:after="0" w:line="240" w:lineRule="auto"/>
    </w:pPr>
    <w:rPr>
      <w:szCs w:val="21"/>
    </w:rPr>
  </w:style>
  <w:style w:type="character" w:customStyle="1" w:styleId="ProsttextChar">
    <w:name w:val="Prostý text Char"/>
    <w:link w:val="Prosttext"/>
    <w:uiPriority w:val="99"/>
    <w:semiHidden/>
    <w:rsid w:val="00A84CE9"/>
    <w:rPr>
      <w:rFonts w:ascii="Calibri" w:hAnsi="Calibri"/>
      <w:szCs w:val="21"/>
    </w:rPr>
  </w:style>
  <w:style w:type="paragraph" w:styleId="Odstavecseseznamem">
    <w:name w:val="List Paragraph"/>
    <w:basedOn w:val="Normln"/>
    <w:uiPriority w:val="34"/>
    <w:qFormat/>
    <w:rsid w:val="005171E3"/>
    <w:pPr>
      <w:ind w:left="720"/>
      <w:contextualSpacing/>
    </w:pPr>
  </w:style>
  <w:style w:type="table" w:styleId="Mkatabulky">
    <w:name w:val="Table Grid"/>
    <w:basedOn w:val="Normlntabulka"/>
    <w:uiPriority w:val="59"/>
    <w:rsid w:val="00DF622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iln">
    <w:name w:val="Strong"/>
    <w:uiPriority w:val="22"/>
    <w:qFormat/>
    <w:rsid w:val="00F204B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65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4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45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2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8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9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8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2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5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0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6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E5DFF1-803F-4008-A69C-56BDC6FF31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681</Words>
  <Characters>4020</Characters>
  <Application>Microsoft Office Word</Application>
  <DocSecurity>0</DocSecurity>
  <Lines>33</Lines>
  <Paragraphs>9</Paragraphs>
  <ScaleCrop>false</ScaleCrop>
  <HeadingPairs>
    <vt:vector size="6" baseType="variant">
      <vt:variant>
        <vt:lpstr>Název</vt:lpstr>
      </vt:variant>
      <vt:variant>
        <vt:i4>1</vt:i4>
      </vt:variant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ČSÚ</Company>
  <LinksUpToDate>false</LinksUpToDate>
  <CharactersWithSpaces>4692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CEEC</dc:creator>
  <cp:lastModifiedBy>CEEC Research</cp:lastModifiedBy>
  <cp:revision>8</cp:revision>
  <cp:lastPrinted>2015-08-04T07:37:00Z</cp:lastPrinted>
  <dcterms:created xsi:type="dcterms:W3CDTF">2016-06-15T11:02:00Z</dcterms:created>
  <dcterms:modified xsi:type="dcterms:W3CDTF">2016-07-18T19:48:00Z</dcterms:modified>
</cp:coreProperties>
</file>