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4BF" w:rsidRPr="00CC6392" w:rsidRDefault="00FB582E" w:rsidP="009564BF">
      <w:pPr>
        <w:jc w:val="center"/>
        <w:rPr>
          <w:rFonts w:ascii="Helvetica" w:hAnsi="Helvetica"/>
          <w:sz w:val="22"/>
          <w:szCs w:val="22"/>
          <w:lang w:val="cs-CZ"/>
        </w:rPr>
      </w:pPr>
      <w:r>
        <w:rPr>
          <w:rFonts w:ascii="Helvetica" w:hAnsi="Helvetica"/>
          <w:sz w:val="22"/>
          <w:szCs w:val="22"/>
          <w:lang w:val="cs-CZ"/>
        </w:rPr>
        <w:t xml:space="preserve"> </w:t>
      </w:r>
    </w:p>
    <w:p w:rsidR="009564BF" w:rsidRPr="00CC6392" w:rsidRDefault="007A6D92" w:rsidP="00A64D19">
      <w:pPr>
        <w:jc w:val="right"/>
        <w:rPr>
          <w:rFonts w:ascii="Helvetica" w:hAnsi="Helvetica"/>
          <w:sz w:val="22"/>
          <w:szCs w:val="22"/>
          <w:lang w:val="cs-CZ"/>
        </w:rPr>
      </w:pPr>
      <w:r w:rsidRPr="00CC6392">
        <w:rPr>
          <w:rFonts w:ascii="Arial" w:hAnsi="Arial" w:cs="Arial"/>
          <w:noProof/>
          <w:sz w:val="22"/>
          <w:szCs w:val="22"/>
          <w:lang w:val="cs-CZ"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6B9F2F" wp14:editId="1AC6C104">
                <wp:simplePos x="0" y="0"/>
                <wp:positionH relativeFrom="column">
                  <wp:posOffset>523240</wp:posOffset>
                </wp:positionH>
                <wp:positionV relativeFrom="paragraph">
                  <wp:posOffset>54874</wp:posOffset>
                </wp:positionV>
                <wp:extent cx="5027295" cy="351790"/>
                <wp:effectExtent l="0" t="19050" r="20955" b="10160"/>
                <wp:wrapNone/>
                <wp:docPr id="12" name="Grou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7295" cy="351790"/>
                          <a:chOff x="0" y="0"/>
                          <a:chExt cx="5027240" cy="351692"/>
                        </a:xfrm>
                      </wpg:grpSpPr>
                      <wps:wsp>
                        <wps:cNvPr id="1" name="Zone de texte 1"/>
                        <wps:cNvSpPr txBox="1"/>
                        <wps:spPr>
                          <a:xfrm>
                            <a:off x="5025" y="0"/>
                            <a:ext cx="5022215" cy="351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B582E" w:rsidRPr="00987BC8" w:rsidRDefault="00FB582E" w:rsidP="009564BF">
                              <w:pPr>
                                <w:jc w:val="center"/>
                                <w:rPr>
                                  <w:rFonts w:ascii="Arial" w:hAnsi="Arial" w:cs="Arial"/>
                                  <w:caps/>
                                  <w:spacing w:val="80"/>
                                  <w:w w:val="105"/>
                                  <w:sz w:val="33"/>
                                  <w:szCs w:val="40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eastAsiaTheme="minorHAnsi" w:hAnsi="Arial" w:cs="Arial"/>
                                  <w:caps/>
                                  <w:color w:val="395EAC"/>
                                  <w:spacing w:val="80"/>
                                  <w:w w:val="105"/>
                                  <w:sz w:val="33"/>
                                  <w:szCs w:val="40"/>
                                  <w:lang w:val="cs-CZ" w:eastAsia="en-US"/>
                                </w:rPr>
                                <w:t>tisková zpráva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Connecteur droit 10"/>
                        <wps:cNvCnPr/>
                        <wps:spPr>
                          <a:xfrm>
                            <a:off x="0" y="351692"/>
                            <a:ext cx="501777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E5531A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Connecteur droit 11"/>
                        <wps:cNvCnPr/>
                        <wps:spPr>
                          <a:xfrm>
                            <a:off x="5025" y="0"/>
                            <a:ext cx="501777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67B9B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6B9F2F" id="Groupe 12" o:spid="_x0000_s1026" style="position:absolute;left:0;text-align:left;margin-left:41.2pt;margin-top:4.3pt;width:395.85pt;height:27.7pt;z-index:251659264" coordsize="50272,3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1" o:spid="_x0000_s1027" type="#_x0000_t202" style="position:absolute;left:50;width:50222;height:3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nlTMAA&#10;AADaAAAADwAAAGRycy9kb3ducmV2LnhtbERPy6rCMBDdX/Afwgh3d00VFKlGkYIocl342Lgbm7Et&#10;NpPaRK1+vREEV8PhPGc8bUwpblS7wrKCbicCQZxaXXCmYL+b/w1BOI+ssbRMCh7kYDpp/Ywx1vbO&#10;G7ptfSZCCLsYFeTeV7GULs3JoOvYijhwJ1sb9AHWmdQ13kO4KWUvigbSYMGhIceKkpzS8/ZqFKyS&#10;+Ro3x54ZPstk8X+aVZf9oa/Ub7uZjUB4avxX/HEvdZgP71feV0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lnlTMAAAADaAAAADwAAAAAAAAAAAAAAAACYAgAAZHJzL2Rvd25y&#10;ZXYueG1sUEsFBgAAAAAEAAQA9QAAAIUDAAAAAA==&#10;" filled="f" stroked="f" strokeweight=".5pt">
                  <v:textbox>
                    <w:txbxContent>
                      <w:p w:rsidR="00FB582E" w:rsidRPr="00987BC8" w:rsidRDefault="00FB582E" w:rsidP="009564BF">
                        <w:pPr>
                          <w:jc w:val="center"/>
                          <w:rPr>
                            <w:rFonts w:ascii="Arial" w:hAnsi="Arial" w:cs="Arial"/>
                            <w:caps/>
                            <w:spacing w:val="80"/>
                            <w:w w:val="105"/>
                            <w:sz w:val="33"/>
                            <w:szCs w:val="40"/>
                            <w:lang w:val="cs-CZ"/>
                          </w:rPr>
                        </w:pPr>
                        <w:r>
                          <w:rPr>
                            <w:rFonts w:ascii="Arial" w:eastAsiaTheme="minorHAnsi" w:hAnsi="Arial" w:cs="Arial"/>
                            <w:caps/>
                            <w:color w:val="395EAC"/>
                            <w:spacing w:val="80"/>
                            <w:w w:val="105"/>
                            <w:sz w:val="33"/>
                            <w:szCs w:val="40"/>
                            <w:lang w:val="cs-CZ" w:eastAsia="en-US"/>
                          </w:rPr>
                          <w:t>tisková zpráva</w:t>
                        </w:r>
                      </w:p>
                    </w:txbxContent>
                  </v:textbox>
                </v:shape>
                <v:line id="Connecteur droit 10" o:spid="_x0000_s1028" style="position:absolute;visibility:visible;mso-wrap-style:square" from="0,3516" to="50177,3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UND8UAAADbAAAADwAAAGRycy9kb3ducmV2LnhtbESPQWvDMAyF74X9B6PBbq2THcrI6oS2&#10;pFAKO7Qr7CpiLQ6L5Sx222y/vjoMdpN4T+99WlWT79WVxtgFNpAvMlDETbAdtwbO77v5C6iYkC32&#10;gcnAD0WoyofZCgsbbnyk6ym1SkI4FmjApTQUWsfGkce4CAOxaJ9h9JhkHVttR7xJuO/1c5YttceO&#10;pcHhQFtHzdfp4g28HX539TJz9f5jcznU+br+1vnZmKfHaf0KKtGU/s1/13sr+EIvv8gAur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RUND8UAAADbAAAADwAAAAAAAAAA&#10;AAAAAAChAgAAZHJzL2Rvd25yZXYueG1sUEsFBgAAAAAEAAQA+QAAAJMDAAAAAA==&#10;" strokecolor="#e5531a" strokeweight="2.25pt"/>
                <v:line id="Connecteur droit 11" o:spid="_x0000_s1029" style="position:absolute;visibility:visible;mso-wrap-style:square" from="50,0" to="50227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ELksIAAADbAAAADwAAAGRycy9kb3ducmV2LnhtbESPQWsCMRCF7wX/QxjBW83agtTVKGIp&#10;9aLgqvdhM24WN5MlSXX11xtB6G2G9+Z9b2aLzjbiQj7UjhWMhhkI4tLpmisFh/3P+xeIEJE1No5J&#10;wY0CLOa9txnm2l15R5ciViKFcMhRgYmxzaUMpSGLYeha4qSdnLcY0+orqT1eU7ht5EeWjaXFmhPB&#10;YEsrQ+W5+LOJW7r7J/uNOZrT/jdsJ8Xu2xdKDfrdcgoiUhf/za/rtU71R/D8JQ0g5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ELksIAAADbAAAADwAAAAAAAAAAAAAA&#10;AAChAgAAZHJzL2Rvd25yZXYueG1sUEsFBgAAAAAEAAQA+QAAAJADAAAAAA==&#10;" strokecolor="#67b9b0" strokeweight="2.25pt"/>
              </v:group>
            </w:pict>
          </mc:Fallback>
        </mc:AlternateContent>
      </w:r>
    </w:p>
    <w:p w:rsidR="009564BF" w:rsidRPr="00CC6392" w:rsidRDefault="009564BF" w:rsidP="00A64D19">
      <w:pPr>
        <w:jc w:val="right"/>
        <w:rPr>
          <w:rFonts w:ascii="Helvetica" w:hAnsi="Helvetica"/>
          <w:sz w:val="22"/>
          <w:szCs w:val="22"/>
          <w:lang w:val="cs-CZ"/>
        </w:rPr>
      </w:pPr>
    </w:p>
    <w:p w:rsidR="009564BF" w:rsidRPr="00CC6392" w:rsidRDefault="009564BF" w:rsidP="00A64D19">
      <w:pPr>
        <w:jc w:val="right"/>
        <w:rPr>
          <w:rFonts w:ascii="Helvetica" w:hAnsi="Helvetica"/>
          <w:sz w:val="22"/>
          <w:szCs w:val="22"/>
          <w:lang w:val="cs-CZ"/>
        </w:rPr>
      </w:pPr>
    </w:p>
    <w:p w:rsidR="009564BF" w:rsidRPr="00CC6392" w:rsidRDefault="009564BF" w:rsidP="00A64D19">
      <w:pPr>
        <w:jc w:val="right"/>
        <w:rPr>
          <w:rFonts w:ascii="Helvetica" w:hAnsi="Helvetica"/>
          <w:sz w:val="22"/>
          <w:szCs w:val="22"/>
          <w:lang w:val="cs-CZ"/>
        </w:rPr>
      </w:pPr>
    </w:p>
    <w:p w:rsidR="007A6D92" w:rsidRPr="00C644D7" w:rsidRDefault="00EE1E84" w:rsidP="007A6D92">
      <w:pPr>
        <w:spacing w:after="160" w:line="276" w:lineRule="auto"/>
        <w:jc w:val="both"/>
        <w:rPr>
          <w:rFonts w:ascii="Arial" w:hAnsi="Arial" w:cs="Arial"/>
          <w:b/>
          <w:color w:val="3053A1"/>
          <w:sz w:val="28"/>
          <w:szCs w:val="20"/>
          <w:lang w:val="cs-CZ"/>
        </w:rPr>
      </w:pPr>
      <w:r>
        <w:rPr>
          <w:rFonts w:ascii="Arial" w:hAnsi="Arial" w:cs="Arial"/>
          <w:b/>
          <w:color w:val="3053A1"/>
          <w:sz w:val="28"/>
          <w:szCs w:val="20"/>
          <w:lang w:val="cs-CZ"/>
        </w:rPr>
        <w:t>Skupina</w:t>
      </w:r>
      <w:r w:rsidR="007A6D92" w:rsidRPr="00C644D7">
        <w:rPr>
          <w:rFonts w:ascii="Arial" w:hAnsi="Arial" w:cs="Arial"/>
          <w:b/>
          <w:color w:val="3053A1"/>
          <w:sz w:val="28"/>
          <w:szCs w:val="20"/>
          <w:lang w:val="cs-CZ"/>
        </w:rPr>
        <w:t xml:space="preserve"> Saint-Gobain v České republice </w:t>
      </w:r>
      <w:r w:rsidR="00F958EB">
        <w:rPr>
          <w:rFonts w:ascii="Arial" w:hAnsi="Arial" w:cs="Arial"/>
          <w:b/>
          <w:color w:val="3053A1"/>
          <w:sz w:val="28"/>
          <w:szCs w:val="20"/>
          <w:lang w:val="cs-CZ"/>
        </w:rPr>
        <w:t>zaznamenala v roce 2015 historick</w:t>
      </w:r>
      <w:r w:rsidR="008E1010">
        <w:rPr>
          <w:rFonts w:ascii="Arial" w:hAnsi="Arial" w:cs="Arial"/>
          <w:b/>
          <w:color w:val="3053A1"/>
          <w:sz w:val="28"/>
          <w:szCs w:val="20"/>
          <w:lang w:val="cs-CZ"/>
        </w:rPr>
        <w:t>é hospodářské výsledky</w:t>
      </w:r>
      <w:r w:rsidR="00F958EB">
        <w:rPr>
          <w:rFonts w:ascii="Arial" w:hAnsi="Arial" w:cs="Arial"/>
          <w:b/>
          <w:color w:val="3053A1"/>
          <w:sz w:val="28"/>
          <w:szCs w:val="20"/>
          <w:lang w:val="cs-CZ"/>
        </w:rPr>
        <w:t xml:space="preserve">. </w:t>
      </w:r>
      <w:bookmarkStart w:id="0" w:name="_GoBack"/>
      <w:bookmarkEnd w:id="0"/>
    </w:p>
    <w:p w:rsidR="008E1010" w:rsidRDefault="007A6D92" w:rsidP="008E1010">
      <w:pPr>
        <w:spacing w:after="160" w:line="276" w:lineRule="auto"/>
        <w:jc w:val="both"/>
        <w:rPr>
          <w:rFonts w:ascii="Arial" w:hAnsi="Arial" w:cs="Arial"/>
          <w:b/>
          <w:color w:val="3053A1"/>
          <w:sz w:val="20"/>
          <w:szCs w:val="20"/>
          <w:lang w:val="cs-CZ"/>
        </w:rPr>
      </w:pPr>
      <w:r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Praha, </w:t>
      </w:r>
      <w:r w:rsidR="00633EC9">
        <w:rPr>
          <w:rFonts w:ascii="Arial" w:hAnsi="Arial" w:cs="Arial"/>
          <w:b/>
          <w:color w:val="3053A1"/>
          <w:sz w:val="20"/>
          <w:szCs w:val="20"/>
          <w:lang w:val="cs-CZ"/>
        </w:rPr>
        <w:t>11</w:t>
      </w:r>
      <w:r w:rsidR="00FB582E">
        <w:rPr>
          <w:rFonts w:ascii="Arial" w:hAnsi="Arial" w:cs="Arial"/>
          <w:b/>
          <w:color w:val="3053A1"/>
          <w:sz w:val="20"/>
          <w:szCs w:val="20"/>
          <w:lang w:val="cs-CZ"/>
        </w:rPr>
        <w:t>. března</w:t>
      </w:r>
      <w:r w:rsidR="00EE1E84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2016 – Skupina</w:t>
      </w:r>
      <w:r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S</w:t>
      </w:r>
      <w:r w:rsidRPr="00367BC4">
        <w:rPr>
          <w:rFonts w:ascii="Arial" w:hAnsi="Arial" w:cs="Arial"/>
          <w:b/>
          <w:color w:val="3053A1"/>
          <w:sz w:val="20"/>
          <w:szCs w:val="20"/>
          <w:lang w:val="cs-CZ"/>
        </w:rPr>
        <w:t>aint-Gobain</w:t>
      </w:r>
      <w:r w:rsidR="00FB582E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oznámila své 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>celosvětové</w:t>
      </w:r>
      <w:r w:rsidR="00FB582E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hospodářské </w:t>
      </w:r>
      <w:r w:rsidR="006C4DFA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výsledky. 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Zároveň zveřejňuje výsledky za rok 2015 v České republice, které jsou nejlepší za celou dobu jejího působení na českém trhu, </w:t>
      </w:r>
      <w:r w:rsidR="00590C25">
        <w:rPr>
          <w:rFonts w:ascii="Arial" w:hAnsi="Arial" w:cs="Arial"/>
          <w:b/>
          <w:color w:val="3053A1"/>
          <w:sz w:val="20"/>
          <w:szCs w:val="20"/>
          <w:lang w:val="cs-CZ"/>
        </w:rPr>
        <w:t>tj.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od roku 1992. Skupině S</w:t>
      </w:r>
      <w:r w:rsidR="008E1010" w:rsidRPr="00367BC4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aint-Gobain v České republice 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vzrostl v porovnání s minulým rokem provozní zisk o čtvrtinu. Hlásí také </w:t>
      </w:r>
      <w:r w:rsidR="008E1010" w:rsidRPr="00367BC4">
        <w:rPr>
          <w:rFonts w:ascii="Arial" w:hAnsi="Arial" w:cs="Arial"/>
          <w:b/>
          <w:color w:val="3053A1"/>
          <w:sz w:val="20"/>
          <w:szCs w:val="20"/>
          <w:lang w:val="cs-CZ"/>
        </w:rPr>
        <w:t>meziroční růst obratu o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> </w:t>
      </w:r>
      <w:r w:rsidR="008E1010" w:rsidRPr="00367BC4">
        <w:rPr>
          <w:rFonts w:ascii="Arial" w:hAnsi="Arial" w:cs="Arial"/>
          <w:b/>
          <w:color w:val="3053A1"/>
          <w:sz w:val="20"/>
          <w:szCs w:val="20"/>
          <w:lang w:val="cs-CZ"/>
        </w:rPr>
        <w:t>6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> </w:t>
      </w:r>
      <w:r w:rsidR="008E1010" w:rsidRPr="00367BC4">
        <w:rPr>
          <w:rFonts w:ascii="Arial" w:hAnsi="Arial" w:cs="Arial"/>
          <w:b/>
          <w:color w:val="3053A1"/>
          <w:sz w:val="20"/>
          <w:szCs w:val="20"/>
          <w:lang w:val="cs-CZ"/>
        </w:rPr>
        <w:t>procent</w:t>
      </w:r>
      <w:r w:rsidR="0023184A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na 621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mil</w:t>
      </w:r>
      <w:r w:rsidR="00836BE4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. </w:t>
      </w:r>
      <w:r w:rsidR="00836BE4" w:rsidRPr="00836BE4">
        <w:rPr>
          <w:rFonts w:ascii="Arial" w:hAnsi="Arial" w:cs="Arial"/>
          <w:b/>
          <w:color w:val="3053A1"/>
          <w:sz w:val="20"/>
          <w:szCs w:val="20"/>
          <w:lang w:val="cs-CZ"/>
        </w:rPr>
        <w:t>€</w:t>
      </w:r>
      <w:r w:rsidR="008E1010" w:rsidRPr="00367BC4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. Na celkovém 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>výsledku</w:t>
      </w:r>
      <w:r w:rsidR="008E1010" w:rsidRPr="00367BC4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se 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>podílí všech šest společností</w:t>
      </w:r>
      <w:r w:rsidR="008E1010" w:rsidRPr="00367BC4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, které </w:t>
      </w:r>
      <w:r w:rsidR="008E1010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v České republice vlastní. </w:t>
      </w:r>
    </w:p>
    <w:p w:rsidR="004C7B8C" w:rsidRDefault="004C7B8C" w:rsidP="008E1010">
      <w:pPr>
        <w:spacing w:after="160" w:line="276" w:lineRule="auto"/>
        <w:jc w:val="both"/>
        <w:rPr>
          <w:rFonts w:ascii="Arial" w:hAnsi="Arial" w:cs="Arial"/>
          <w:b/>
          <w:color w:val="3053A1"/>
          <w:sz w:val="20"/>
          <w:szCs w:val="20"/>
          <w:lang w:val="cs-CZ"/>
        </w:rPr>
      </w:pPr>
    </w:p>
    <w:p w:rsidR="004C7B8C" w:rsidRPr="004C7B8C" w:rsidRDefault="004C7B8C" w:rsidP="008E1010">
      <w:pPr>
        <w:spacing w:after="160" w:line="276" w:lineRule="auto"/>
        <w:jc w:val="both"/>
        <w:rPr>
          <w:rFonts w:ascii="Arial" w:hAnsi="Arial" w:cs="Arial"/>
          <w:b/>
          <w:color w:val="3053A1"/>
          <w:sz w:val="28"/>
          <w:szCs w:val="20"/>
          <w:lang w:val="cs-CZ"/>
        </w:rPr>
      </w:pPr>
      <w:r w:rsidRPr="004C7B8C">
        <w:rPr>
          <w:rFonts w:ascii="Arial" w:hAnsi="Arial" w:cs="Arial"/>
          <w:b/>
          <w:color w:val="3053A1"/>
          <w:sz w:val="28"/>
          <w:szCs w:val="20"/>
          <w:lang w:val="cs-CZ"/>
        </w:rPr>
        <w:t>Výsledky skupiny Saint-Gobain - celosvětově</w:t>
      </w:r>
    </w:p>
    <w:tbl>
      <w:tblPr>
        <w:tblStyle w:val="Svtlstnovnzvraznn5"/>
        <w:tblpPr w:leftFromText="141" w:rightFromText="141" w:vertAnchor="text" w:horzAnchor="margin" w:tblpX="392" w:tblpY="24"/>
        <w:tblW w:w="8255" w:type="dxa"/>
        <w:tblLook w:val="04A0" w:firstRow="1" w:lastRow="0" w:firstColumn="1" w:lastColumn="0" w:noHBand="0" w:noVBand="1"/>
      </w:tblPr>
      <w:tblGrid>
        <w:gridCol w:w="3374"/>
        <w:gridCol w:w="1113"/>
        <w:gridCol w:w="1113"/>
        <w:gridCol w:w="1300"/>
        <w:gridCol w:w="1355"/>
      </w:tblGrid>
      <w:tr w:rsidR="008E1010" w:rsidRPr="000E6DFF" w:rsidTr="004C7B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4" w:type="dxa"/>
            <w:hideMark/>
          </w:tcPr>
          <w:p w:rsidR="008E1010" w:rsidRPr="000E6DFF" w:rsidRDefault="008E1010" w:rsidP="004C7B8C">
            <w:pPr>
              <w:rPr>
                <w:rFonts w:ascii="Arial" w:hAnsi="Arial" w:cs="Arial"/>
                <w:iCs/>
                <w:color w:val="000000"/>
                <w:sz w:val="18"/>
                <w:szCs w:val="18"/>
                <w:lang w:val="en-US"/>
              </w:rPr>
            </w:pPr>
            <w:r w:rsidRPr="00A668F0">
              <w:rPr>
                <w:rFonts w:ascii="Arial" w:hAnsi="Arial" w:cs="Arial"/>
                <w:iCs/>
                <w:color w:val="000000"/>
                <w:sz w:val="22"/>
                <w:szCs w:val="18"/>
                <w:lang w:val="en-US"/>
              </w:rPr>
              <w:t>(€m)</w:t>
            </w:r>
          </w:p>
        </w:tc>
        <w:tc>
          <w:tcPr>
            <w:tcW w:w="1113" w:type="dxa"/>
            <w:hideMark/>
          </w:tcPr>
          <w:p w:rsidR="008E1010" w:rsidRPr="000E6DFF" w:rsidRDefault="008E1010" w:rsidP="004C7B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val="en-US"/>
              </w:rPr>
            </w:pPr>
            <w:r w:rsidRPr="000E6DFF">
              <w:rPr>
                <w:rFonts w:ascii="Arial" w:hAnsi="Arial" w:cs="Arial"/>
                <w:color w:val="000000"/>
                <w:lang w:val="en-US"/>
              </w:rPr>
              <w:t>2014</w:t>
            </w:r>
          </w:p>
        </w:tc>
        <w:tc>
          <w:tcPr>
            <w:tcW w:w="1113" w:type="dxa"/>
            <w:hideMark/>
          </w:tcPr>
          <w:p w:rsidR="008E1010" w:rsidRPr="000E6DFF" w:rsidRDefault="008E1010" w:rsidP="004C7B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lang w:val="en-US"/>
              </w:rPr>
            </w:pPr>
            <w:r w:rsidRPr="000E6DFF">
              <w:rPr>
                <w:rFonts w:ascii="Arial" w:hAnsi="Arial" w:cs="Arial"/>
                <w:color w:val="000000"/>
                <w:lang w:val="en-US"/>
              </w:rPr>
              <w:t>2015</w:t>
            </w:r>
          </w:p>
        </w:tc>
        <w:tc>
          <w:tcPr>
            <w:tcW w:w="1300" w:type="dxa"/>
            <w:hideMark/>
          </w:tcPr>
          <w:p w:rsidR="008E1010" w:rsidRPr="000E6DFF" w:rsidRDefault="004C7B8C" w:rsidP="004C7B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Změna</w:t>
            </w:r>
          </w:p>
        </w:tc>
        <w:tc>
          <w:tcPr>
            <w:tcW w:w="1355" w:type="dxa"/>
          </w:tcPr>
          <w:p w:rsidR="008E1010" w:rsidRPr="000E6DFF" w:rsidRDefault="004C7B8C" w:rsidP="004C7B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1F497D" w:themeColor="text2"/>
                <w:lang w:val="en-US"/>
              </w:rPr>
            </w:pPr>
            <w:r>
              <w:rPr>
                <w:rFonts w:ascii="Arial" w:hAnsi="Arial" w:cs="Arial"/>
                <w:color w:val="1F497D" w:themeColor="text2"/>
                <w:lang w:val="en-US"/>
              </w:rPr>
              <w:t>Změna</w:t>
            </w:r>
          </w:p>
        </w:tc>
      </w:tr>
      <w:tr w:rsidR="008E1010" w:rsidRPr="000E6DFF" w:rsidTr="004C7B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4" w:type="dxa"/>
            <w:hideMark/>
          </w:tcPr>
          <w:p w:rsidR="008E1010" w:rsidRPr="000E6DFF" w:rsidRDefault="008E1010" w:rsidP="004C7B8C">
            <w:pPr>
              <w:rPr>
                <w:rFonts w:ascii="Arial" w:hAnsi="Arial" w:cs="Arial"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13" w:type="dxa"/>
            <w:hideMark/>
          </w:tcPr>
          <w:p w:rsidR="008E1010" w:rsidRPr="000E6DFF" w:rsidRDefault="008E1010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113" w:type="dxa"/>
            <w:hideMark/>
          </w:tcPr>
          <w:p w:rsidR="008E1010" w:rsidRPr="000E6DFF" w:rsidRDefault="008E1010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300" w:type="dxa"/>
            <w:hideMark/>
          </w:tcPr>
          <w:p w:rsidR="008E1010" w:rsidRPr="000E6DFF" w:rsidRDefault="008E1010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1355" w:type="dxa"/>
          </w:tcPr>
          <w:p w:rsidR="008E1010" w:rsidRPr="000E6DFF" w:rsidRDefault="008E1010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1F497D" w:themeColor="text2"/>
                <w:sz w:val="14"/>
                <w:lang w:val="en-US"/>
              </w:rPr>
            </w:pPr>
            <w:r w:rsidRPr="000E6DFF">
              <w:rPr>
                <w:rFonts w:ascii="Arial" w:hAnsi="Arial" w:cs="Arial"/>
                <w:b/>
                <w:bCs/>
                <w:color w:val="1F497D" w:themeColor="text2"/>
                <w:sz w:val="14"/>
                <w:lang w:val="en-US"/>
              </w:rPr>
              <w:t>like-for-like</w:t>
            </w:r>
          </w:p>
        </w:tc>
      </w:tr>
      <w:tr w:rsidR="008E1010" w:rsidRPr="000E6DFF" w:rsidTr="004C7B8C">
        <w:trPr>
          <w:trHeight w:val="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4" w:type="dxa"/>
            <w:hideMark/>
          </w:tcPr>
          <w:p w:rsidR="008E1010" w:rsidRPr="000E6DFF" w:rsidRDefault="008E1010" w:rsidP="004C7B8C">
            <w:pPr>
              <w:rPr>
                <w:rFonts w:ascii="Arial" w:hAnsi="Arial" w:cs="Arial"/>
                <w:b w:val="0"/>
                <w:bCs w:val="0"/>
                <w:color w:val="000000"/>
                <w:sz w:val="12"/>
                <w:szCs w:val="12"/>
                <w:lang w:val="en-US"/>
              </w:rPr>
            </w:pPr>
          </w:p>
        </w:tc>
        <w:tc>
          <w:tcPr>
            <w:tcW w:w="1113" w:type="dxa"/>
            <w:hideMark/>
          </w:tcPr>
          <w:p w:rsidR="008E1010" w:rsidRPr="000E6DFF" w:rsidRDefault="008E1010" w:rsidP="004C7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</w:pPr>
          </w:p>
        </w:tc>
        <w:tc>
          <w:tcPr>
            <w:tcW w:w="1113" w:type="dxa"/>
            <w:hideMark/>
          </w:tcPr>
          <w:p w:rsidR="008E1010" w:rsidRPr="000E6DFF" w:rsidRDefault="008E1010" w:rsidP="004C7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n-US"/>
              </w:rPr>
            </w:pPr>
          </w:p>
        </w:tc>
        <w:tc>
          <w:tcPr>
            <w:tcW w:w="1300" w:type="dxa"/>
            <w:hideMark/>
          </w:tcPr>
          <w:p w:rsidR="008E1010" w:rsidRPr="000E6DFF" w:rsidRDefault="008E1010" w:rsidP="004C7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n-US"/>
              </w:rPr>
            </w:pPr>
          </w:p>
        </w:tc>
        <w:tc>
          <w:tcPr>
            <w:tcW w:w="1355" w:type="dxa"/>
          </w:tcPr>
          <w:p w:rsidR="008E1010" w:rsidRPr="000E6DFF" w:rsidRDefault="008E1010" w:rsidP="004C7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1F497D" w:themeColor="text2"/>
                <w:sz w:val="12"/>
                <w:szCs w:val="12"/>
                <w:lang w:val="en-US"/>
              </w:rPr>
            </w:pPr>
          </w:p>
        </w:tc>
      </w:tr>
      <w:tr w:rsidR="008E1010" w:rsidRPr="000E6DFF" w:rsidTr="004C7B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4" w:type="dxa"/>
            <w:hideMark/>
          </w:tcPr>
          <w:p w:rsidR="008E1010" w:rsidRPr="000E6DFF" w:rsidRDefault="004C7B8C" w:rsidP="004C7B8C">
            <w:pPr>
              <w:rPr>
                <w:rFonts w:ascii="Arial" w:hAnsi="Arial" w:cs="Arial"/>
                <w:b w:val="0"/>
                <w:bCs w:val="0"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Obrat</w:t>
            </w:r>
          </w:p>
        </w:tc>
        <w:tc>
          <w:tcPr>
            <w:tcW w:w="1113" w:type="dxa"/>
            <w:hideMark/>
          </w:tcPr>
          <w:p w:rsidR="008E1010" w:rsidRPr="000E6DFF" w:rsidRDefault="00DA3FAD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 xml:space="preserve">38 </w:t>
            </w:r>
            <w:r w:rsidR="008E1010" w:rsidRPr="000E6DFF"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349</w:t>
            </w:r>
          </w:p>
        </w:tc>
        <w:tc>
          <w:tcPr>
            <w:tcW w:w="1113" w:type="dxa"/>
            <w:hideMark/>
          </w:tcPr>
          <w:p w:rsidR="008E1010" w:rsidRPr="000E6DFF" w:rsidRDefault="00DA3FAD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 xml:space="preserve">39 </w:t>
            </w:r>
            <w:r w:rsidR="008E1010"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623</w:t>
            </w:r>
          </w:p>
        </w:tc>
        <w:tc>
          <w:tcPr>
            <w:tcW w:w="1300" w:type="dxa"/>
            <w:hideMark/>
          </w:tcPr>
          <w:p w:rsidR="008E1010" w:rsidRPr="000E6DFF" w:rsidRDefault="00DA3FAD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+3,</w:t>
            </w:r>
            <w:r w:rsidR="008E1010"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3%</w:t>
            </w:r>
          </w:p>
        </w:tc>
        <w:tc>
          <w:tcPr>
            <w:tcW w:w="1355" w:type="dxa"/>
          </w:tcPr>
          <w:p w:rsidR="008E1010" w:rsidRPr="000E6DFF" w:rsidRDefault="00DA3FAD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1F497D" w:themeColor="text2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0"/>
                <w:szCs w:val="22"/>
                <w:lang w:val="en-US"/>
              </w:rPr>
              <w:t>+0,</w:t>
            </w:r>
            <w:r w:rsidR="008E1010" w:rsidRPr="000E6DFF">
              <w:rPr>
                <w:rFonts w:ascii="Arial" w:hAnsi="Arial" w:cs="Arial"/>
                <w:b/>
                <w:bCs/>
                <w:color w:val="1F497D" w:themeColor="text2"/>
                <w:sz w:val="20"/>
                <w:szCs w:val="22"/>
                <w:lang w:val="en-US"/>
              </w:rPr>
              <w:t>4%</w:t>
            </w:r>
          </w:p>
        </w:tc>
      </w:tr>
      <w:tr w:rsidR="008E1010" w:rsidRPr="000E6DFF" w:rsidTr="004C7B8C">
        <w:trPr>
          <w:trHeight w:val="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4" w:type="dxa"/>
            <w:hideMark/>
          </w:tcPr>
          <w:p w:rsidR="008E1010" w:rsidRPr="000E6DFF" w:rsidRDefault="008E1010" w:rsidP="004C7B8C">
            <w:pPr>
              <w:rPr>
                <w:rFonts w:ascii="Arial" w:hAnsi="Arial" w:cs="Arial"/>
                <w:b w:val="0"/>
                <w:bCs w:val="0"/>
                <w:color w:val="000000"/>
                <w:sz w:val="10"/>
                <w:szCs w:val="12"/>
                <w:lang w:val="en-US"/>
              </w:rPr>
            </w:pPr>
          </w:p>
        </w:tc>
        <w:tc>
          <w:tcPr>
            <w:tcW w:w="1113" w:type="dxa"/>
            <w:hideMark/>
          </w:tcPr>
          <w:p w:rsidR="008E1010" w:rsidRPr="000E6DFF" w:rsidRDefault="008E1010" w:rsidP="004C7B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</w:pPr>
          </w:p>
        </w:tc>
        <w:tc>
          <w:tcPr>
            <w:tcW w:w="1113" w:type="dxa"/>
            <w:hideMark/>
          </w:tcPr>
          <w:p w:rsidR="008E1010" w:rsidRPr="000E6DFF" w:rsidRDefault="008E1010" w:rsidP="004C7B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</w:p>
        </w:tc>
        <w:tc>
          <w:tcPr>
            <w:tcW w:w="1300" w:type="dxa"/>
            <w:hideMark/>
          </w:tcPr>
          <w:p w:rsidR="008E1010" w:rsidRPr="000E6DFF" w:rsidRDefault="008E1010" w:rsidP="004C7B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</w:p>
        </w:tc>
        <w:tc>
          <w:tcPr>
            <w:tcW w:w="1355" w:type="dxa"/>
          </w:tcPr>
          <w:p w:rsidR="008E1010" w:rsidRPr="000E6DFF" w:rsidRDefault="008E1010" w:rsidP="004C7B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1F497D" w:themeColor="text2"/>
                <w:sz w:val="20"/>
                <w:szCs w:val="22"/>
                <w:lang w:val="en-US"/>
              </w:rPr>
            </w:pPr>
          </w:p>
        </w:tc>
      </w:tr>
      <w:tr w:rsidR="008E1010" w:rsidRPr="000E6DFF" w:rsidTr="004C7B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4" w:type="dxa"/>
            <w:hideMark/>
          </w:tcPr>
          <w:p w:rsidR="008E1010" w:rsidRPr="000E6DFF" w:rsidRDefault="004C7B8C" w:rsidP="004C7B8C">
            <w:pPr>
              <w:rPr>
                <w:rFonts w:ascii="Arial" w:hAnsi="Arial" w:cs="Arial"/>
                <w:b w:val="0"/>
                <w:bCs w:val="0"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Provozní zisk</w:t>
            </w:r>
          </w:p>
        </w:tc>
        <w:tc>
          <w:tcPr>
            <w:tcW w:w="1113" w:type="dxa"/>
            <w:hideMark/>
          </w:tcPr>
          <w:p w:rsidR="008E1010" w:rsidRPr="000E6DFF" w:rsidRDefault="00DA3FAD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 xml:space="preserve">2 </w:t>
            </w:r>
            <w:r w:rsidR="008E1010" w:rsidRPr="000E6DFF"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522</w:t>
            </w:r>
          </w:p>
        </w:tc>
        <w:tc>
          <w:tcPr>
            <w:tcW w:w="1113" w:type="dxa"/>
            <w:hideMark/>
          </w:tcPr>
          <w:p w:rsidR="008E1010" w:rsidRPr="000E6DFF" w:rsidRDefault="008E1010" w:rsidP="00DA3F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2</w:t>
            </w:r>
            <w:r w:rsidR="00DA3FAD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 xml:space="preserve"> </w:t>
            </w:r>
            <w:r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636</w:t>
            </w:r>
          </w:p>
        </w:tc>
        <w:tc>
          <w:tcPr>
            <w:tcW w:w="1300" w:type="dxa"/>
            <w:hideMark/>
          </w:tcPr>
          <w:p w:rsidR="008E1010" w:rsidRPr="000E6DFF" w:rsidRDefault="00DA3FAD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+4,</w:t>
            </w:r>
            <w:r w:rsidR="008E1010"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5%</w:t>
            </w:r>
          </w:p>
        </w:tc>
        <w:tc>
          <w:tcPr>
            <w:tcW w:w="1355" w:type="dxa"/>
          </w:tcPr>
          <w:p w:rsidR="008E1010" w:rsidRPr="000E6DFF" w:rsidRDefault="00DA3FAD" w:rsidP="004C7B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1F497D" w:themeColor="text2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0"/>
                <w:szCs w:val="22"/>
                <w:lang w:val="en-US"/>
              </w:rPr>
              <w:t>+2,</w:t>
            </w:r>
            <w:r w:rsidR="008E1010" w:rsidRPr="000E6DFF">
              <w:rPr>
                <w:rFonts w:ascii="Arial" w:hAnsi="Arial" w:cs="Arial"/>
                <w:b/>
                <w:bCs/>
                <w:color w:val="1F497D" w:themeColor="text2"/>
                <w:sz w:val="20"/>
                <w:szCs w:val="22"/>
                <w:lang w:val="en-US"/>
              </w:rPr>
              <w:t>2%</w:t>
            </w:r>
          </w:p>
        </w:tc>
      </w:tr>
    </w:tbl>
    <w:p w:rsidR="008E1010" w:rsidRDefault="008E1010" w:rsidP="008E1010">
      <w:pPr>
        <w:spacing w:after="160" w:line="276" w:lineRule="auto"/>
        <w:jc w:val="both"/>
        <w:rPr>
          <w:rFonts w:ascii="Arial" w:hAnsi="Arial" w:cs="Arial"/>
          <w:color w:val="3053A1"/>
          <w:sz w:val="20"/>
          <w:szCs w:val="20"/>
          <w:lang w:val="cs-CZ"/>
        </w:rPr>
      </w:pPr>
    </w:p>
    <w:p w:rsidR="004C7B8C" w:rsidRDefault="004C7B8C" w:rsidP="008E1010">
      <w:pPr>
        <w:spacing w:after="160" w:line="276" w:lineRule="auto"/>
        <w:jc w:val="both"/>
        <w:rPr>
          <w:rFonts w:ascii="Arial" w:hAnsi="Arial" w:cs="Arial"/>
          <w:color w:val="3053A1"/>
          <w:sz w:val="20"/>
          <w:szCs w:val="20"/>
          <w:lang w:val="cs-CZ"/>
        </w:rPr>
      </w:pPr>
    </w:p>
    <w:p w:rsidR="004C7B8C" w:rsidRDefault="004C7B8C" w:rsidP="008E1010">
      <w:pPr>
        <w:spacing w:after="160" w:line="276" w:lineRule="auto"/>
        <w:jc w:val="both"/>
        <w:rPr>
          <w:rFonts w:ascii="Arial" w:hAnsi="Arial" w:cs="Arial"/>
          <w:color w:val="3053A1"/>
          <w:sz w:val="20"/>
          <w:szCs w:val="20"/>
          <w:lang w:val="cs-CZ"/>
        </w:rPr>
      </w:pPr>
    </w:p>
    <w:p w:rsidR="004C7B8C" w:rsidRDefault="004C7B8C" w:rsidP="008E1010">
      <w:pPr>
        <w:spacing w:after="160" w:line="276" w:lineRule="auto"/>
        <w:jc w:val="both"/>
        <w:rPr>
          <w:rFonts w:ascii="Arial" w:hAnsi="Arial" w:cs="Arial"/>
          <w:color w:val="3053A1"/>
          <w:sz w:val="20"/>
          <w:szCs w:val="20"/>
          <w:lang w:val="cs-CZ"/>
        </w:rPr>
      </w:pPr>
    </w:p>
    <w:p w:rsidR="00077445" w:rsidRDefault="00077445" w:rsidP="008E1010">
      <w:pPr>
        <w:spacing w:after="160" w:line="276" w:lineRule="auto"/>
        <w:jc w:val="both"/>
        <w:rPr>
          <w:rFonts w:ascii="Arial" w:hAnsi="Arial" w:cs="Arial"/>
          <w:b/>
          <w:color w:val="3053A1"/>
          <w:sz w:val="20"/>
          <w:szCs w:val="20"/>
          <w:lang w:val="cs-CZ"/>
        </w:rPr>
      </w:pPr>
    </w:p>
    <w:p w:rsidR="008E1010" w:rsidRPr="00110E34" w:rsidRDefault="008E1010" w:rsidP="008E1010">
      <w:pPr>
        <w:spacing w:after="160" w:line="276" w:lineRule="auto"/>
        <w:jc w:val="both"/>
        <w:rPr>
          <w:rFonts w:ascii="Arial" w:hAnsi="Arial" w:cs="Arial"/>
          <w:b/>
          <w:color w:val="3053A1"/>
          <w:sz w:val="20"/>
          <w:szCs w:val="20"/>
          <w:lang w:val="cs-CZ"/>
        </w:rPr>
      </w:pPr>
      <w:r w:rsidRPr="00110E34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Pierre-André de Chalendar, Chairman and Chief Executive Officer Saint-Gobain, komentuje </w:t>
      </w:r>
      <w:r w:rsidR="00590C25" w:rsidRPr="00110E34">
        <w:rPr>
          <w:rFonts w:ascii="Arial" w:hAnsi="Arial" w:cs="Arial"/>
          <w:b/>
          <w:color w:val="3053A1"/>
          <w:sz w:val="20"/>
          <w:szCs w:val="20"/>
          <w:lang w:val="cs-CZ"/>
        </w:rPr>
        <w:t>celosvětové výsledky</w:t>
      </w:r>
      <w:r w:rsidRPr="00110E34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skupiny:</w:t>
      </w:r>
    </w:p>
    <w:p w:rsidR="008E1010" w:rsidRPr="00110E34" w:rsidRDefault="008E1010" w:rsidP="00F51971">
      <w:pPr>
        <w:spacing w:after="160" w:line="276" w:lineRule="auto"/>
        <w:jc w:val="both"/>
        <w:rPr>
          <w:rFonts w:ascii="Arial" w:hAnsi="Arial" w:cs="Arial"/>
          <w:i/>
          <w:color w:val="3053A1"/>
          <w:sz w:val="20"/>
          <w:szCs w:val="20"/>
          <w:lang w:val="cs-CZ"/>
        </w:rPr>
      </w:pP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“</w:t>
      </w:r>
      <w:r w:rsidR="00EA6141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V </w:t>
      </w:r>
      <w:r w:rsidR="00EA6141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 ostře kontrastním globálním ekonomickém prostředí </w:t>
      </w:r>
      <w:r w:rsidR="00EA6141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roku 2015 </w:t>
      </w:r>
      <w:r w:rsidR="00EA6141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vylepšila </w:t>
      </w:r>
      <w:r w:rsidR="00EA6141">
        <w:rPr>
          <w:rFonts w:ascii="Arial" w:hAnsi="Arial" w:cs="Arial"/>
          <w:i/>
          <w:color w:val="3053A1"/>
          <w:sz w:val="20"/>
          <w:szCs w:val="20"/>
          <w:lang w:val="cs-CZ"/>
        </w:rPr>
        <w:t>s</w:t>
      </w:r>
      <w:r w:rsidR="004C7B8C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kupina </w:t>
      </w: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Saint-Gobain</w:t>
      </w:r>
      <w:r w:rsidR="004C7B8C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svůj zisk</w:t>
      </w:r>
      <w:r w:rsidR="00F51971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. Zle</w:t>
      </w:r>
      <w:r w:rsidR="00836BE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pšení bylo tlumeno pokračující stagnací </w:t>
      </w:r>
      <w:r w:rsidR="00F51971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trhu ve Francii</w:t>
      </w: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,</w:t>
      </w:r>
      <w:r w:rsidR="00F51971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výrazný byl zejména pokles v oblasti výroby trubníc</w:t>
      </w:r>
      <w:r w:rsidR="00CE78EA">
        <w:rPr>
          <w:rFonts w:ascii="Arial" w:hAnsi="Arial" w:cs="Arial"/>
          <w:i/>
          <w:color w:val="3053A1"/>
          <w:sz w:val="20"/>
          <w:szCs w:val="20"/>
          <w:lang w:val="cs-CZ"/>
        </w:rPr>
        <w:t>h systémů v druhé polovině roku,</w:t>
      </w:r>
      <w:r w:rsidR="00F51971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navzdory tomu, že zde byly signály o oživení trhu.</w:t>
      </w:r>
    </w:p>
    <w:p w:rsidR="00F51971" w:rsidRPr="00110E34" w:rsidRDefault="00F51971" w:rsidP="008E1010">
      <w:pPr>
        <w:spacing w:after="160" w:line="276" w:lineRule="auto"/>
        <w:jc w:val="both"/>
        <w:rPr>
          <w:rFonts w:ascii="Arial" w:hAnsi="Arial" w:cs="Arial"/>
          <w:i/>
          <w:color w:val="3053A1"/>
          <w:sz w:val="20"/>
          <w:szCs w:val="20"/>
          <w:lang w:val="cs-CZ"/>
        </w:rPr>
      </w:pP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Skupina dokončila klíčové úkoly v reorganizaci svého obchodního portfolia</w:t>
      </w:r>
      <w:r w:rsidR="008E1010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,</w:t>
      </w: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kdy za velmi příznivých podmínek prodala svou divizi </w:t>
      </w:r>
      <w:r w:rsidR="008E1010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Verallia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. Nadále, po</w:t>
      </w: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obdržení všech antimonopolních 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potvrzení</w:t>
      </w: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, usilovala 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o</w:t>
      </w: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 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prosazování svého plánu</w:t>
      </w:r>
      <w:r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získání kontrolního podílu ve společnosti Sika </w:t>
      </w:r>
    </w:p>
    <w:p w:rsidR="00110E34" w:rsidRPr="00110E34" w:rsidRDefault="00483F3C" w:rsidP="008E1010">
      <w:pPr>
        <w:spacing w:after="160" w:line="276" w:lineRule="auto"/>
        <w:jc w:val="both"/>
        <w:rPr>
          <w:rFonts w:ascii="Arial" w:hAnsi="Arial" w:cs="Arial"/>
          <w:i/>
          <w:color w:val="3053A1"/>
          <w:sz w:val="20"/>
          <w:szCs w:val="20"/>
          <w:lang w:val="cs-CZ"/>
        </w:rPr>
      </w:pPr>
      <w:r>
        <w:rPr>
          <w:rFonts w:ascii="Arial" w:hAnsi="Arial" w:cs="Arial"/>
          <w:i/>
          <w:color w:val="3053A1"/>
          <w:sz w:val="20"/>
          <w:szCs w:val="20"/>
          <w:lang w:val="cs-CZ"/>
        </w:rPr>
        <w:t>V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roce 2016 budeme pokračovat v</w:t>
      </w:r>
      <w:r w:rsidR="00772C58">
        <w:rPr>
          <w:rFonts w:ascii="Arial" w:hAnsi="Arial" w:cs="Arial"/>
          <w:i/>
          <w:color w:val="3053A1"/>
          <w:sz w:val="20"/>
          <w:szCs w:val="20"/>
          <w:lang w:val="cs-CZ"/>
        </w:rPr>
        <w:t> přizpůsobování se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  <w:r w:rsidR="00772C58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nestabilní</w:t>
      </w:r>
      <w:r w:rsidR="00772C58">
        <w:rPr>
          <w:rFonts w:ascii="Arial" w:hAnsi="Arial" w:cs="Arial"/>
          <w:i/>
          <w:color w:val="3053A1"/>
          <w:sz w:val="20"/>
          <w:szCs w:val="20"/>
          <w:lang w:val="cs-CZ"/>
        </w:rPr>
        <w:t>mu</w:t>
      </w:r>
      <w:r w:rsidR="00772C58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makroekonomickému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prostředí</w:t>
      </w:r>
      <w:r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, 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>naším cílem je nadále zlepšovat náš provozní zisk</w:t>
      </w:r>
      <w:r>
        <w:rPr>
          <w:rFonts w:ascii="Arial" w:hAnsi="Arial" w:cs="Arial"/>
          <w:i/>
          <w:color w:val="3053A1"/>
          <w:sz w:val="20"/>
          <w:szCs w:val="20"/>
          <w:lang w:val="cs-CZ"/>
        </w:rPr>
        <w:t>.“</w:t>
      </w:r>
      <w:r w:rsidR="00110E34" w:rsidRPr="00110E3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</w:p>
    <w:p w:rsidR="00CE78EA" w:rsidRDefault="00CE78EA" w:rsidP="004C7B8C">
      <w:pPr>
        <w:spacing w:after="160" w:line="276" w:lineRule="auto"/>
        <w:jc w:val="both"/>
        <w:rPr>
          <w:rFonts w:ascii="Arial" w:hAnsi="Arial" w:cs="Arial"/>
          <w:b/>
          <w:color w:val="3053A1"/>
          <w:sz w:val="28"/>
          <w:szCs w:val="20"/>
          <w:lang w:val="cs-CZ"/>
        </w:rPr>
      </w:pPr>
    </w:p>
    <w:p w:rsidR="004C7B8C" w:rsidRPr="004C7B8C" w:rsidRDefault="004C7B8C" w:rsidP="004C7B8C">
      <w:pPr>
        <w:spacing w:after="160" w:line="276" w:lineRule="auto"/>
        <w:jc w:val="both"/>
        <w:rPr>
          <w:rFonts w:ascii="Arial" w:hAnsi="Arial" w:cs="Arial"/>
          <w:b/>
          <w:color w:val="3053A1"/>
          <w:sz w:val="28"/>
          <w:szCs w:val="20"/>
          <w:lang w:val="cs-CZ"/>
        </w:rPr>
      </w:pPr>
      <w:r w:rsidRPr="004C7B8C">
        <w:rPr>
          <w:rFonts w:ascii="Arial" w:hAnsi="Arial" w:cs="Arial"/>
          <w:b/>
          <w:color w:val="3053A1"/>
          <w:sz w:val="28"/>
          <w:szCs w:val="20"/>
          <w:lang w:val="cs-CZ"/>
        </w:rPr>
        <w:t>Výsledky skupiny Saint-Gob</w:t>
      </w:r>
      <w:r>
        <w:rPr>
          <w:rFonts w:ascii="Arial" w:hAnsi="Arial" w:cs="Arial"/>
          <w:b/>
          <w:color w:val="3053A1"/>
          <w:sz w:val="28"/>
          <w:szCs w:val="20"/>
          <w:lang w:val="cs-CZ"/>
        </w:rPr>
        <w:t>ain v ČR</w:t>
      </w:r>
    </w:p>
    <w:tbl>
      <w:tblPr>
        <w:tblStyle w:val="Svtlstnovnzvraznn5"/>
        <w:tblpPr w:leftFromText="141" w:rightFromText="141" w:vertAnchor="text" w:horzAnchor="margin" w:tblpX="392" w:tblpY="24"/>
        <w:tblW w:w="8330" w:type="dxa"/>
        <w:tblLook w:val="04A0" w:firstRow="1" w:lastRow="0" w:firstColumn="1" w:lastColumn="0" w:noHBand="0" w:noVBand="1"/>
      </w:tblPr>
      <w:tblGrid>
        <w:gridCol w:w="3227"/>
        <w:gridCol w:w="1559"/>
        <w:gridCol w:w="1418"/>
        <w:gridCol w:w="2126"/>
      </w:tblGrid>
      <w:tr w:rsidR="00077445" w:rsidRPr="000E6DFF" w:rsidTr="000774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077445" w:rsidRPr="000E6DFF" w:rsidRDefault="00077445" w:rsidP="00071569">
            <w:pPr>
              <w:rPr>
                <w:rFonts w:ascii="Arial" w:hAnsi="Arial" w:cs="Arial"/>
                <w:iCs/>
                <w:color w:val="000000"/>
                <w:sz w:val="18"/>
                <w:szCs w:val="18"/>
                <w:lang w:val="en-US"/>
              </w:rPr>
            </w:pPr>
            <w:r w:rsidRPr="00A668F0">
              <w:rPr>
                <w:rFonts w:ascii="Arial" w:hAnsi="Arial" w:cs="Arial"/>
                <w:iCs/>
                <w:color w:val="000000"/>
                <w:sz w:val="22"/>
                <w:szCs w:val="18"/>
                <w:lang w:val="en-US"/>
              </w:rPr>
              <w:t xml:space="preserve"> (€m)</w:t>
            </w:r>
          </w:p>
        </w:tc>
        <w:tc>
          <w:tcPr>
            <w:tcW w:w="1559" w:type="dxa"/>
            <w:hideMark/>
          </w:tcPr>
          <w:p w:rsidR="00077445" w:rsidRPr="000E6DFF" w:rsidRDefault="00077445" w:rsidP="000715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val="en-US"/>
              </w:rPr>
            </w:pPr>
            <w:r w:rsidRPr="000E6DFF">
              <w:rPr>
                <w:rFonts w:ascii="Arial" w:hAnsi="Arial" w:cs="Arial"/>
                <w:color w:val="000000"/>
                <w:lang w:val="en-US"/>
              </w:rPr>
              <w:t>2014</w:t>
            </w:r>
          </w:p>
        </w:tc>
        <w:tc>
          <w:tcPr>
            <w:tcW w:w="1418" w:type="dxa"/>
            <w:hideMark/>
          </w:tcPr>
          <w:p w:rsidR="00077445" w:rsidRPr="000E6DFF" w:rsidRDefault="00077445" w:rsidP="000715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lang w:val="en-US"/>
              </w:rPr>
            </w:pPr>
            <w:r w:rsidRPr="000E6DFF">
              <w:rPr>
                <w:rFonts w:ascii="Arial" w:hAnsi="Arial" w:cs="Arial"/>
                <w:color w:val="000000"/>
                <w:lang w:val="en-US"/>
              </w:rPr>
              <w:t>2015</w:t>
            </w:r>
          </w:p>
        </w:tc>
        <w:tc>
          <w:tcPr>
            <w:tcW w:w="2126" w:type="dxa"/>
            <w:hideMark/>
          </w:tcPr>
          <w:p w:rsidR="00077445" w:rsidRPr="000E6DFF" w:rsidRDefault="00077445" w:rsidP="000715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Změna</w:t>
            </w:r>
          </w:p>
        </w:tc>
      </w:tr>
      <w:tr w:rsidR="00077445" w:rsidRPr="000E6DFF" w:rsidTr="000774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077445" w:rsidRPr="000E6DFF" w:rsidRDefault="00077445" w:rsidP="00071569">
            <w:pPr>
              <w:rPr>
                <w:rFonts w:ascii="Arial" w:hAnsi="Arial" w:cs="Arial"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hideMark/>
          </w:tcPr>
          <w:p w:rsidR="00077445" w:rsidRPr="000E6DFF" w:rsidRDefault="00077445" w:rsidP="000715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418" w:type="dxa"/>
            <w:hideMark/>
          </w:tcPr>
          <w:p w:rsidR="00077445" w:rsidRPr="000E6DFF" w:rsidRDefault="00077445" w:rsidP="000715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</w:tc>
        <w:tc>
          <w:tcPr>
            <w:tcW w:w="2126" w:type="dxa"/>
            <w:hideMark/>
          </w:tcPr>
          <w:p w:rsidR="00077445" w:rsidRPr="000E6DFF" w:rsidRDefault="00077445" w:rsidP="000715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</w:tc>
      </w:tr>
      <w:tr w:rsidR="00077445" w:rsidRPr="000E6DFF" w:rsidTr="00077445">
        <w:trPr>
          <w:trHeight w:val="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077445" w:rsidRPr="000E6DFF" w:rsidRDefault="00077445" w:rsidP="00071569">
            <w:pPr>
              <w:rPr>
                <w:rFonts w:ascii="Arial" w:hAnsi="Arial" w:cs="Arial"/>
                <w:b w:val="0"/>
                <w:bCs w:val="0"/>
                <w:color w:val="000000"/>
                <w:sz w:val="12"/>
                <w:szCs w:val="12"/>
                <w:lang w:val="en-US"/>
              </w:rPr>
            </w:pPr>
          </w:p>
        </w:tc>
        <w:tc>
          <w:tcPr>
            <w:tcW w:w="1559" w:type="dxa"/>
            <w:hideMark/>
          </w:tcPr>
          <w:p w:rsidR="00077445" w:rsidRPr="000E6DFF" w:rsidRDefault="00077445" w:rsidP="000715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</w:pPr>
          </w:p>
        </w:tc>
        <w:tc>
          <w:tcPr>
            <w:tcW w:w="1418" w:type="dxa"/>
            <w:hideMark/>
          </w:tcPr>
          <w:p w:rsidR="00077445" w:rsidRPr="000E6DFF" w:rsidRDefault="00077445" w:rsidP="000715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n-US"/>
              </w:rPr>
            </w:pPr>
          </w:p>
        </w:tc>
        <w:tc>
          <w:tcPr>
            <w:tcW w:w="2126" w:type="dxa"/>
            <w:hideMark/>
          </w:tcPr>
          <w:p w:rsidR="00077445" w:rsidRPr="000E6DFF" w:rsidRDefault="00077445" w:rsidP="000715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n-US"/>
              </w:rPr>
            </w:pPr>
          </w:p>
        </w:tc>
      </w:tr>
      <w:tr w:rsidR="00077445" w:rsidRPr="000E6DFF" w:rsidTr="000774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077445" w:rsidRPr="000E6DFF" w:rsidRDefault="00077445" w:rsidP="00071569">
            <w:pPr>
              <w:rPr>
                <w:rFonts w:ascii="Arial" w:hAnsi="Arial" w:cs="Arial"/>
                <w:b w:val="0"/>
                <w:bCs w:val="0"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Obrat</w:t>
            </w:r>
          </w:p>
        </w:tc>
        <w:tc>
          <w:tcPr>
            <w:tcW w:w="1559" w:type="dxa"/>
            <w:hideMark/>
          </w:tcPr>
          <w:p w:rsidR="00077445" w:rsidRPr="000E6DFF" w:rsidRDefault="0023184A" w:rsidP="00DA3F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583</w:t>
            </w:r>
            <w:r w:rsidR="00DA3FAD"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6</w:t>
            </w:r>
          </w:p>
        </w:tc>
        <w:tc>
          <w:tcPr>
            <w:tcW w:w="1418" w:type="dxa"/>
            <w:hideMark/>
          </w:tcPr>
          <w:p w:rsidR="00077445" w:rsidRPr="00B3631D" w:rsidRDefault="00077445" w:rsidP="002318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3631D">
              <w:rPr>
                <w:rFonts w:ascii="Arial" w:hAnsi="Arial" w:cs="Arial"/>
                <w:b/>
                <w:color w:val="000000"/>
                <w:sz w:val="20"/>
                <w:szCs w:val="22"/>
                <w:lang w:val="en-US"/>
              </w:rPr>
              <w:t>62</w:t>
            </w:r>
            <w:r w:rsidR="0023184A" w:rsidRPr="00B3631D">
              <w:rPr>
                <w:rFonts w:ascii="Arial" w:hAnsi="Arial" w:cs="Arial"/>
                <w:b/>
                <w:color w:val="000000"/>
                <w:sz w:val="20"/>
                <w:szCs w:val="22"/>
                <w:lang w:val="en-US"/>
              </w:rPr>
              <w:t>0</w:t>
            </w:r>
            <w:r w:rsidR="00DA3FAD" w:rsidRPr="00B3631D">
              <w:rPr>
                <w:rFonts w:ascii="Arial" w:hAnsi="Arial" w:cs="Arial"/>
                <w:b/>
                <w:color w:val="000000"/>
                <w:sz w:val="20"/>
                <w:szCs w:val="22"/>
                <w:lang w:val="en-US"/>
              </w:rPr>
              <w:t>,</w:t>
            </w:r>
            <w:r w:rsidR="0023184A" w:rsidRPr="00B3631D">
              <w:rPr>
                <w:rFonts w:ascii="Arial" w:hAnsi="Arial" w:cs="Arial"/>
                <w:b/>
                <w:color w:val="000000"/>
                <w:sz w:val="20"/>
                <w:szCs w:val="22"/>
                <w:lang w:val="en-US"/>
              </w:rPr>
              <w:t>8</w:t>
            </w:r>
          </w:p>
        </w:tc>
        <w:tc>
          <w:tcPr>
            <w:tcW w:w="2126" w:type="dxa"/>
            <w:hideMark/>
          </w:tcPr>
          <w:p w:rsidR="00077445" w:rsidRPr="000E6DFF" w:rsidRDefault="00077445" w:rsidP="000774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+</w:t>
            </w:r>
            <w:r w:rsidR="00DA3FAD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6,</w:t>
            </w:r>
            <w:r w:rsidR="0023184A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4</w:t>
            </w:r>
            <w:r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%</w:t>
            </w:r>
          </w:p>
        </w:tc>
      </w:tr>
      <w:tr w:rsidR="00077445" w:rsidRPr="000E6DFF" w:rsidTr="00077445">
        <w:trPr>
          <w:trHeight w:val="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077445" w:rsidRPr="000E6DFF" w:rsidRDefault="00077445" w:rsidP="00071569">
            <w:pPr>
              <w:rPr>
                <w:rFonts w:ascii="Arial" w:hAnsi="Arial" w:cs="Arial"/>
                <w:b w:val="0"/>
                <w:bCs w:val="0"/>
                <w:color w:val="000000"/>
                <w:sz w:val="10"/>
                <w:szCs w:val="12"/>
                <w:lang w:val="en-US"/>
              </w:rPr>
            </w:pPr>
          </w:p>
        </w:tc>
        <w:tc>
          <w:tcPr>
            <w:tcW w:w="1559" w:type="dxa"/>
            <w:hideMark/>
          </w:tcPr>
          <w:p w:rsidR="00077445" w:rsidRPr="000E6DFF" w:rsidRDefault="00077445" w:rsidP="000715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</w:pPr>
          </w:p>
        </w:tc>
        <w:tc>
          <w:tcPr>
            <w:tcW w:w="1418" w:type="dxa"/>
            <w:hideMark/>
          </w:tcPr>
          <w:p w:rsidR="00077445" w:rsidRPr="000E6DFF" w:rsidRDefault="00077445" w:rsidP="000715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</w:p>
        </w:tc>
        <w:tc>
          <w:tcPr>
            <w:tcW w:w="2126" w:type="dxa"/>
            <w:hideMark/>
          </w:tcPr>
          <w:p w:rsidR="00077445" w:rsidRPr="000E6DFF" w:rsidRDefault="00077445" w:rsidP="000715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</w:p>
        </w:tc>
      </w:tr>
      <w:tr w:rsidR="00077445" w:rsidRPr="000E6DFF" w:rsidTr="000774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077445" w:rsidRPr="000E6DFF" w:rsidRDefault="00077445" w:rsidP="00071569">
            <w:pPr>
              <w:rPr>
                <w:rFonts w:ascii="Arial" w:hAnsi="Arial" w:cs="Arial"/>
                <w:b w:val="0"/>
                <w:bCs w:val="0"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Provozní zisk</w:t>
            </w:r>
          </w:p>
        </w:tc>
        <w:tc>
          <w:tcPr>
            <w:tcW w:w="1559" w:type="dxa"/>
            <w:hideMark/>
          </w:tcPr>
          <w:p w:rsidR="00077445" w:rsidRPr="000E6DFF" w:rsidRDefault="00DA3FAD" w:rsidP="000715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98,</w:t>
            </w:r>
            <w:r w:rsidR="00077445">
              <w:rPr>
                <w:rFonts w:ascii="Arial" w:hAnsi="Arial" w:cs="Arial"/>
                <w:color w:val="000000"/>
                <w:sz w:val="20"/>
                <w:szCs w:val="22"/>
                <w:lang w:val="en-US"/>
              </w:rPr>
              <w:t>3</w:t>
            </w:r>
          </w:p>
        </w:tc>
        <w:tc>
          <w:tcPr>
            <w:tcW w:w="1418" w:type="dxa"/>
            <w:hideMark/>
          </w:tcPr>
          <w:p w:rsidR="00077445" w:rsidRPr="00B3631D" w:rsidRDefault="00077445" w:rsidP="00DA3F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B3631D">
              <w:rPr>
                <w:rFonts w:ascii="Arial" w:hAnsi="Arial" w:cs="Arial"/>
                <w:b/>
                <w:color w:val="000000"/>
                <w:sz w:val="20"/>
                <w:szCs w:val="22"/>
                <w:lang w:val="en-US"/>
              </w:rPr>
              <w:t>123</w:t>
            </w:r>
            <w:r w:rsidR="00DA3FAD" w:rsidRPr="00B3631D">
              <w:rPr>
                <w:rFonts w:ascii="Arial" w:hAnsi="Arial" w:cs="Arial"/>
                <w:b/>
                <w:color w:val="000000"/>
                <w:sz w:val="20"/>
                <w:szCs w:val="22"/>
                <w:lang w:val="en-US"/>
              </w:rPr>
              <w:t>,</w:t>
            </w:r>
            <w:r w:rsidRPr="00B3631D">
              <w:rPr>
                <w:rFonts w:ascii="Arial" w:hAnsi="Arial" w:cs="Arial"/>
                <w:b/>
                <w:color w:val="000000"/>
                <w:sz w:val="20"/>
                <w:szCs w:val="22"/>
                <w:lang w:val="en-US"/>
              </w:rPr>
              <w:t>1</w:t>
            </w:r>
          </w:p>
        </w:tc>
        <w:tc>
          <w:tcPr>
            <w:tcW w:w="2126" w:type="dxa"/>
            <w:hideMark/>
          </w:tcPr>
          <w:p w:rsidR="00077445" w:rsidRPr="000E6DFF" w:rsidRDefault="00077445" w:rsidP="000774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</w:pPr>
            <w:r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+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2</w:t>
            </w:r>
            <w:r w:rsidR="00DA3FAD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4,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8</w:t>
            </w:r>
            <w:r w:rsidRPr="000E6DFF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val="en-US"/>
              </w:rPr>
              <w:t>%</w:t>
            </w:r>
          </w:p>
        </w:tc>
      </w:tr>
    </w:tbl>
    <w:p w:rsidR="00C751E7" w:rsidRPr="001B4F0B" w:rsidRDefault="00C751E7" w:rsidP="00C751E7">
      <w:pPr>
        <w:spacing w:after="160" w:line="276" w:lineRule="auto"/>
        <w:jc w:val="both"/>
        <w:rPr>
          <w:rFonts w:ascii="Arial" w:hAnsi="Arial" w:cs="Arial"/>
          <w:color w:val="3053A1"/>
          <w:sz w:val="20"/>
          <w:szCs w:val="20"/>
          <w:lang w:val="cs-CZ"/>
        </w:rPr>
      </w:pPr>
      <w:r>
        <w:rPr>
          <w:rFonts w:ascii="Arial" w:hAnsi="Arial" w:cs="Arial"/>
          <w:color w:val="3053A1"/>
          <w:sz w:val="20"/>
          <w:szCs w:val="20"/>
          <w:lang w:val="cs-CZ"/>
        </w:rPr>
        <w:lastRenderedPageBreak/>
        <w:t>Nejvíce v ČR rostla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> divize inovativních materiálů, reprezentované hlavně společností Adfors,</w:t>
      </w:r>
      <w:r>
        <w:rPr>
          <w:rFonts w:ascii="Arial" w:hAnsi="Arial" w:cs="Arial"/>
          <w:color w:val="3053A1"/>
          <w:sz w:val="20"/>
          <w:szCs w:val="20"/>
          <w:lang w:val="cs-CZ"/>
        </w:rPr>
        <w:t xml:space="preserve"> která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 hlásí </w:t>
      </w:r>
      <w:r>
        <w:rPr>
          <w:rFonts w:ascii="Arial" w:hAnsi="Arial" w:cs="Arial"/>
          <w:color w:val="3053A1"/>
          <w:sz w:val="20"/>
          <w:szCs w:val="20"/>
          <w:lang w:val="cs-CZ"/>
        </w:rPr>
        <w:t>dvanáctiprocentní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 nárůst</w:t>
      </w:r>
      <w:r>
        <w:rPr>
          <w:rFonts w:ascii="Arial" w:hAnsi="Arial" w:cs="Arial"/>
          <w:color w:val="3053A1"/>
          <w:sz w:val="20"/>
          <w:szCs w:val="20"/>
          <w:lang w:val="cs-CZ"/>
        </w:rPr>
        <w:t xml:space="preserve"> obratu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. O </w:t>
      </w:r>
      <w:r>
        <w:rPr>
          <w:rFonts w:ascii="Arial" w:hAnsi="Arial" w:cs="Arial"/>
          <w:color w:val="3053A1"/>
          <w:sz w:val="20"/>
          <w:szCs w:val="20"/>
          <w:lang w:val="cs-CZ"/>
        </w:rPr>
        <w:t>tři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 procent</w:t>
      </w:r>
      <w:r>
        <w:rPr>
          <w:rFonts w:ascii="Arial" w:hAnsi="Arial" w:cs="Arial"/>
          <w:color w:val="3053A1"/>
          <w:sz w:val="20"/>
          <w:szCs w:val="20"/>
          <w:lang w:val="cs-CZ"/>
        </w:rPr>
        <w:t xml:space="preserve">a 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pak rostla divize stavebních materiálů, kam spadají společnosti Rigips, Weber, Isover a Ecophon. Hodnoty srovnatelné </w:t>
      </w:r>
      <w:r w:rsidR="00A668F0">
        <w:rPr>
          <w:rFonts w:ascii="Arial" w:hAnsi="Arial" w:cs="Arial"/>
          <w:color w:val="3053A1"/>
          <w:sz w:val="20"/>
          <w:szCs w:val="20"/>
          <w:lang w:val="cs-CZ"/>
        </w:rPr>
        <w:t>s rokem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 2014 zaznamenala výroba skla ve společnostech Sekurit, zabývající se výrobou</w:t>
      </w:r>
      <w:r w:rsidR="00590C25">
        <w:rPr>
          <w:rFonts w:ascii="Arial" w:hAnsi="Arial" w:cs="Arial"/>
          <w:color w:val="3053A1"/>
          <w:sz w:val="20"/>
          <w:szCs w:val="20"/>
          <w:lang w:val="cs-CZ"/>
        </w:rPr>
        <w:t xml:space="preserve"> čelních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 laminovaných bezpečnostních automobilových skel</w:t>
      </w:r>
      <w:r>
        <w:rPr>
          <w:rFonts w:ascii="Arial" w:hAnsi="Arial" w:cs="Arial"/>
          <w:color w:val="3053A1"/>
          <w:sz w:val="20"/>
          <w:szCs w:val="20"/>
          <w:lang w:val="cs-CZ"/>
        </w:rPr>
        <w:t>,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 a Glassolutions, kter</w:t>
      </w:r>
      <w:r>
        <w:rPr>
          <w:rFonts w:ascii="Arial" w:hAnsi="Arial" w:cs="Arial"/>
          <w:color w:val="3053A1"/>
          <w:sz w:val="20"/>
          <w:szCs w:val="20"/>
          <w:lang w:val="cs-CZ"/>
        </w:rPr>
        <w:t>á</w:t>
      </w:r>
      <w:r w:rsidRPr="001B4F0B">
        <w:rPr>
          <w:rFonts w:ascii="Arial" w:hAnsi="Arial" w:cs="Arial"/>
          <w:color w:val="3053A1"/>
          <w:sz w:val="20"/>
          <w:szCs w:val="20"/>
          <w:lang w:val="cs-CZ"/>
        </w:rPr>
        <w:t xml:space="preserve"> působí na trhu prosklených fasád.     </w:t>
      </w:r>
    </w:p>
    <w:p w:rsidR="00C751E7" w:rsidRPr="00C751E7" w:rsidRDefault="00C751E7" w:rsidP="008E1010">
      <w:pPr>
        <w:spacing w:after="160" w:line="276" w:lineRule="auto"/>
        <w:jc w:val="both"/>
        <w:rPr>
          <w:rFonts w:ascii="Arial" w:hAnsi="Arial" w:cs="Arial"/>
          <w:b/>
          <w:color w:val="3053A1"/>
          <w:sz w:val="20"/>
          <w:szCs w:val="20"/>
          <w:lang w:val="cs-CZ"/>
        </w:rPr>
      </w:pPr>
      <w:r>
        <w:rPr>
          <w:rFonts w:ascii="Arial" w:hAnsi="Arial" w:cs="Arial"/>
          <w:b/>
          <w:color w:val="3053A1"/>
          <w:sz w:val="20"/>
          <w:szCs w:val="20"/>
          <w:lang w:val="cs-CZ"/>
        </w:rPr>
        <w:t>H</w:t>
      </w:r>
      <w:r w:rsidRPr="00C751E7">
        <w:rPr>
          <w:rFonts w:ascii="Arial" w:hAnsi="Arial" w:cs="Arial"/>
          <w:b/>
          <w:color w:val="3053A1"/>
          <w:sz w:val="20"/>
          <w:szCs w:val="20"/>
          <w:lang w:val="cs-CZ"/>
        </w:rPr>
        <w:t>ospodaření skupiny v ČR komentuje generální delegát Saint-Gobain Tomáš Rosák.</w:t>
      </w:r>
    </w:p>
    <w:p w:rsidR="00CE78EA" w:rsidRDefault="00C751E7" w:rsidP="008E1010">
      <w:pPr>
        <w:spacing w:after="160" w:line="276" w:lineRule="auto"/>
        <w:jc w:val="both"/>
        <w:rPr>
          <w:rFonts w:ascii="Arial" w:hAnsi="Arial" w:cs="Arial"/>
          <w:i/>
          <w:color w:val="3053A1"/>
          <w:sz w:val="20"/>
          <w:szCs w:val="20"/>
          <w:lang w:val="cs-CZ"/>
        </w:rPr>
      </w:pPr>
      <w:r>
        <w:rPr>
          <w:rFonts w:ascii="Arial" w:hAnsi="Arial" w:cs="Arial"/>
          <w:color w:val="3053A1"/>
          <w:sz w:val="20"/>
          <w:szCs w:val="20"/>
          <w:lang w:val="cs-CZ"/>
        </w:rPr>
        <w:t>„</w:t>
      </w:r>
      <w:r w:rsidR="008E1010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>Loňské výsledky souvisí s růstem stavebního trhu v České republice a navazující stavební výroby</w:t>
      </w:r>
      <w:r w:rsidR="00B77505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>, ale také s</w:t>
      </w:r>
      <w:r w:rsidR="00CE78EA">
        <w:rPr>
          <w:rFonts w:ascii="Arial" w:hAnsi="Arial" w:cs="Arial"/>
          <w:i/>
          <w:color w:val="3053A1"/>
          <w:sz w:val="20"/>
          <w:szCs w:val="20"/>
          <w:lang w:val="cs-CZ"/>
        </w:rPr>
        <w:t> </w:t>
      </w:r>
      <w:r w:rsidR="00B77505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neustálými inovacemi </w:t>
      </w:r>
      <w:r w:rsidR="00CE78EA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našich </w:t>
      </w:r>
      <w:r w:rsidR="00B77505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>výrobků</w:t>
      </w:r>
      <w:r w:rsidR="008E1010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. </w:t>
      </w:r>
      <w:r w:rsidR="00CE78EA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Podle indexu stavební produkce byl loňský růst meziročně o více než pět procent vyšší než v roce 2014. Naším trhem je zejména pozemní stavitelství a rezidenční </w:t>
      </w:r>
      <w:r w:rsidR="00CE78EA">
        <w:rPr>
          <w:rFonts w:ascii="Arial" w:hAnsi="Arial" w:cs="Arial"/>
          <w:i/>
          <w:color w:val="3053A1"/>
          <w:sz w:val="20"/>
          <w:szCs w:val="20"/>
          <w:lang w:val="cs-CZ"/>
        </w:rPr>
        <w:t>výstavba, jejichž růst v kombinaci s rostoucí spotřebou</w:t>
      </w:r>
      <w:r w:rsidR="008E1010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domácností, která zahrnuje nejen investice do nákupu nemovitostí, ale i do s</w:t>
      </w:r>
      <w:r w:rsidR="00B77505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>amotné výstavby či rekonstrukce</w:t>
      </w:r>
      <w:r w:rsidR="00CE78EA">
        <w:rPr>
          <w:rFonts w:ascii="Arial" w:hAnsi="Arial" w:cs="Arial"/>
          <w:i/>
          <w:color w:val="3053A1"/>
          <w:sz w:val="20"/>
          <w:szCs w:val="20"/>
          <w:lang w:val="cs-CZ"/>
        </w:rPr>
        <w:t>, výrazně ovlivňuje naše výsledky.</w:t>
      </w:r>
      <w:r w:rsidR="008E1010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</w:p>
    <w:p w:rsidR="008E1010" w:rsidRPr="001B4F0B" w:rsidRDefault="00B77505" w:rsidP="008E1010">
      <w:pPr>
        <w:spacing w:after="160" w:line="276" w:lineRule="auto"/>
        <w:jc w:val="both"/>
        <w:rPr>
          <w:rFonts w:ascii="Arial" w:hAnsi="Arial" w:cs="Arial"/>
          <w:color w:val="3053A1"/>
          <w:sz w:val="20"/>
          <w:szCs w:val="20"/>
          <w:lang w:val="cs-CZ"/>
        </w:rPr>
      </w:pPr>
      <w:r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Skupina Saint-Gobain také neustále inovuje své produktové portfolio a uvádí na trh nové stavební materiály, které </w:t>
      </w:r>
      <w:r w:rsidR="00C751E7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>nabízejí uživatelům</w:t>
      </w:r>
      <w:r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  <w:r w:rsidR="00C751E7"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>budov inovativní</w:t>
      </w:r>
      <w:r w:rsidRPr="00C751E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řešení zejména z pohledu akustiky, tepelné pohody, světelného komfortu a kvality vnitřního prostředí</w:t>
      </w:r>
      <w:r w:rsidR="00590C25">
        <w:rPr>
          <w:rFonts w:ascii="Arial" w:hAnsi="Arial" w:cs="Arial"/>
          <w:i/>
          <w:color w:val="3053A1"/>
          <w:sz w:val="20"/>
          <w:szCs w:val="20"/>
          <w:lang w:val="cs-CZ"/>
        </w:rPr>
        <w:t>. Zvyšující se poptávka po těchto řešeních</w:t>
      </w:r>
      <w:r w:rsidR="00CE78EA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  <w:r w:rsidR="00590C25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samozřejmě </w:t>
      </w:r>
      <w:r w:rsidR="00CE78EA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také pozitivně ovlivňuje naše výsledky </w:t>
      </w:r>
      <w:r w:rsidR="00C751E7">
        <w:rPr>
          <w:rFonts w:ascii="Arial" w:hAnsi="Arial" w:cs="Arial"/>
          <w:i/>
          <w:color w:val="3053A1"/>
          <w:sz w:val="20"/>
          <w:szCs w:val="20"/>
          <w:lang w:val="cs-CZ"/>
        </w:rPr>
        <w:t>“</w:t>
      </w:r>
      <w:r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</w:p>
    <w:p w:rsidR="00676013" w:rsidRPr="004C7B8C" w:rsidRDefault="00676013" w:rsidP="00676013">
      <w:pPr>
        <w:spacing w:after="160" w:line="276" w:lineRule="auto"/>
        <w:jc w:val="both"/>
        <w:rPr>
          <w:rFonts w:ascii="Arial" w:hAnsi="Arial" w:cs="Arial"/>
          <w:b/>
          <w:color w:val="3053A1"/>
          <w:sz w:val="28"/>
          <w:szCs w:val="20"/>
          <w:lang w:val="cs-CZ"/>
        </w:rPr>
      </w:pPr>
      <w:r>
        <w:rPr>
          <w:rFonts w:ascii="Arial" w:hAnsi="Arial" w:cs="Arial"/>
          <w:b/>
          <w:color w:val="3053A1"/>
          <w:sz w:val="28"/>
          <w:szCs w:val="20"/>
          <w:lang w:val="cs-CZ"/>
        </w:rPr>
        <w:t>Inovace a investice skupiny</w:t>
      </w:r>
      <w:r w:rsidRPr="004C7B8C">
        <w:rPr>
          <w:rFonts w:ascii="Arial" w:hAnsi="Arial" w:cs="Arial"/>
          <w:b/>
          <w:color w:val="3053A1"/>
          <w:sz w:val="28"/>
          <w:szCs w:val="20"/>
          <w:lang w:val="cs-CZ"/>
        </w:rPr>
        <w:t xml:space="preserve"> Saint-Gob</w:t>
      </w:r>
      <w:r>
        <w:rPr>
          <w:rFonts w:ascii="Arial" w:hAnsi="Arial" w:cs="Arial"/>
          <w:b/>
          <w:color w:val="3053A1"/>
          <w:sz w:val="28"/>
          <w:szCs w:val="20"/>
          <w:lang w:val="cs-CZ"/>
        </w:rPr>
        <w:t>ain v ČR</w:t>
      </w:r>
    </w:p>
    <w:p w:rsidR="00676013" w:rsidRDefault="00676013" w:rsidP="00E13A9C">
      <w:pPr>
        <w:spacing w:after="160" w:line="276" w:lineRule="auto"/>
        <w:jc w:val="both"/>
        <w:rPr>
          <w:rFonts w:ascii="Arial" w:hAnsi="Arial" w:cs="Arial"/>
          <w:color w:val="3053A1"/>
          <w:sz w:val="20"/>
          <w:szCs w:val="20"/>
          <w:lang w:val="cs-CZ"/>
        </w:rPr>
      </w:pPr>
      <w:r>
        <w:rPr>
          <w:rFonts w:ascii="Arial" w:hAnsi="Arial" w:cs="Arial"/>
          <w:color w:val="3053A1"/>
          <w:sz w:val="20"/>
          <w:szCs w:val="20"/>
          <w:lang w:val="cs-CZ"/>
        </w:rPr>
        <w:t xml:space="preserve">Saint-Gobain je nejvíce inovativní společností na světě, každý pátý produkt, který dodává na trh, před pěti lety ještě neexistoval. Na vývoji nových materiálů a řešení aktuálně celosvětově pracuje více než </w:t>
      </w:r>
      <w:r w:rsidR="00CE78EA">
        <w:rPr>
          <w:rFonts w:ascii="Arial" w:hAnsi="Arial" w:cs="Arial"/>
          <w:color w:val="3053A1"/>
          <w:sz w:val="20"/>
          <w:szCs w:val="20"/>
          <w:lang w:val="cs-CZ"/>
        </w:rPr>
        <w:t>čtyři tisíce</w:t>
      </w:r>
      <w:r>
        <w:rPr>
          <w:rFonts w:ascii="Arial" w:hAnsi="Arial" w:cs="Arial"/>
          <w:color w:val="3053A1"/>
          <w:sz w:val="20"/>
          <w:szCs w:val="20"/>
          <w:lang w:val="cs-CZ"/>
        </w:rPr>
        <w:t xml:space="preserve"> za</w:t>
      </w:r>
      <w:r w:rsidR="00CE78EA">
        <w:rPr>
          <w:rFonts w:ascii="Arial" w:hAnsi="Arial" w:cs="Arial"/>
          <w:color w:val="3053A1"/>
          <w:sz w:val="20"/>
          <w:szCs w:val="20"/>
          <w:lang w:val="cs-CZ"/>
        </w:rPr>
        <w:t>městnanců z celkového počtu sto devadesáti tisíc</w:t>
      </w:r>
      <w:r>
        <w:rPr>
          <w:rFonts w:ascii="Arial" w:hAnsi="Arial" w:cs="Arial"/>
          <w:color w:val="3053A1"/>
          <w:sz w:val="20"/>
          <w:szCs w:val="20"/>
          <w:lang w:val="cs-CZ"/>
        </w:rPr>
        <w:t>. Také v</w:t>
      </w:r>
      <w:r w:rsidR="00CE78EA">
        <w:rPr>
          <w:rFonts w:ascii="Arial" w:hAnsi="Arial" w:cs="Arial"/>
          <w:color w:val="3053A1"/>
          <w:sz w:val="20"/>
          <w:szCs w:val="20"/>
          <w:lang w:val="cs-CZ"/>
        </w:rPr>
        <w:t> České republice</w:t>
      </w:r>
      <w:r>
        <w:rPr>
          <w:rFonts w:ascii="Arial" w:hAnsi="Arial" w:cs="Arial"/>
          <w:color w:val="3053A1"/>
          <w:sz w:val="20"/>
          <w:szCs w:val="20"/>
          <w:lang w:val="cs-CZ"/>
        </w:rPr>
        <w:t xml:space="preserve"> skupina vyvíjí nové materiály a výrobky nebo se na jejich celosvětovém vývoji podílí. S vývojem a zaváděním nových výrobků do výroby souvisí také nemalé investice, které </w:t>
      </w:r>
      <w:r w:rsidR="00CE78EA">
        <w:rPr>
          <w:rFonts w:ascii="Arial" w:hAnsi="Arial" w:cs="Arial"/>
          <w:color w:val="3053A1"/>
          <w:sz w:val="20"/>
          <w:szCs w:val="20"/>
          <w:lang w:val="cs-CZ"/>
        </w:rPr>
        <w:t xml:space="preserve">Saint-Gobain v České republice </w:t>
      </w:r>
      <w:r>
        <w:rPr>
          <w:rFonts w:ascii="Arial" w:hAnsi="Arial" w:cs="Arial"/>
          <w:color w:val="3053A1"/>
          <w:sz w:val="20"/>
          <w:szCs w:val="20"/>
          <w:lang w:val="cs-CZ"/>
        </w:rPr>
        <w:t>realizuje</w:t>
      </w:r>
      <w:r w:rsidR="00CE78EA">
        <w:rPr>
          <w:rFonts w:ascii="Arial" w:hAnsi="Arial" w:cs="Arial"/>
          <w:color w:val="3053A1"/>
          <w:sz w:val="20"/>
          <w:szCs w:val="20"/>
          <w:lang w:val="cs-CZ"/>
        </w:rPr>
        <w:t>.</w:t>
      </w:r>
    </w:p>
    <w:p w:rsidR="00676013" w:rsidRPr="00C751E7" w:rsidRDefault="00676013" w:rsidP="00676013">
      <w:pPr>
        <w:spacing w:after="160" w:line="276" w:lineRule="auto"/>
        <w:jc w:val="both"/>
        <w:rPr>
          <w:rFonts w:ascii="Arial" w:hAnsi="Arial" w:cs="Arial"/>
          <w:b/>
          <w:color w:val="3053A1"/>
          <w:sz w:val="20"/>
          <w:szCs w:val="20"/>
          <w:lang w:val="cs-CZ"/>
        </w:rPr>
      </w:pPr>
      <w:r>
        <w:rPr>
          <w:rFonts w:ascii="Arial" w:hAnsi="Arial" w:cs="Arial"/>
          <w:b/>
          <w:color w:val="3053A1"/>
          <w:sz w:val="20"/>
          <w:szCs w:val="20"/>
          <w:lang w:val="cs-CZ"/>
        </w:rPr>
        <w:t>G</w:t>
      </w:r>
      <w:r w:rsidRPr="00C751E7">
        <w:rPr>
          <w:rFonts w:ascii="Arial" w:hAnsi="Arial" w:cs="Arial"/>
          <w:b/>
          <w:color w:val="3053A1"/>
          <w:sz w:val="20"/>
          <w:szCs w:val="20"/>
          <w:lang w:val="cs-CZ"/>
        </w:rPr>
        <w:t>enerální delegát Saint-Gobain Tomáš Rosák</w:t>
      </w:r>
      <w:r w:rsidRPr="00676013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</w:t>
      </w:r>
      <w:r>
        <w:rPr>
          <w:rFonts w:ascii="Arial" w:hAnsi="Arial" w:cs="Arial"/>
          <w:b/>
          <w:color w:val="3053A1"/>
          <w:sz w:val="20"/>
          <w:szCs w:val="20"/>
          <w:lang w:val="cs-CZ"/>
        </w:rPr>
        <w:t>zmiňuje významné inovace plánované v roce 2016</w:t>
      </w:r>
    </w:p>
    <w:p w:rsidR="00170A3A" w:rsidRDefault="00676013" w:rsidP="00E13A9C">
      <w:pPr>
        <w:spacing w:after="160" w:line="276" w:lineRule="auto"/>
        <w:jc w:val="both"/>
        <w:rPr>
          <w:rFonts w:ascii="Arial" w:hAnsi="Arial" w:cs="Arial"/>
          <w:i/>
          <w:color w:val="3053A1"/>
          <w:sz w:val="20"/>
          <w:szCs w:val="20"/>
          <w:lang w:val="cs-CZ"/>
        </w:rPr>
      </w:pPr>
      <w:r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>„</w:t>
      </w:r>
      <w:r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V těchto dnech uvádíme na trh revoluční, vysoko </w:t>
      </w:r>
      <w:r w:rsidR="00170A3A">
        <w:rPr>
          <w:rFonts w:ascii="Arial" w:hAnsi="Arial" w:cs="Arial"/>
          <w:i/>
          <w:color w:val="3053A1"/>
          <w:sz w:val="20"/>
          <w:szCs w:val="20"/>
          <w:lang w:val="cs-CZ"/>
        </w:rPr>
        <w:t>pevnostní, sádrokartonovou</w:t>
      </w:r>
      <w:r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desku Rigips  HABITO, která, na rozdíl od stávajících typů desek, umožňuje kotvení bez použití hmoždinek, má vysokou nosnost na jeden kotvicí bod a navíc splňuje náročné požadavky na akustiku a požární vlastnosti. Na vývoji této desky, kterou představujeme na celosvětovém trhu, se výrazně podílel náš výrobní závod v Horních Počaplech u Mělníka.  </w:t>
      </w:r>
    </w:p>
    <w:p w:rsidR="00676013" w:rsidRDefault="00676013" w:rsidP="00E13A9C">
      <w:pPr>
        <w:spacing w:after="160" w:line="276" w:lineRule="auto"/>
        <w:jc w:val="both"/>
        <w:rPr>
          <w:rFonts w:ascii="Arial" w:hAnsi="Arial" w:cs="Arial"/>
          <w:b/>
          <w:color w:val="3053A1"/>
          <w:sz w:val="20"/>
          <w:szCs w:val="20"/>
          <w:lang w:val="cs-CZ"/>
        </w:rPr>
      </w:pPr>
      <w:r>
        <w:rPr>
          <w:rFonts w:ascii="Arial" w:hAnsi="Arial" w:cs="Arial"/>
          <w:i/>
          <w:color w:val="3053A1"/>
          <w:sz w:val="20"/>
          <w:szCs w:val="20"/>
          <w:lang w:val="cs-CZ"/>
        </w:rPr>
        <w:t>Dalším výrobkem, který bych rád zmínil</w:t>
      </w:r>
      <w:r w:rsidR="00170A3A">
        <w:rPr>
          <w:rFonts w:ascii="Arial" w:hAnsi="Arial" w:cs="Arial"/>
          <w:i/>
          <w:color w:val="3053A1"/>
          <w:sz w:val="20"/>
          <w:szCs w:val="20"/>
          <w:lang w:val="cs-CZ"/>
        </w:rPr>
        <w:t>,</w:t>
      </w:r>
      <w:r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je systém pro akustické zlepšení vlastností podlah, který vyvinula</w:t>
      </w:r>
      <w:r w:rsidR="00170A3A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naše divize weber. Jedná se o systém betonových podlah zejména v rezidenčních budovách, které zajišťují při minimálním zvýšení nákladů útlum </w:t>
      </w:r>
      <w:r w:rsidR="000013DE" w:rsidRPr="000013DE">
        <w:rPr>
          <w:rFonts w:ascii="Arial" w:hAnsi="Arial" w:cs="Arial"/>
          <w:i/>
          <w:color w:val="3053A1"/>
          <w:sz w:val="20"/>
          <w:szCs w:val="20"/>
          <w:lang w:val="cs-CZ"/>
        </w:rPr>
        <w:t>kročejového hluku procházejícíh</w:t>
      </w:r>
      <w:r w:rsidR="000013DE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o podlahami respektive stropy. </w:t>
      </w:r>
      <w:r w:rsidR="000013DE" w:rsidRPr="000013DE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Tento systém weber sys.dB je vyroben a otestován našimi českými odborníky a je certifikován státním zkušebním ústavem v </w:t>
      </w:r>
      <w:r w:rsidR="000013DE">
        <w:rPr>
          <w:rFonts w:ascii="Arial" w:hAnsi="Arial" w:cs="Arial"/>
          <w:i/>
          <w:color w:val="3053A1"/>
          <w:sz w:val="20"/>
          <w:szCs w:val="20"/>
          <w:lang w:val="cs-CZ"/>
        </w:rPr>
        <w:t>Teplicích.“</w:t>
      </w:r>
      <w:r w:rsidR="00170A3A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</w:p>
    <w:p w:rsidR="00E13A9C" w:rsidRPr="00C751E7" w:rsidRDefault="00676013" w:rsidP="00E13A9C">
      <w:pPr>
        <w:spacing w:after="160" w:line="276" w:lineRule="auto"/>
        <w:jc w:val="both"/>
        <w:rPr>
          <w:rFonts w:ascii="Arial" w:hAnsi="Arial" w:cs="Arial"/>
          <w:b/>
          <w:color w:val="3053A1"/>
          <w:sz w:val="20"/>
          <w:szCs w:val="20"/>
          <w:lang w:val="cs-CZ"/>
        </w:rPr>
      </w:pPr>
      <w:r w:rsidRPr="00C751E7">
        <w:rPr>
          <w:rFonts w:ascii="Arial" w:hAnsi="Arial" w:cs="Arial"/>
          <w:b/>
          <w:color w:val="3053A1"/>
          <w:sz w:val="20"/>
          <w:szCs w:val="20"/>
          <w:lang w:val="cs-CZ"/>
        </w:rPr>
        <w:t>Tomáš Rosák</w:t>
      </w:r>
      <w:r w:rsidRPr="00676013"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 </w:t>
      </w:r>
      <w:r>
        <w:rPr>
          <w:rFonts w:ascii="Arial" w:hAnsi="Arial" w:cs="Arial"/>
          <w:b/>
          <w:color w:val="3053A1"/>
          <w:sz w:val="20"/>
          <w:szCs w:val="20"/>
          <w:lang w:val="cs-CZ"/>
        </w:rPr>
        <w:t xml:space="preserve">dále vyjmenovává investice, které hodlá skupina realizovat v roce 2016. </w:t>
      </w:r>
    </w:p>
    <w:p w:rsidR="00E13A9C" w:rsidRPr="00676013" w:rsidRDefault="00C751E7" w:rsidP="00EE1E84">
      <w:pPr>
        <w:spacing w:after="160" w:line="252" w:lineRule="auto"/>
        <w:jc w:val="both"/>
        <w:rPr>
          <w:rFonts w:ascii="Arial" w:hAnsi="Arial" w:cs="Arial"/>
          <w:i/>
          <w:color w:val="3053A1"/>
          <w:sz w:val="20"/>
          <w:szCs w:val="20"/>
          <w:lang w:val="cs-CZ"/>
        </w:rPr>
      </w:pPr>
      <w:r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>„</w:t>
      </w:r>
      <w:r w:rsidR="00676013"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Skupina </w:t>
      </w:r>
      <w:r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>Saint-Gobain v loňském roce investovala v České republice dvě miliardy korun. Zejména se jednalo o investici do</w:t>
      </w:r>
      <w:r w:rsidR="002A119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nové výrobní linky společnosti na výrobu čelních automobilových skel </w:t>
      </w:r>
      <w:r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Sekurit </w:t>
      </w:r>
      <w:r w:rsidR="00C27984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ve výši </w:t>
      </w:r>
      <w:r w:rsidR="0016299F">
        <w:rPr>
          <w:rFonts w:ascii="Arial" w:hAnsi="Arial" w:cs="Arial"/>
          <w:i/>
          <w:color w:val="3053A1"/>
          <w:sz w:val="20"/>
          <w:szCs w:val="20"/>
          <w:lang w:val="cs-CZ"/>
        </w:rPr>
        <w:t>kolem jedné miliardy korun</w:t>
      </w:r>
      <w:r w:rsidR="00C27984">
        <w:rPr>
          <w:rFonts w:ascii="Arial" w:hAnsi="Arial" w:cs="Arial"/>
          <w:i/>
          <w:color w:val="3053A1"/>
          <w:sz w:val="20"/>
          <w:szCs w:val="20"/>
          <w:lang w:val="cs-CZ"/>
        </w:rPr>
        <w:t>.</w:t>
      </w:r>
      <w:r w:rsidR="002A119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  <w:r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V letošním roce plánujeme </w:t>
      </w:r>
      <w:r w:rsidR="00E13A9C"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další </w:t>
      </w:r>
      <w:r w:rsidR="002A119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velké investice v celkové </w:t>
      </w:r>
      <w:r w:rsidR="0016299F">
        <w:rPr>
          <w:rFonts w:ascii="Arial" w:hAnsi="Arial" w:cs="Arial"/>
          <w:i/>
          <w:color w:val="3053A1"/>
          <w:sz w:val="20"/>
          <w:szCs w:val="20"/>
          <w:lang w:val="cs-CZ"/>
        </w:rPr>
        <w:t>výši 1,3</w:t>
      </w:r>
      <w:r w:rsidR="002A119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mld Kč</w:t>
      </w:r>
      <w:r w:rsidR="00E13A9C"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. </w:t>
      </w:r>
      <w:r w:rsidR="002A1197">
        <w:rPr>
          <w:rFonts w:ascii="Arial" w:hAnsi="Arial" w:cs="Arial"/>
          <w:i/>
          <w:color w:val="3053A1"/>
          <w:sz w:val="20"/>
          <w:szCs w:val="20"/>
          <w:lang w:val="cs-CZ"/>
        </w:rPr>
        <w:t>Největší část z této plánované sumy hodláme investovat do</w:t>
      </w:r>
      <w:r w:rsidR="00E13A9C" w:rsidRPr="00676013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  <w:r w:rsidR="00111C73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rozšíření výroby </w:t>
      </w:r>
      <w:r w:rsidR="002A1197">
        <w:rPr>
          <w:rFonts w:ascii="Arial" w:hAnsi="Arial" w:cs="Arial"/>
          <w:i/>
          <w:color w:val="3053A1"/>
          <w:sz w:val="20"/>
          <w:szCs w:val="20"/>
          <w:lang w:val="cs-CZ"/>
        </w:rPr>
        <w:t>závodu</w:t>
      </w:r>
      <w:r w:rsidR="00111C73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Adfors </w:t>
      </w:r>
      <w:r w:rsidR="002A1197">
        <w:rPr>
          <w:rFonts w:ascii="Arial" w:hAnsi="Arial" w:cs="Arial"/>
          <w:i/>
          <w:color w:val="3053A1"/>
          <w:sz w:val="20"/>
          <w:szCs w:val="20"/>
          <w:lang w:val="cs-CZ"/>
        </w:rPr>
        <w:t>v Litomyšli, kde vyrábíme technické textilie ze skelného vlákna</w:t>
      </w:r>
      <w:r w:rsidR="00A52F7E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u</w:t>
      </w:r>
      <w:r w:rsidR="00590C25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rčené pro stavebnictví a </w:t>
      </w:r>
      <w:r w:rsidR="00A52F7E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další </w:t>
      </w:r>
      <w:r w:rsidR="00590C25">
        <w:rPr>
          <w:rFonts w:ascii="Arial" w:hAnsi="Arial" w:cs="Arial"/>
          <w:i/>
          <w:color w:val="3053A1"/>
          <w:sz w:val="20"/>
          <w:szCs w:val="20"/>
          <w:lang w:val="cs-CZ"/>
        </w:rPr>
        <w:t>průmysl</w:t>
      </w:r>
      <w:r w:rsidR="00A52F7E">
        <w:rPr>
          <w:rFonts w:ascii="Arial" w:hAnsi="Arial" w:cs="Arial"/>
          <w:i/>
          <w:color w:val="3053A1"/>
          <w:sz w:val="20"/>
          <w:szCs w:val="20"/>
          <w:lang w:val="cs-CZ"/>
        </w:rPr>
        <w:t>ové obory.“</w:t>
      </w:r>
      <w:r w:rsidR="002A1197">
        <w:rPr>
          <w:rFonts w:ascii="Arial" w:hAnsi="Arial" w:cs="Arial"/>
          <w:i/>
          <w:color w:val="3053A1"/>
          <w:sz w:val="20"/>
          <w:szCs w:val="20"/>
          <w:lang w:val="cs-CZ"/>
        </w:rPr>
        <w:t xml:space="preserve"> </w:t>
      </w:r>
    </w:p>
    <w:p w:rsidR="007A6D92" w:rsidRPr="00DA3FAD" w:rsidRDefault="00E13A9C" w:rsidP="00EE1E84">
      <w:pPr>
        <w:spacing w:after="160" w:line="252" w:lineRule="auto"/>
        <w:jc w:val="both"/>
        <w:rPr>
          <w:rFonts w:ascii="Arial" w:eastAsia="Times New Roman" w:hAnsi="Arial" w:cs="Arial"/>
          <w:b/>
          <w:color w:val="3053A1"/>
          <w:sz w:val="28"/>
          <w:szCs w:val="20"/>
          <w:lang w:val="cs-CZ"/>
        </w:rPr>
      </w:pPr>
      <w:r>
        <w:rPr>
          <w:rFonts w:ascii="Arial" w:hAnsi="Arial" w:cs="Arial"/>
          <w:color w:val="3053A1"/>
          <w:sz w:val="20"/>
          <w:szCs w:val="20"/>
          <w:lang w:val="cs-CZ"/>
        </w:rPr>
        <w:lastRenderedPageBreak/>
        <w:t xml:space="preserve"> </w:t>
      </w:r>
      <w:r w:rsidR="007A6D92" w:rsidRPr="00DA3FAD">
        <w:rPr>
          <w:rFonts w:ascii="Arial" w:eastAsia="Times New Roman" w:hAnsi="Arial" w:cs="Arial"/>
          <w:b/>
          <w:color w:val="3053A1"/>
          <w:sz w:val="28"/>
          <w:szCs w:val="20"/>
          <w:lang w:val="cs-CZ"/>
        </w:rPr>
        <w:t>O společnosti Saint-Gobain</w:t>
      </w:r>
    </w:p>
    <w:p w:rsidR="007A6D92" w:rsidRPr="00CC6392" w:rsidRDefault="007A6D92" w:rsidP="007A6D92">
      <w:pPr>
        <w:spacing w:after="160" w:line="252" w:lineRule="auto"/>
        <w:jc w:val="both"/>
        <w:rPr>
          <w:rFonts w:ascii="Arial" w:eastAsia="Times New Roman" w:hAnsi="Arial" w:cs="Arial"/>
          <w:color w:val="3053A1"/>
          <w:sz w:val="20"/>
          <w:szCs w:val="20"/>
          <w:lang w:val="cs-CZ"/>
        </w:rPr>
      </w:pP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V České republice působí skupina Saint-Gobain již od roku 1992. Aktuálně do ní patří </w:t>
      </w:r>
      <w:r w:rsidR="00EE1E84">
        <w:rPr>
          <w:rFonts w:ascii="Arial" w:eastAsia="Times New Roman" w:hAnsi="Arial" w:cs="Arial"/>
          <w:color w:val="3053A1"/>
          <w:sz w:val="20"/>
          <w:szCs w:val="20"/>
          <w:lang w:val="cs-CZ"/>
        </w:rPr>
        <w:t>6</w:t>
      </w: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společností, spravujících 14 výrobních závodů, </w:t>
      </w:r>
      <w:r w:rsidR="00EE1E84">
        <w:rPr>
          <w:rFonts w:ascii="Arial" w:eastAsia="Times New Roman" w:hAnsi="Arial" w:cs="Arial"/>
          <w:color w:val="3053A1"/>
          <w:sz w:val="20"/>
          <w:szCs w:val="20"/>
          <w:lang w:val="cs-CZ"/>
        </w:rPr>
        <w:t>9 značek a téměř 3 6</w:t>
      </w: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>00 zaměstnanců. Její roční obrat přesahuje 16 mld. Kč.</w:t>
      </w:r>
    </w:p>
    <w:p w:rsidR="007A6D92" w:rsidRDefault="007A6D92" w:rsidP="007A6D92">
      <w:pPr>
        <w:spacing w:line="252" w:lineRule="auto"/>
        <w:jc w:val="both"/>
        <w:rPr>
          <w:rFonts w:ascii="Arial" w:eastAsia="Times New Roman" w:hAnsi="Arial" w:cs="Arial"/>
          <w:color w:val="3053A1"/>
          <w:sz w:val="20"/>
          <w:szCs w:val="20"/>
          <w:lang w:val="cs-CZ"/>
        </w:rPr>
      </w:pP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Společnost Saint-Gobain staví na svých zkušenostech a inovativních schopnostech. Je světovou špičkou v oblasti </w:t>
      </w:r>
      <w:r w:rsidR="00772C58">
        <w:rPr>
          <w:rFonts w:ascii="Arial" w:eastAsia="Times New Roman" w:hAnsi="Arial" w:cs="Arial"/>
          <w:color w:val="3053A1"/>
          <w:sz w:val="20"/>
          <w:szCs w:val="20"/>
          <w:lang w:val="cs-CZ"/>
        </w:rPr>
        <w:t>udržitelného bydlení</w:t>
      </w: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i na stavebním trhu, navrhuje, vyrábí a distribuuje vysoce funkční</w:t>
      </w:r>
      <w:r w:rsidR="00772C58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inovativní</w:t>
      </w: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</w:t>
      </w:r>
      <w:r w:rsidR="00772C58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výrobky a </w:t>
      </w: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stavební materiály. Poskytuje inovativní </w:t>
      </w:r>
      <w:r w:rsidR="00772C58">
        <w:rPr>
          <w:rFonts w:ascii="Arial" w:eastAsia="Times New Roman" w:hAnsi="Arial" w:cs="Arial"/>
          <w:color w:val="3053A1"/>
          <w:sz w:val="20"/>
          <w:szCs w:val="20"/>
          <w:lang w:val="cs-CZ"/>
        </w:rPr>
        <w:t>odpovědi</w:t>
      </w: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na otázky růstu, energetické účinnosti a ochrany životního prostředí. V roce 201</w:t>
      </w:r>
      <w:r w:rsidR="002672F7">
        <w:rPr>
          <w:rFonts w:ascii="Arial" w:eastAsia="Times New Roman" w:hAnsi="Arial" w:cs="Arial"/>
          <w:color w:val="3053A1"/>
          <w:sz w:val="20"/>
          <w:szCs w:val="20"/>
          <w:lang w:val="cs-CZ"/>
        </w:rPr>
        <w:t>5</w:t>
      </w: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dosáhla obratu 4</w:t>
      </w:r>
      <w:r w:rsidR="002672F7">
        <w:rPr>
          <w:rFonts w:ascii="Arial" w:eastAsia="Times New Roman" w:hAnsi="Arial" w:cs="Arial"/>
          <w:color w:val="3053A1"/>
          <w:sz w:val="20"/>
          <w:szCs w:val="20"/>
          <w:lang w:val="cs-CZ"/>
        </w:rPr>
        <w:t>0</w:t>
      </w: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mld. EUR, působí v 64 zemích a má téměř 190 000 zaměstnanců. </w:t>
      </w:r>
      <w:r w:rsidR="00BE59AF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V roce 2016 získala skupina Saint-Gobain</w:t>
      </w:r>
      <w:r w:rsidR="00111C73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v České republice i celosvětově </w:t>
      </w:r>
      <w:r w:rsidR="00BE59AF">
        <w:rPr>
          <w:rFonts w:ascii="Arial" w:eastAsia="Times New Roman" w:hAnsi="Arial" w:cs="Arial"/>
          <w:color w:val="3053A1"/>
          <w:sz w:val="20"/>
          <w:szCs w:val="20"/>
          <w:lang w:val="cs-CZ"/>
        </w:rPr>
        <w:t>prestižní certifikaci TOP EMPLOYER</w:t>
      </w:r>
      <w:r w:rsidR="00111C73">
        <w:rPr>
          <w:rFonts w:ascii="Arial" w:eastAsia="Times New Roman" w:hAnsi="Arial" w:cs="Arial"/>
          <w:color w:val="3053A1"/>
          <w:sz w:val="20"/>
          <w:szCs w:val="20"/>
          <w:lang w:val="cs-CZ"/>
        </w:rPr>
        <w:t>.</w:t>
      </w:r>
      <w:r w:rsidR="002A1197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</w:t>
      </w:r>
      <w:r w:rsidR="00111C73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</w:t>
      </w:r>
    </w:p>
    <w:p w:rsidR="00111C73" w:rsidRDefault="00111C73" w:rsidP="007A6D92">
      <w:pPr>
        <w:spacing w:line="252" w:lineRule="auto"/>
        <w:jc w:val="both"/>
        <w:rPr>
          <w:rFonts w:ascii="Arial" w:eastAsia="Times New Roman" w:hAnsi="Arial" w:cs="Arial"/>
          <w:color w:val="3053A1"/>
          <w:sz w:val="20"/>
          <w:szCs w:val="20"/>
          <w:lang w:val="cs-CZ"/>
        </w:rPr>
      </w:pPr>
    </w:p>
    <w:p w:rsidR="007A6D92" w:rsidRPr="00CC6392" w:rsidRDefault="007A6D92" w:rsidP="007A6D92">
      <w:pPr>
        <w:spacing w:line="252" w:lineRule="auto"/>
        <w:jc w:val="both"/>
        <w:rPr>
          <w:rFonts w:ascii="Arial" w:eastAsia="Times New Roman" w:hAnsi="Arial" w:cs="Arial"/>
          <w:color w:val="3053A1"/>
          <w:sz w:val="20"/>
          <w:szCs w:val="20"/>
          <w:lang w:val="cs-CZ"/>
        </w:rPr>
      </w:pP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Pro více informací o Saint-Gobain navštivte </w:t>
      </w:r>
      <w:hyperlink r:id="rId7" w:history="1">
        <w:r w:rsidRPr="00CC6392">
          <w:rPr>
            <w:rFonts w:ascii="Arial" w:eastAsia="Times New Roman" w:hAnsi="Arial" w:cs="Arial"/>
            <w:color w:val="3053A1"/>
            <w:sz w:val="20"/>
            <w:szCs w:val="20"/>
            <w:lang w:val="cs-CZ"/>
          </w:rPr>
          <w:t>www.saint-gobain.com</w:t>
        </w:r>
      </w:hyperlink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 xml:space="preserve"> a Twitter účet </w:t>
      </w:r>
      <w:hyperlink r:id="rId8" w:history="1">
        <w:r w:rsidRPr="00CC6392">
          <w:rPr>
            <w:rFonts w:ascii="Arial" w:eastAsia="Times New Roman" w:hAnsi="Arial" w:cs="Arial"/>
            <w:color w:val="3053A1"/>
            <w:sz w:val="20"/>
            <w:szCs w:val="20"/>
            <w:lang w:val="cs-CZ"/>
          </w:rPr>
          <w:t>@saintgobain.</w:t>
        </w:r>
      </w:hyperlink>
    </w:p>
    <w:p w:rsidR="007A6D92" w:rsidRPr="00CC6392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20"/>
          <w:szCs w:val="20"/>
          <w:lang w:val="cs-CZ"/>
        </w:rPr>
      </w:pPr>
    </w:p>
    <w:p w:rsidR="007A6D92" w:rsidRPr="00CC6392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20"/>
          <w:szCs w:val="20"/>
          <w:lang w:val="cs-CZ"/>
        </w:rPr>
      </w:pPr>
      <w:r w:rsidRPr="00CC6392">
        <w:rPr>
          <w:rFonts w:ascii="Arial" w:eastAsia="Times New Roman" w:hAnsi="Arial" w:cs="Arial"/>
          <w:color w:val="3053A1"/>
          <w:sz w:val="20"/>
          <w:szCs w:val="20"/>
          <w:lang w:val="cs-CZ"/>
        </w:rPr>
        <w:t>Kontaktní osoba:</w:t>
      </w:r>
    </w:p>
    <w:p w:rsidR="007A6D92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18"/>
          <w:szCs w:val="20"/>
          <w:lang w:val="cs-CZ"/>
        </w:rPr>
      </w:pPr>
    </w:p>
    <w:p w:rsidR="007A6D92" w:rsidRPr="00FA3EE5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18"/>
          <w:szCs w:val="20"/>
          <w:lang w:val="cs-CZ"/>
        </w:rPr>
      </w:pPr>
      <w:r w:rsidRPr="00FA3EE5">
        <w:rPr>
          <w:rFonts w:ascii="Arial" w:eastAsia="Times New Roman" w:hAnsi="Arial" w:cs="Arial"/>
          <w:color w:val="3053A1"/>
          <w:sz w:val="18"/>
          <w:szCs w:val="20"/>
          <w:lang w:val="cs-CZ"/>
        </w:rPr>
        <w:t>Ing. Jakub Benda</w:t>
      </w:r>
    </w:p>
    <w:p w:rsidR="007A6D92" w:rsidRPr="00FA3EE5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18"/>
          <w:szCs w:val="20"/>
          <w:lang w:val="cs-CZ"/>
        </w:rPr>
      </w:pPr>
      <w:r w:rsidRPr="00FA3EE5">
        <w:rPr>
          <w:rFonts w:ascii="Arial" w:eastAsia="Times New Roman" w:hAnsi="Arial" w:cs="Arial"/>
          <w:color w:val="3053A1"/>
          <w:sz w:val="18"/>
          <w:szCs w:val="20"/>
          <w:lang w:val="cs-CZ"/>
        </w:rPr>
        <w:t>Marketing and Communications</w:t>
      </w:r>
    </w:p>
    <w:p w:rsidR="007A6D92" w:rsidRPr="00FA3EE5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18"/>
          <w:szCs w:val="20"/>
          <w:lang w:val="cs-CZ"/>
        </w:rPr>
      </w:pPr>
      <w:r w:rsidRPr="00FA3EE5">
        <w:rPr>
          <w:rFonts w:ascii="Arial" w:eastAsia="Times New Roman" w:hAnsi="Arial" w:cs="Arial"/>
          <w:color w:val="3053A1"/>
          <w:sz w:val="18"/>
          <w:szCs w:val="20"/>
          <w:lang w:val="cs-CZ"/>
        </w:rPr>
        <w:t>Saint-Gobain</w:t>
      </w:r>
    </w:p>
    <w:p w:rsidR="007A6D92" w:rsidRPr="00FA3EE5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18"/>
          <w:szCs w:val="20"/>
          <w:lang w:val="cs-CZ"/>
        </w:rPr>
      </w:pPr>
      <w:r w:rsidRPr="00FA3EE5">
        <w:rPr>
          <w:rFonts w:ascii="Arial" w:eastAsia="Times New Roman" w:hAnsi="Arial" w:cs="Arial"/>
          <w:color w:val="3053A1"/>
          <w:sz w:val="18"/>
          <w:szCs w:val="20"/>
          <w:lang w:val="cs-CZ"/>
        </w:rPr>
        <w:t xml:space="preserve">Czech Republic and Slovakia </w:t>
      </w:r>
    </w:p>
    <w:p w:rsidR="007A6D92" w:rsidRPr="00FA3EE5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18"/>
          <w:szCs w:val="20"/>
          <w:lang w:val="cs-CZ"/>
        </w:rPr>
      </w:pPr>
      <w:r w:rsidRPr="00FA3EE5">
        <w:rPr>
          <w:rFonts w:ascii="Arial" w:eastAsia="Times New Roman" w:hAnsi="Arial" w:cs="Arial"/>
          <w:color w:val="3053A1"/>
          <w:sz w:val="18"/>
          <w:szCs w:val="20"/>
          <w:lang w:val="cs-CZ"/>
        </w:rPr>
        <w:t>----------------------------------</w:t>
      </w:r>
    </w:p>
    <w:p w:rsidR="007A6D92" w:rsidRPr="00FA3EE5" w:rsidRDefault="007A6D92" w:rsidP="007A6D92">
      <w:pPr>
        <w:spacing w:line="252" w:lineRule="auto"/>
        <w:rPr>
          <w:rFonts w:ascii="Arial" w:eastAsia="Times New Roman" w:hAnsi="Arial" w:cs="Arial"/>
          <w:color w:val="3053A1"/>
          <w:sz w:val="18"/>
          <w:szCs w:val="20"/>
          <w:lang w:val="cs-CZ"/>
        </w:rPr>
      </w:pPr>
      <w:r w:rsidRPr="00FA3EE5">
        <w:rPr>
          <w:rFonts w:ascii="Arial" w:eastAsia="Times New Roman" w:hAnsi="Arial" w:cs="Arial"/>
          <w:color w:val="3053A1"/>
          <w:sz w:val="18"/>
          <w:szCs w:val="20"/>
          <w:lang w:val="cs-CZ"/>
        </w:rPr>
        <w:t>Mobil 724 738 135</w:t>
      </w:r>
    </w:p>
    <w:p w:rsidR="002B5B5B" w:rsidRPr="00CC6392" w:rsidRDefault="007A6D92" w:rsidP="00F50166">
      <w:pPr>
        <w:spacing w:line="252" w:lineRule="auto"/>
        <w:rPr>
          <w:lang w:val="cs-CZ" w:eastAsia="en-US"/>
        </w:rPr>
      </w:pPr>
      <w:r w:rsidRPr="00FA3EE5">
        <w:rPr>
          <w:rFonts w:ascii="Arial" w:eastAsia="Times New Roman" w:hAnsi="Arial" w:cs="Arial"/>
          <w:color w:val="3053A1"/>
          <w:sz w:val="18"/>
          <w:szCs w:val="20"/>
          <w:lang w:val="cs-CZ"/>
        </w:rPr>
        <w:t>E-mail: jakub.benda@saint-gobain.com</w:t>
      </w:r>
    </w:p>
    <w:sectPr w:rsidR="002B5B5B" w:rsidRPr="00CC6392" w:rsidSect="004C7B8C">
      <w:headerReference w:type="default" r:id="rId9"/>
      <w:footerReference w:type="even" r:id="rId10"/>
      <w:footerReference w:type="default" r:id="rId11"/>
      <w:pgSz w:w="11900" w:h="16840"/>
      <w:pgMar w:top="269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150" w:rsidRDefault="00076150" w:rsidP="00EC2DC0">
      <w:r>
        <w:separator/>
      </w:r>
    </w:p>
  </w:endnote>
  <w:endnote w:type="continuationSeparator" w:id="0">
    <w:p w:rsidR="00076150" w:rsidRDefault="00076150" w:rsidP="00EC2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82E" w:rsidRDefault="00FB582E" w:rsidP="00B425E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B582E" w:rsidRDefault="00FB582E" w:rsidP="00EC2DC0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82E" w:rsidRPr="00DE16A5" w:rsidRDefault="00FB582E" w:rsidP="00B425EB">
    <w:pPr>
      <w:pStyle w:val="Zpat"/>
      <w:framePr w:wrap="around" w:vAnchor="text" w:hAnchor="margin" w:xAlign="right" w:y="1"/>
      <w:rPr>
        <w:rStyle w:val="slostrnky"/>
        <w:rFonts w:ascii="Arial" w:hAnsi="Arial" w:cs="Arial"/>
        <w:color w:val="7F7F7F" w:themeColor="text1" w:themeTint="80"/>
        <w:sz w:val="20"/>
        <w:szCs w:val="20"/>
      </w:rPr>
    </w:pPr>
    <w:r w:rsidRPr="00DE16A5">
      <w:rPr>
        <w:rStyle w:val="slostrnky"/>
        <w:rFonts w:ascii="Arial" w:hAnsi="Arial" w:cs="Arial"/>
        <w:color w:val="7F7F7F" w:themeColor="text1" w:themeTint="80"/>
        <w:sz w:val="20"/>
        <w:szCs w:val="20"/>
      </w:rPr>
      <w:fldChar w:fldCharType="begin"/>
    </w:r>
    <w:r w:rsidRPr="00DE16A5">
      <w:rPr>
        <w:rStyle w:val="slostrnky"/>
        <w:rFonts w:ascii="Arial" w:hAnsi="Arial" w:cs="Arial"/>
        <w:color w:val="7F7F7F" w:themeColor="text1" w:themeTint="80"/>
        <w:sz w:val="20"/>
        <w:szCs w:val="20"/>
      </w:rPr>
      <w:instrText xml:space="preserve">PAGE  </w:instrText>
    </w:r>
    <w:r w:rsidRPr="00DE16A5">
      <w:rPr>
        <w:rStyle w:val="slostrnky"/>
        <w:rFonts w:ascii="Arial" w:hAnsi="Arial" w:cs="Arial"/>
        <w:color w:val="7F7F7F" w:themeColor="text1" w:themeTint="80"/>
        <w:sz w:val="20"/>
        <w:szCs w:val="20"/>
      </w:rPr>
      <w:fldChar w:fldCharType="separate"/>
    </w:r>
    <w:r w:rsidR="007E68F0">
      <w:rPr>
        <w:rStyle w:val="slostrnky"/>
        <w:rFonts w:ascii="Arial" w:hAnsi="Arial" w:cs="Arial"/>
        <w:noProof/>
        <w:color w:val="7F7F7F" w:themeColor="text1" w:themeTint="80"/>
        <w:sz w:val="20"/>
        <w:szCs w:val="20"/>
      </w:rPr>
      <w:t>1</w:t>
    </w:r>
    <w:r w:rsidRPr="00DE16A5">
      <w:rPr>
        <w:rStyle w:val="slostrnky"/>
        <w:rFonts w:ascii="Arial" w:hAnsi="Arial" w:cs="Arial"/>
        <w:color w:val="7F7F7F" w:themeColor="text1" w:themeTint="80"/>
        <w:sz w:val="20"/>
        <w:szCs w:val="20"/>
      </w:rPr>
      <w:fldChar w:fldCharType="end"/>
    </w:r>
  </w:p>
  <w:p w:rsidR="00FB582E" w:rsidRDefault="00FB582E" w:rsidP="00C93E81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150" w:rsidRDefault="00076150" w:rsidP="00EC2DC0">
      <w:r>
        <w:separator/>
      </w:r>
    </w:p>
  </w:footnote>
  <w:footnote w:type="continuationSeparator" w:id="0">
    <w:p w:rsidR="00076150" w:rsidRDefault="00076150" w:rsidP="00EC2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82E" w:rsidRDefault="00FB582E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36ACC8C9" wp14:editId="1D9F9420">
          <wp:simplePos x="0" y="0"/>
          <wp:positionH relativeFrom="column">
            <wp:posOffset>-902031</wp:posOffset>
          </wp:positionH>
          <wp:positionV relativeFrom="paragraph">
            <wp:posOffset>-306705</wp:posOffset>
          </wp:positionV>
          <wp:extent cx="7579210" cy="1366575"/>
          <wp:effectExtent l="0" t="0" r="3175" b="5080"/>
          <wp:wrapNone/>
          <wp:docPr id="23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TIERE event ok vf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254"/>
                  <a:stretch/>
                </pic:blipFill>
                <pic:spPr bwMode="auto">
                  <a:xfrm>
                    <a:off x="0" y="0"/>
                    <a:ext cx="7579210" cy="1366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F3D39"/>
    <w:multiLevelType w:val="hybridMultilevel"/>
    <w:tmpl w:val="E5E2D11E"/>
    <w:lvl w:ilvl="0" w:tplc="0672B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D003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6BB"/>
    <w:multiLevelType w:val="hybridMultilevel"/>
    <w:tmpl w:val="8C401E12"/>
    <w:lvl w:ilvl="0" w:tplc="1472A656">
      <w:start w:val="350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color w:val="CD0034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E02996"/>
    <w:multiLevelType w:val="hybridMultilevel"/>
    <w:tmpl w:val="E370EBE8"/>
    <w:lvl w:ilvl="0" w:tplc="D4DEC2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D003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E023E"/>
    <w:multiLevelType w:val="hybridMultilevel"/>
    <w:tmpl w:val="7F4C0B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C50B6"/>
    <w:multiLevelType w:val="hybridMultilevel"/>
    <w:tmpl w:val="AF386CD4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D1BD1"/>
    <w:multiLevelType w:val="hybridMultilevel"/>
    <w:tmpl w:val="5F8CDF96"/>
    <w:lvl w:ilvl="0" w:tplc="F98612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13E8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21D9E"/>
    <w:multiLevelType w:val="hybridMultilevel"/>
    <w:tmpl w:val="D85AB7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1A93"/>
    <w:multiLevelType w:val="hybridMultilevel"/>
    <w:tmpl w:val="70CA82DA"/>
    <w:lvl w:ilvl="0" w:tplc="440254DA">
      <w:start w:val="350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color w:val="CD003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1A6147"/>
    <w:multiLevelType w:val="hybridMultilevel"/>
    <w:tmpl w:val="4356B8AE"/>
    <w:lvl w:ilvl="0" w:tplc="CFA805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E9C9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31620C"/>
    <w:multiLevelType w:val="hybridMultilevel"/>
    <w:tmpl w:val="6D8CEC2E"/>
    <w:lvl w:ilvl="0" w:tplc="FAECE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26F2E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E5608E"/>
    <w:multiLevelType w:val="hybridMultilevel"/>
    <w:tmpl w:val="6B9A61C6"/>
    <w:lvl w:ilvl="0" w:tplc="6DCA5C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D9251C"/>
    <w:multiLevelType w:val="hybridMultilevel"/>
    <w:tmpl w:val="CAF6D03C"/>
    <w:lvl w:ilvl="0" w:tplc="57B66F06">
      <w:start w:val="350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color w:val="CD003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41733"/>
    <w:multiLevelType w:val="hybridMultilevel"/>
    <w:tmpl w:val="87683790"/>
    <w:lvl w:ilvl="0" w:tplc="FAECE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26F2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A685D"/>
    <w:multiLevelType w:val="hybridMultilevel"/>
    <w:tmpl w:val="17124F26"/>
    <w:lvl w:ilvl="0" w:tplc="CFA805B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3E9C94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8D145E9"/>
    <w:multiLevelType w:val="hybridMultilevel"/>
    <w:tmpl w:val="30241ED2"/>
    <w:lvl w:ilvl="0" w:tplc="AD900E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6921F5"/>
    <w:multiLevelType w:val="hybridMultilevel"/>
    <w:tmpl w:val="ADF6494C"/>
    <w:lvl w:ilvl="0" w:tplc="3B3CC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778B3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CB43E0"/>
    <w:multiLevelType w:val="hybridMultilevel"/>
    <w:tmpl w:val="03B0E4C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339C8"/>
    <w:multiLevelType w:val="hybridMultilevel"/>
    <w:tmpl w:val="B7DC06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FA2EEC"/>
    <w:multiLevelType w:val="hybridMultilevel"/>
    <w:tmpl w:val="8256C2A6"/>
    <w:lvl w:ilvl="0" w:tplc="D998426A">
      <w:start w:val="350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color w:val="CD0034"/>
      </w:rPr>
    </w:lvl>
    <w:lvl w:ilvl="1" w:tplc="040C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19" w15:restartNumberingAfterBreak="0">
    <w:nsid w:val="5D880041"/>
    <w:multiLevelType w:val="hybridMultilevel"/>
    <w:tmpl w:val="D9181020"/>
    <w:lvl w:ilvl="0" w:tplc="3B3CC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778B3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DB4D3C"/>
    <w:multiLevelType w:val="hybridMultilevel"/>
    <w:tmpl w:val="67B2B7B0"/>
    <w:lvl w:ilvl="0" w:tplc="CFA805B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3E9C94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6156F12"/>
    <w:multiLevelType w:val="hybridMultilevel"/>
    <w:tmpl w:val="2CA288F8"/>
    <w:lvl w:ilvl="0" w:tplc="076E5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26F2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C832BA"/>
    <w:multiLevelType w:val="hybridMultilevel"/>
    <w:tmpl w:val="2CDA2590"/>
    <w:lvl w:ilvl="0" w:tplc="57B66F06">
      <w:start w:val="350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color w:val="CD003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567E79"/>
    <w:multiLevelType w:val="hybridMultilevel"/>
    <w:tmpl w:val="DD0E04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972509"/>
    <w:multiLevelType w:val="hybridMultilevel"/>
    <w:tmpl w:val="1720AF7A"/>
    <w:lvl w:ilvl="0" w:tplc="8402B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26F2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AE4D71"/>
    <w:multiLevelType w:val="hybridMultilevel"/>
    <w:tmpl w:val="596E3986"/>
    <w:lvl w:ilvl="0" w:tplc="3B3CC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778B3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287E24"/>
    <w:multiLevelType w:val="hybridMultilevel"/>
    <w:tmpl w:val="002AC1E8"/>
    <w:lvl w:ilvl="0" w:tplc="94ECAD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D003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9F4D75"/>
    <w:multiLevelType w:val="hybridMultilevel"/>
    <w:tmpl w:val="986E4010"/>
    <w:lvl w:ilvl="0" w:tplc="FAECE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26F2E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16"/>
  </w:num>
  <w:num w:numId="4">
    <w:abstractNumId w:val="17"/>
  </w:num>
  <w:num w:numId="5">
    <w:abstractNumId w:val="4"/>
  </w:num>
  <w:num w:numId="6">
    <w:abstractNumId w:val="9"/>
  </w:num>
  <w:num w:numId="7">
    <w:abstractNumId w:val="27"/>
  </w:num>
  <w:num w:numId="8">
    <w:abstractNumId w:val="18"/>
  </w:num>
  <w:num w:numId="9">
    <w:abstractNumId w:val="26"/>
  </w:num>
  <w:num w:numId="10">
    <w:abstractNumId w:val="0"/>
  </w:num>
  <w:num w:numId="11">
    <w:abstractNumId w:val="22"/>
  </w:num>
  <w:num w:numId="12">
    <w:abstractNumId w:val="11"/>
  </w:num>
  <w:num w:numId="13">
    <w:abstractNumId w:val="1"/>
  </w:num>
  <w:num w:numId="14">
    <w:abstractNumId w:val="24"/>
  </w:num>
  <w:num w:numId="15">
    <w:abstractNumId w:val="12"/>
  </w:num>
  <w:num w:numId="16">
    <w:abstractNumId w:val="21"/>
  </w:num>
  <w:num w:numId="17">
    <w:abstractNumId w:val="8"/>
  </w:num>
  <w:num w:numId="18">
    <w:abstractNumId w:val="13"/>
  </w:num>
  <w:num w:numId="19">
    <w:abstractNumId w:val="20"/>
  </w:num>
  <w:num w:numId="20">
    <w:abstractNumId w:val="15"/>
  </w:num>
  <w:num w:numId="21">
    <w:abstractNumId w:val="19"/>
  </w:num>
  <w:num w:numId="22">
    <w:abstractNumId w:val="25"/>
  </w:num>
  <w:num w:numId="23">
    <w:abstractNumId w:val="14"/>
  </w:num>
  <w:num w:numId="24">
    <w:abstractNumId w:val="5"/>
  </w:num>
  <w:num w:numId="25">
    <w:abstractNumId w:val="2"/>
  </w:num>
  <w:num w:numId="26">
    <w:abstractNumId w:val="7"/>
  </w:num>
  <w:num w:numId="27">
    <w:abstractNumId w:val="6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EBC"/>
    <w:rsid w:val="000013DE"/>
    <w:rsid w:val="00044525"/>
    <w:rsid w:val="0004624A"/>
    <w:rsid w:val="000618EB"/>
    <w:rsid w:val="000667A1"/>
    <w:rsid w:val="00071AEB"/>
    <w:rsid w:val="00076150"/>
    <w:rsid w:val="00077445"/>
    <w:rsid w:val="0009086C"/>
    <w:rsid w:val="00091BEF"/>
    <w:rsid w:val="000977AC"/>
    <w:rsid w:val="00097DB4"/>
    <w:rsid w:val="000A2A67"/>
    <w:rsid w:val="000A7C1C"/>
    <w:rsid w:val="000B5D6D"/>
    <w:rsid w:val="000B60BE"/>
    <w:rsid w:val="000C513A"/>
    <w:rsid w:val="000E0336"/>
    <w:rsid w:val="000E0B41"/>
    <w:rsid w:val="000E50BD"/>
    <w:rsid w:val="000E718D"/>
    <w:rsid w:val="00105D2D"/>
    <w:rsid w:val="00110E34"/>
    <w:rsid w:val="00111C73"/>
    <w:rsid w:val="00136A78"/>
    <w:rsid w:val="00141161"/>
    <w:rsid w:val="00146820"/>
    <w:rsid w:val="00146D68"/>
    <w:rsid w:val="0016299F"/>
    <w:rsid w:val="0017077D"/>
    <w:rsid w:val="00170A3A"/>
    <w:rsid w:val="00174F31"/>
    <w:rsid w:val="00180DB7"/>
    <w:rsid w:val="00193192"/>
    <w:rsid w:val="00195F5F"/>
    <w:rsid w:val="001A7511"/>
    <w:rsid w:val="001C2BFB"/>
    <w:rsid w:val="001D0C9D"/>
    <w:rsid w:val="001F282A"/>
    <w:rsid w:val="00206846"/>
    <w:rsid w:val="00207704"/>
    <w:rsid w:val="00215706"/>
    <w:rsid w:val="00222680"/>
    <w:rsid w:val="00224157"/>
    <w:rsid w:val="00226A32"/>
    <w:rsid w:val="0023184A"/>
    <w:rsid w:val="00247AC0"/>
    <w:rsid w:val="0025302E"/>
    <w:rsid w:val="0025501B"/>
    <w:rsid w:val="002616AB"/>
    <w:rsid w:val="002672F7"/>
    <w:rsid w:val="00271064"/>
    <w:rsid w:val="00284E60"/>
    <w:rsid w:val="0028796D"/>
    <w:rsid w:val="002A1197"/>
    <w:rsid w:val="002B5B5B"/>
    <w:rsid w:val="002D2A74"/>
    <w:rsid w:val="002D709B"/>
    <w:rsid w:val="002E1F4E"/>
    <w:rsid w:val="002E4A00"/>
    <w:rsid w:val="002F5989"/>
    <w:rsid w:val="002F68FE"/>
    <w:rsid w:val="003048E5"/>
    <w:rsid w:val="00304D2D"/>
    <w:rsid w:val="00305ADF"/>
    <w:rsid w:val="003127DE"/>
    <w:rsid w:val="00316C2C"/>
    <w:rsid w:val="003370DD"/>
    <w:rsid w:val="00356B22"/>
    <w:rsid w:val="0036111E"/>
    <w:rsid w:val="00362B3D"/>
    <w:rsid w:val="003B6DC0"/>
    <w:rsid w:val="003C03A9"/>
    <w:rsid w:val="003D5210"/>
    <w:rsid w:val="003E02D8"/>
    <w:rsid w:val="003E6FEB"/>
    <w:rsid w:val="003F25AD"/>
    <w:rsid w:val="004036E0"/>
    <w:rsid w:val="00403C06"/>
    <w:rsid w:val="00404B56"/>
    <w:rsid w:val="00411E55"/>
    <w:rsid w:val="00413591"/>
    <w:rsid w:val="004238D6"/>
    <w:rsid w:val="00432083"/>
    <w:rsid w:val="00436543"/>
    <w:rsid w:val="00446F19"/>
    <w:rsid w:val="00450912"/>
    <w:rsid w:val="00467ABE"/>
    <w:rsid w:val="0048195E"/>
    <w:rsid w:val="00483F3C"/>
    <w:rsid w:val="00497B94"/>
    <w:rsid w:val="004A364B"/>
    <w:rsid w:val="004A70E7"/>
    <w:rsid w:val="004B33B9"/>
    <w:rsid w:val="004B457D"/>
    <w:rsid w:val="004C1637"/>
    <w:rsid w:val="004C5C88"/>
    <w:rsid w:val="004C776A"/>
    <w:rsid w:val="004C7B8C"/>
    <w:rsid w:val="004E241D"/>
    <w:rsid w:val="004F34FF"/>
    <w:rsid w:val="004F496D"/>
    <w:rsid w:val="005001B6"/>
    <w:rsid w:val="00504328"/>
    <w:rsid w:val="005045CF"/>
    <w:rsid w:val="00515D13"/>
    <w:rsid w:val="00532FE1"/>
    <w:rsid w:val="00534691"/>
    <w:rsid w:val="00552B3C"/>
    <w:rsid w:val="00557408"/>
    <w:rsid w:val="005617FF"/>
    <w:rsid w:val="00576446"/>
    <w:rsid w:val="00590C25"/>
    <w:rsid w:val="005C36E7"/>
    <w:rsid w:val="005D7112"/>
    <w:rsid w:val="005D74D1"/>
    <w:rsid w:val="00604424"/>
    <w:rsid w:val="00605FC9"/>
    <w:rsid w:val="0061698B"/>
    <w:rsid w:val="0061779A"/>
    <w:rsid w:val="00620923"/>
    <w:rsid w:val="006259A0"/>
    <w:rsid w:val="00633EC9"/>
    <w:rsid w:val="00642F5A"/>
    <w:rsid w:val="00643899"/>
    <w:rsid w:val="00660550"/>
    <w:rsid w:val="006648F8"/>
    <w:rsid w:val="00666287"/>
    <w:rsid w:val="00666742"/>
    <w:rsid w:val="00673623"/>
    <w:rsid w:val="00676013"/>
    <w:rsid w:val="006838F7"/>
    <w:rsid w:val="00683D4C"/>
    <w:rsid w:val="00691620"/>
    <w:rsid w:val="006A0FE1"/>
    <w:rsid w:val="006A4345"/>
    <w:rsid w:val="006B267E"/>
    <w:rsid w:val="006B3363"/>
    <w:rsid w:val="006C2EBC"/>
    <w:rsid w:val="006C4DFA"/>
    <w:rsid w:val="006C63FB"/>
    <w:rsid w:val="006D69AD"/>
    <w:rsid w:val="006E0EF4"/>
    <w:rsid w:val="0070190A"/>
    <w:rsid w:val="00702681"/>
    <w:rsid w:val="007047E0"/>
    <w:rsid w:val="00716573"/>
    <w:rsid w:val="00721683"/>
    <w:rsid w:val="0072485F"/>
    <w:rsid w:val="007309B3"/>
    <w:rsid w:val="00734E83"/>
    <w:rsid w:val="007505DD"/>
    <w:rsid w:val="0076013F"/>
    <w:rsid w:val="00771D52"/>
    <w:rsid w:val="00772C58"/>
    <w:rsid w:val="007766FD"/>
    <w:rsid w:val="00790644"/>
    <w:rsid w:val="0079454C"/>
    <w:rsid w:val="007972A1"/>
    <w:rsid w:val="007A6D92"/>
    <w:rsid w:val="007D6F2E"/>
    <w:rsid w:val="007E68F0"/>
    <w:rsid w:val="007F635D"/>
    <w:rsid w:val="0080062E"/>
    <w:rsid w:val="00807D23"/>
    <w:rsid w:val="00813044"/>
    <w:rsid w:val="00825726"/>
    <w:rsid w:val="00827606"/>
    <w:rsid w:val="0083006B"/>
    <w:rsid w:val="00834825"/>
    <w:rsid w:val="00836BE4"/>
    <w:rsid w:val="00854A6B"/>
    <w:rsid w:val="008611EC"/>
    <w:rsid w:val="00862828"/>
    <w:rsid w:val="0089681F"/>
    <w:rsid w:val="00897139"/>
    <w:rsid w:val="008D2C64"/>
    <w:rsid w:val="008D44E4"/>
    <w:rsid w:val="008E1010"/>
    <w:rsid w:val="008F514E"/>
    <w:rsid w:val="008F673B"/>
    <w:rsid w:val="0091458A"/>
    <w:rsid w:val="00922CD4"/>
    <w:rsid w:val="00940F26"/>
    <w:rsid w:val="00953B31"/>
    <w:rsid w:val="009564BF"/>
    <w:rsid w:val="00960B6F"/>
    <w:rsid w:val="00963075"/>
    <w:rsid w:val="009643B0"/>
    <w:rsid w:val="00971E9B"/>
    <w:rsid w:val="00987BC8"/>
    <w:rsid w:val="00987DEF"/>
    <w:rsid w:val="00991148"/>
    <w:rsid w:val="00992DE0"/>
    <w:rsid w:val="009A116D"/>
    <w:rsid w:val="009A68FD"/>
    <w:rsid w:val="009B5A4F"/>
    <w:rsid w:val="009D2F3F"/>
    <w:rsid w:val="009D499B"/>
    <w:rsid w:val="009E4C60"/>
    <w:rsid w:val="009F0DFF"/>
    <w:rsid w:val="009F2D62"/>
    <w:rsid w:val="00A02EDF"/>
    <w:rsid w:val="00A110A6"/>
    <w:rsid w:val="00A22A4C"/>
    <w:rsid w:val="00A232F1"/>
    <w:rsid w:val="00A26D93"/>
    <w:rsid w:val="00A30B88"/>
    <w:rsid w:val="00A40FED"/>
    <w:rsid w:val="00A46349"/>
    <w:rsid w:val="00A46838"/>
    <w:rsid w:val="00A52F7E"/>
    <w:rsid w:val="00A54F10"/>
    <w:rsid w:val="00A6245C"/>
    <w:rsid w:val="00A64D19"/>
    <w:rsid w:val="00A64FB6"/>
    <w:rsid w:val="00A668F0"/>
    <w:rsid w:val="00A6728B"/>
    <w:rsid w:val="00A72556"/>
    <w:rsid w:val="00A83D57"/>
    <w:rsid w:val="00A906F0"/>
    <w:rsid w:val="00A95483"/>
    <w:rsid w:val="00A97AAE"/>
    <w:rsid w:val="00AA1A6E"/>
    <w:rsid w:val="00AA5159"/>
    <w:rsid w:val="00AA6573"/>
    <w:rsid w:val="00AB4AA2"/>
    <w:rsid w:val="00AB4C6B"/>
    <w:rsid w:val="00AB7961"/>
    <w:rsid w:val="00AC0A81"/>
    <w:rsid w:val="00AC346A"/>
    <w:rsid w:val="00AD6E12"/>
    <w:rsid w:val="00AE0D9F"/>
    <w:rsid w:val="00AF453A"/>
    <w:rsid w:val="00B06CD3"/>
    <w:rsid w:val="00B14463"/>
    <w:rsid w:val="00B2666D"/>
    <w:rsid w:val="00B27F69"/>
    <w:rsid w:val="00B32A27"/>
    <w:rsid w:val="00B333C4"/>
    <w:rsid w:val="00B34524"/>
    <w:rsid w:val="00B3631D"/>
    <w:rsid w:val="00B425EB"/>
    <w:rsid w:val="00B57F19"/>
    <w:rsid w:val="00B70684"/>
    <w:rsid w:val="00B77505"/>
    <w:rsid w:val="00B83FD9"/>
    <w:rsid w:val="00B91793"/>
    <w:rsid w:val="00B92B17"/>
    <w:rsid w:val="00B96DE0"/>
    <w:rsid w:val="00BA294D"/>
    <w:rsid w:val="00BB5DD1"/>
    <w:rsid w:val="00BC1990"/>
    <w:rsid w:val="00BD0BF7"/>
    <w:rsid w:val="00BD1627"/>
    <w:rsid w:val="00BD1968"/>
    <w:rsid w:val="00BD48D7"/>
    <w:rsid w:val="00BE59AF"/>
    <w:rsid w:val="00C01F3B"/>
    <w:rsid w:val="00C07610"/>
    <w:rsid w:val="00C139C7"/>
    <w:rsid w:val="00C17C58"/>
    <w:rsid w:val="00C26521"/>
    <w:rsid w:val="00C27984"/>
    <w:rsid w:val="00C370CD"/>
    <w:rsid w:val="00C41C13"/>
    <w:rsid w:val="00C4213C"/>
    <w:rsid w:val="00C52C44"/>
    <w:rsid w:val="00C62CED"/>
    <w:rsid w:val="00C67BC4"/>
    <w:rsid w:val="00C751E7"/>
    <w:rsid w:val="00C84F41"/>
    <w:rsid w:val="00C863EB"/>
    <w:rsid w:val="00C93894"/>
    <w:rsid w:val="00C93E81"/>
    <w:rsid w:val="00CC6392"/>
    <w:rsid w:val="00CD48E9"/>
    <w:rsid w:val="00CE17FB"/>
    <w:rsid w:val="00CE5AFD"/>
    <w:rsid w:val="00CE78EA"/>
    <w:rsid w:val="00D015E6"/>
    <w:rsid w:val="00D02718"/>
    <w:rsid w:val="00D04359"/>
    <w:rsid w:val="00D13C8D"/>
    <w:rsid w:val="00D1461A"/>
    <w:rsid w:val="00D15D02"/>
    <w:rsid w:val="00D327DE"/>
    <w:rsid w:val="00D438D6"/>
    <w:rsid w:val="00D51AF0"/>
    <w:rsid w:val="00D53A85"/>
    <w:rsid w:val="00D54416"/>
    <w:rsid w:val="00D63DBD"/>
    <w:rsid w:val="00D76038"/>
    <w:rsid w:val="00D810C9"/>
    <w:rsid w:val="00D83269"/>
    <w:rsid w:val="00D8417D"/>
    <w:rsid w:val="00DA3FAD"/>
    <w:rsid w:val="00DA77E9"/>
    <w:rsid w:val="00DB1282"/>
    <w:rsid w:val="00DB2832"/>
    <w:rsid w:val="00DB53B3"/>
    <w:rsid w:val="00DC48F8"/>
    <w:rsid w:val="00DD6ADD"/>
    <w:rsid w:val="00DE16A5"/>
    <w:rsid w:val="00E0411E"/>
    <w:rsid w:val="00E049EA"/>
    <w:rsid w:val="00E13A9C"/>
    <w:rsid w:val="00E26AAC"/>
    <w:rsid w:val="00E33E7E"/>
    <w:rsid w:val="00E415DE"/>
    <w:rsid w:val="00E67FCA"/>
    <w:rsid w:val="00E70E5A"/>
    <w:rsid w:val="00E712F7"/>
    <w:rsid w:val="00E71F99"/>
    <w:rsid w:val="00EA4B2C"/>
    <w:rsid w:val="00EA6141"/>
    <w:rsid w:val="00EA7A8E"/>
    <w:rsid w:val="00EB09F8"/>
    <w:rsid w:val="00EC2DC0"/>
    <w:rsid w:val="00EC5A21"/>
    <w:rsid w:val="00EC651B"/>
    <w:rsid w:val="00EE1E84"/>
    <w:rsid w:val="00EE3A7E"/>
    <w:rsid w:val="00EE4792"/>
    <w:rsid w:val="00F0638E"/>
    <w:rsid w:val="00F07BA4"/>
    <w:rsid w:val="00F15E6E"/>
    <w:rsid w:val="00F163E0"/>
    <w:rsid w:val="00F16D23"/>
    <w:rsid w:val="00F2052C"/>
    <w:rsid w:val="00F3180B"/>
    <w:rsid w:val="00F50166"/>
    <w:rsid w:val="00F50741"/>
    <w:rsid w:val="00F51971"/>
    <w:rsid w:val="00F53550"/>
    <w:rsid w:val="00F54F32"/>
    <w:rsid w:val="00F62F39"/>
    <w:rsid w:val="00F72325"/>
    <w:rsid w:val="00F81AB7"/>
    <w:rsid w:val="00F84C2B"/>
    <w:rsid w:val="00F86AFE"/>
    <w:rsid w:val="00F958EB"/>
    <w:rsid w:val="00FA2912"/>
    <w:rsid w:val="00FA3EE5"/>
    <w:rsid w:val="00FB582E"/>
    <w:rsid w:val="00FC31CE"/>
    <w:rsid w:val="00FC5A0F"/>
    <w:rsid w:val="00FC6D53"/>
    <w:rsid w:val="00FD5D66"/>
    <w:rsid w:val="00FE243D"/>
    <w:rsid w:val="00FE2B5A"/>
    <w:rsid w:val="00FE3F6F"/>
    <w:rsid w:val="00FE3FE3"/>
    <w:rsid w:val="00FE5B28"/>
    <w:rsid w:val="00FF2832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70570C1-1F41-4D2E-B691-976F209A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76446"/>
    <w:pPr>
      <w:keepNext/>
      <w:keepLines/>
      <w:outlineLvl w:val="0"/>
    </w:pPr>
    <w:rPr>
      <w:rFonts w:ascii="Arial" w:eastAsia="MS Gothic" w:hAnsi="Arial" w:cs="Arial"/>
      <w:b/>
      <w:bCs/>
      <w:color w:val="3E9C94"/>
      <w:sz w:val="36"/>
      <w:szCs w:val="4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0FE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76446"/>
    <w:rPr>
      <w:rFonts w:ascii="Arial" w:eastAsia="MS Gothic" w:hAnsi="Arial" w:cs="Arial"/>
      <w:b/>
      <w:bCs/>
      <w:color w:val="3E9C94"/>
      <w:sz w:val="36"/>
      <w:szCs w:val="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C2DC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C2DC0"/>
  </w:style>
  <w:style w:type="character" w:styleId="slostrnky">
    <w:name w:val="page number"/>
    <w:basedOn w:val="Standardnpsmoodstavce"/>
    <w:uiPriority w:val="99"/>
    <w:semiHidden/>
    <w:unhideWhenUsed/>
    <w:rsid w:val="00EC2DC0"/>
  </w:style>
  <w:style w:type="character" w:styleId="Odkaznakoment">
    <w:name w:val="annotation reference"/>
    <w:basedOn w:val="Standardnpsmoodstavce"/>
    <w:uiPriority w:val="99"/>
    <w:semiHidden/>
    <w:unhideWhenUsed/>
    <w:rsid w:val="008F67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67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F673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673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F673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67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67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64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564BF"/>
  </w:style>
  <w:style w:type="character" w:styleId="Hypertextovodkaz">
    <w:name w:val="Hyperlink"/>
    <w:basedOn w:val="Standardnpsmoodstavce"/>
    <w:uiPriority w:val="99"/>
    <w:unhideWhenUsed/>
    <w:rsid w:val="000E0B4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16C2C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7A6D92"/>
  </w:style>
  <w:style w:type="table" w:styleId="Svtlstnovnzvraznn5">
    <w:name w:val="Light Shading Accent 5"/>
    <w:basedOn w:val="Normlntabulka"/>
    <w:uiPriority w:val="60"/>
    <w:rsid w:val="004C7B8C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9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58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16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95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575047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098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2551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2" w:color="999999"/>
                                            <w:left w:val="single" w:sz="6" w:space="12" w:color="999999"/>
                                            <w:bottom w:val="single" w:sz="6" w:space="12" w:color="999999"/>
                                            <w:right w:val="single" w:sz="6" w:space="12" w:color="999999"/>
                                          </w:divBdr>
                                          <w:divsChild>
                                            <w:div w:id="798501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093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46534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856228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3529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3209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8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02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saintgobai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aint-gobain.com/e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5493</Characters>
  <Application>Microsoft Office Word</Application>
  <DocSecurity>0</DocSecurity>
  <Lines>45</Lines>
  <Paragraphs>12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SAINT-GOBAIN 1.7</Company>
  <LinksUpToDate>false</LinksUpToDate>
  <CharactersWithSpaces>6412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Bastide, Vincent</dc:creator>
  <cp:lastModifiedBy>CEEC Research</cp:lastModifiedBy>
  <cp:revision>2</cp:revision>
  <cp:lastPrinted>2016-03-03T14:59:00Z</cp:lastPrinted>
  <dcterms:created xsi:type="dcterms:W3CDTF">2016-03-21T09:39:00Z</dcterms:created>
  <dcterms:modified xsi:type="dcterms:W3CDTF">2016-03-21T09:39:00Z</dcterms:modified>
</cp:coreProperties>
</file>