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7C0" w:rsidRPr="007265CC" w:rsidRDefault="00AE47C0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/>
          <w:kern w:val="1"/>
          <w:sz w:val="32"/>
          <w:szCs w:val="32"/>
        </w:rPr>
        <w:t>Lednový počet vypsaných zakázek na stavební práce je nejvyšší za posledních pět let</w:t>
      </w:r>
    </w:p>
    <w:p w:rsidR="00AE47C0" w:rsidRPr="007265CC" w:rsidRDefault="00AE47C0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/>
          <w:kern w:val="1"/>
          <w:sz w:val="32"/>
          <w:szCs w:val="32"/>
        </w:rPr>
      </w:pPr>
    </w:p>
    <w:p w:rsidR="00AE47C0" w:rsidRDefault="00AE47C0" w:rsidP="00373D0F">
      <w:pPr>
        <w:spacing w:after="0" w:line="360" w:lineRule="auto"/>
        <w:jc w:val="both"/>
        <w:rPr>
          <w:rFonts w:ascii="Arial" w:eastAsia="SimSun" w:hAnsi="Arial" w:cs="Arial"/>
          <w:color w:val="000000"/>
          <w:kern w:val="1"/>
        </w:rPr>
      </w:pPr>
      <w:r w:rsidRPr="003C69F9">
        <w:rPr>
          <w:rFonts w:ascii="Arial" w:eastAsia="SimSun" w:hAnsi="Arial" w:cs="Arial"/>
          <w:b/>
          <w:color w:val="000000"/>
          <w:kern w:val="1"/>
        </w:rPr>
        <w:t xml:space="preserve">Praha, </w:t>
      </w:r>
      <w:r>
        <w:rPr>
          <w:rFonts w:ascii="Arial" w:eastAsia="SimSun" w:hAnsi="Arial" w:cs="Arial"/>
          <w:b/>
          <w:color w:val="000000"/>
          <w:kern w:val="1"/>
        </w:rPr>
        <w:t>22</w:t>
      </w:r>
      <w:r w:rsidRPr="003C69F9">
        <w:rPr>
          <w:rFonts w:ascii="Arial" w:eastAsia="SimSun" w:hAnsi="Arial" w:cs="Arial"/>
          <w:b/>
          <w:color w:val="000000"/>
          <w:kern w:val="1"/>
        </w:rPr>
        <w:t xml:space="preserve">. </w:t>
      </w:r>
      <w:r>
        <w:rPr>
          <w:rFonts w:ascii="Arial" w:eastAsia="SimSun" w:hAnsi="Arial" w:cs="Arial"/>
          <w:b/>
          <w:color w:val="000000"/>
          <w:kern w:val="1"/>
        </w:rPr>
        <w:t>února</w:t>
      </w:r>
      <w:r w:rsidRPr="003C69F9">
        <w:rPr>
          <w:rFonts w:ascii="Arial" w:eastAsia="SimSun" w:hAnsi="Arial" w:cs="Arial"/>
          <w:b/>
          <w:color w:val="000000"/>
          <w:kern w:val="1"/>
        </w:rPr>
        <w:t xml:space="preserve"> –</w:t>
      </w:r>
      <w:r>
        <w:rPr>
          <w:rFonts w:ascii="Arial" w:eastAsia="SimSun" w:hAnsi="Arial" w:cs="Arial"/>
          <w:b/>
          <w:color w:val="000000"/>
          <w:kern w:val="1"/>
        </w:rPr>
        <w:t xml:space="preserve"> V lednu 2016 vypsali veřejní investoři 204 výběrových řízení v hodnotě 6,5 miliardy korun. To představuje z hlediska celkového měsíčního počtu oznámených zakázek za první měsíc roku rekordní hodnotu za posledních pět let, tedy za dobu sledování. Naopak aktivita veřejných investorů v ukončování výběrových řízení vykázala v meziročním srovnání výrazný pokles</w:t>
      </w:r>
      <w:r w:rsidRPr="009B0E41">
        <w:rPr>
          <w:rFonts w:ascii="Arial" w:eastAsia="SimSun" w:hAnsi="Arial" w:cs="Arial"/>
          <w:color w:val="000000"/>
          <w:kern w:val="1"/>
        </w:rPr>
        <w:t>.</w:t>
      </w:r>
      <w:r w:rsidRPr="009B0E41">
        <w:rPr>
          <w:rFonts w:ascii="Arial" w:eastAsia="SimSun" w:hAnsi="Arial" w:cs="Arial"/>
          <w:b/>
          <w:color w:val="000000"/>
          <w:kern w:val="1"/>
        </w:rPr>
        <w:t xml:space="preserve"> Vyplývá to z nejnovější analýzy analytické společností CEEC Research</w:t>
      </w:r>
      <w:r>
        <w:rPr>
          <w:rFonts w:ascii="Arial" w:eastAsia="SimSun" w:hAnsi="Arial" w:cs="Arial"/>
          <w:b/>
          <w:color w:val="000000"/>
          <w:kern w:val="1"/>
        </w:rPr>
        <w:t>, která vznikla</w:t>
      </w:r>
      <w:r w:rsidRPr="009B0E41">
        <w:rPr>
          <w:rFonts w:ascii="Arial" w:eastAsia="SimSun" w:hAnsi="Arial" w:cs="Arial"/>
          <w:b/>
          <w:color w:val="000000"/>
          <w:kern w:val="1"/>
        </w:rPr>
        <w:t xml:space="preserve"> na základě dat uveřejněných ve Věstníku veřejných zakázek </w:t>
      </w:r>
      <w:r>
        <w:rPr>
          <w:rFonts w:ascii="Arial" w:eastAsia="SimSun" w:hAnsi="Arial" w:cs="Arial"/>
          <w:b/>
          <w:color w:val="000000"/>
          <w:kern w:val="1"/>
        </w:rPr>
        <w:t>na</w:t>
      </w:r>
      <w:r w:rsidRPr="009B0E41">
        <w:rPr>
          <w:rFonts w:ascii="Arial" w:eastAsia="SimSun" w:hAnsi="Arial" w:cs="Arial"/>
          <w:b/>
          <w:color w:val="000000"/>
          <w:kern w:val="1"/>
        </w:rPr>
        <w:t xml:space="preserve"> konc</w:t>
      </w:r>
      <w:r>
        <w:rPr>
          <w:rFonts w:ascii="Arial" w:eastAsia="SimSun" w:hAnsi="Arial" w:cs="Arial"/>
          <w:b/>
          <w:color w:val="000000"/>
          <w:kern w:val="1"/>
        </w:rPr>
        <w:t>i</w:t>
      </w:r>
      <w:r w:rsidRPr="009B0E41">
        <w:rPr>
          <w:rFonts w:ascii="Arial" w:eastAsia="SimSun" w:hAnsi="Arial" w:cs="Arial"/>
          <w:b/>
          <w:color w:val="000000"/>
          <w:kern w:val="1"/>
        </w:rPr>
        <w:t xml:space="preserve"> ledna 2016</w:t>
      </w:r>
    </w:p>
    <w:p w:rsidR="00AE47C0" w:rsidRDefault="00AE47C0" w:rsidP="00373D0F">
      <w:pPr>
        <w:spacing w:after="0" w:line="360" w:lineRule="auto"/>
        <w:jc w:val="both"/>
        <w:rPr>
          <w:rFonts w:ascii="Arial" w:eastAsia="SimSun" w:hAnsi="Arial" w:cs="Arial"/>
          <w:color w:val="000000"/>
          <w:kern w:val="1"/>
        </w:rPr>
      </w:pPr>
    </w:p>
    <w:p w:rsidR="00AE47C0" w:rsidRDefault="00AE47C0" w:rsidP="00373D0F">
      <w:p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V prvním měsíci roku 2016 vypsali veřejní investoři 204 výběrových řízení v celkové hodnotě 6,5 miliardy korun. V meziročním srovnání jde sice z hlediska objemu zakázek o výrazný třetinový pokles (34,4 procenta), na druhou stranu ale jejich počet zaznamenal oproti srovnatelnému období minulého roku nárůst (6,8 procenta), a stal se tak rekordním lednovým počtem zakázek za posledních pět let, tedy za celou dobu sledování. </w:t>
      </w:r>
      <w:r w:rsidRPr="002B6283">
        <w:rPr>
          <w:rFonts w:ascii="Arial" w:hAnsi="Arial" w:cs="Arial"/>
          <w:i/>
          <w:color w:val="000000"/>
        </w:rPr>
        <w:t xml:space="preserve">„Pokles hodnoty oznámených zakázek byl ovlivněn vypsáním dvou velkých zakázek v lednu 2015 v celkové hodnotě cca 4 miliardy korun (ŘSD-D3 a Technická správa hl. m. Prahy-Libeňský most). Při modelovém </w:t>
      </w:r>
      <w:r>
        <w:rPr>
          <w:rFonts w:ascii="Arial" w:hAnsi="Arial" w:cs="Arial"/>
          <w:i/>
          <w:color w:val="000000"/>
        </w:rPr>
        <w:t>odpočtu</w:t>
      </w:r>
      <w:r w:rsidRPr="002B6283">
        <w:rPr>
          <w:rFonts w:ascii="Arial" w:hAnsi="Arial" w:cs="Arial"/>
          <w:i/>
          <w:color w:val="000000"/>
        </w:rPr>
        <w:t xml:space="preserve"> těchto zakázek by hodnota oznámených zakázek v lednu 2016 vzrostla o 10 procent,“ </w:t>
      </w:r>
      <w:r>
        <w:rPr>
          <w:rFonts w:ascii="Arial" w:hAnsi="Arial" w:cs="Arial"/>
          <w:color w:val="000000"/>
        </w:rPr>
        <w:t xml:space="preserve">upřesňuje </w:t>
      </w:r>
      <w:r w:rsidRPr="002B6283">
        <w:rPr>
          <w:rFonts w:ascii="Arial" w:hAnsi="Arial" w:cs="Arial"/>
          <w:b/>
          <w:i/>
          <w:color w:val="000000"/>
        </w:rPr>
        <w:t>Jiří Vacek, ředitel analytické společnosti CEEC Research.</w:t>
      </w:r>
    </w:p>
    <w:p w:rsidR="00AE47C0" w:rsidRDefault="00AE47C0" w:rsidP="00494BCC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:rsidR="00AE47C0" w:rsidRPr="00931D64" w:rsidRDefault="00AE47C0" w:rsidP="00931D64">
      <w:pPr>
        <w:spacing w:after="0" w:line="240" w:lineRule="auto"/>
        <w:jc w:val="both"/>
        <w:rPr>
          <w:rFonts w:ascii="Arial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hAnsi="Arial" w:cs="Times New Roman"/>
          <w:b/>
          <w:bCs/>
          <w:sz w:val="20"/>
          <w:szCs w:val="24"/>
          <w:lang w:eastAsia="cs-CZ"/>
        </w:rPr>
        <w:t xml:space="preserve">Meziroční změny </w:t>
      </w:r>
      <w:r>
        <w:rPr>
          <w:rFonts w:ascii="Arial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AE47C0" w:rsidRPr="00894EFD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AE47C0" w:rsidRPr="00894EFD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</w:tcBorders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AE47C0" w:rsidRPr="00894EFD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bottom w:val="nil"/>
            </w:tcBorders>
            <w:vAlign w:val="center"/>
          </w:tcPr>
          <w:p w:rsidR="00AE47C0" w:rsidRPr="005969A3" w:rsidRDefault="00AE47C0" w:rsidP="005969A3">
            <w:pPr>
              <w:spacing w:after="0" w:line="240" w:lineRule="auto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bottom w:val="nil"/>
            </w:tcBorders>
            <w:tcMar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674</w:t>
            </w:r>
          </w:p>
        </w:tc>
        <w:tc>
          <w:tcPr>
            <w:tcW w:w="1074" w:type="dxa"/>
            <w:tcBorders>
              <w:bottom w:val="nil"/>
              <w:right w:val="nil"/>
            </w:tcBorders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left w:val="nil"/>
              <w:bottom w:val="nil"/>
            </w:tcBorders>
            <w:tcMar>
              <w:left w:w="0" w:type="dxa"/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-12,8</w:t>
            </w:r>
          </w:p>
        </w:tc>
        <w:tc>
          <w:tcPr>
            <w:tcW w:w="1074" w:type="dxa"/>
            <w:tcBorders>
              <w:bottom w:val="nil"/>
            </w:tcBorders>
            <w:tcMar>
              <w:right w:w="227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26 985</w:t>
            </w:r>
          </w:p>
        </w:tc>
        <w:tc>
          <w:tcPr>
            <w:tcW w:w="1074" w:type="dxa"/>
            <w:tcBorders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-2,4</w:t>
            </w:r>
          </w:p>
        </w:tc>
      </w:tr>
      <w:tr w:rsidR="00AE47C0" w:rsidRPr="00894EFD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AE47C0" w:rsidRPr="005969A3" w:rsidRDefault="00AE47C0" w:rsidP="005969A3">
            <w:pPr>
              <w:spacing w:after="0" w:line="240" w:lineRule="auto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</w:tcBorders>
            <w:tcMar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738</w:t>
            </w:r>
          </w:p>
        </w:tc>
        <w:tc>
          <w:tcPr>
            <w:tcW w:w="1074" w:type="dxa"/>
            <w:tcBorders>
              <w:top w:val="nil"/>
              <w:bottom w:val="nil"/>
              <w:right w:val="nil"/>
            </w:tcBorders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left w:w="0" w:type="dxa"/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-33,2</w:t>
            </w:r>
          </w:p>
        </w:tc>
        <w:tc>
          <w:tcPr>
            <w:tcW w:w="1074" w:type="dxa"/>
            <w:tcBorders>
              <w:top w:val="nil"/>
              <w:bottom w:val="nil"/>
            </w:tcBorders>
            <w:tcMar>
              <w:right w:w="227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25 877</w:t>
            </w:r>
          </w:p>
        </w:tc>
        <w:tc>
          <w:tcPr>
            <w:tcW w:w="1074" w:type="dxa"/>
            <w:tcBorders>
              <w:top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-28,5</w:t>
            </w:r>
          </w:p>
        </w:tc>
      </w:tr>
      <w:tr w:rsidR="00AE47C0" w:rsidRPr="00894EFD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AE47C0" w:rsidRPr="005969A3" w:rsidRDefault="00AE47C0" w:rsidP="005969A3">
            <w:pPr>
              <w:spacing w:after="0" w:line="240" w:lineRule="auto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</w:tcBorders>
            <w:tcMar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489</w:t>
            </w:r>
          </w:p>
        </w:tc>
        <w:tc>
          <w:tcPr>
            <w:tcW w:w="1074" w:type="dxa"/>
            <w:tcBorders>
              <w:top w:val="nil"/>
              <w:bottom w:val="nil"/>
              <w:right w:val="nil"/>
            </w:tcBorders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left w:w="0" w:type="dxa"/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-46,4</w:t>
            </w:r>
          </w:p>
        </w:tc>
        <w:tc>
          <w:tcPr>
            <w:tcW w:w="1074" w:type="dxa"/>
            <w:tcBorders>
              <w:top w:val="nil"/>
              <w:bottom w:val="nil"/>
            </w:tcBorders>
            <w:tcMar>
              <w:right w:w="227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17 884</w:t>
            </w:r>
          </w:p>
        </w:tc>
        <w:tc>
          <w:tcPr>
            <w:tcW w:w="1074" w:type="dxa"/>
            <w:tcBorders>
              <w:top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-57,5</w:t>
            </w:r>
          </w:p>
        </w:tc>
      </w:tr>
      <w:tr w:rsidR="00AE47C0" w:rsidRPr="00894EFD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</w:tcBorders>
            <w:vAlign w:val="center"/>
          </w:tcPr>
          <w:p w:rsidR="00AE47C0" w:rsidRPr="005969A3" w:rsidRDefault="00AE47C0" w:rsidP="005969A3">
            <w:pPr>
              <w:spacing w:after="0" w:line="240" w:lineRule="auto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</w:tcBorders>
            <w:tcMar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 428</w:t>
            </w:r>
          </w:p>
        </w:tc>
        <w:tc>
          <w:tcPr>
            <w:tcW w:w="1074" w:type="dxa"/>
            <w:tcBorders>
              <w:top w:val="nil"/>
              <w:right w:val="nil"/>
            </w:tcBorders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</w:tcBorders>
            <w:tcMar>
              <w:left w:w="0" w:type="dxa"/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-33,4</w:t>
            </w:r>
          </w:p>
        </w:tc>
        <w:tc>
          <w:tcPr>
            <w:tcW w:w="1074" w:type="dxa"/>
            <w:tcBorders>
              <w:top w:val="nil"/>
            </w:tcBorders>
            <w:tcMar>
              <w:right w:w="227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23 913 </w:t>
            </w:r>
          </w:p>
        </w:tc>
        <w:tc>
          <w:tcPr>
            <w:tcW w:w="1074" w:type="dxa"/>
            <w:tcBorders>
              <w:top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</w:tcBorders>
            <w:tcMar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-14,3</w:t>
            </w:r>
          </w:p>
        </w:tc>
      </w:tr>
      <w:tr w:rsidR="00AE47C0" w:rsidRPr="00894EFD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vAlign w:val="center"/>
          </w:tcPr>
          <w:p w:rsidR="00AE47C0" w:rsidRPr="005969A3" w:rsidRDefault="00AE47C0" w:rsidP="005969A3">
            <w:pPr>
              <w:spacing w:after="0" w:line="240" w:lineRule="auto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Mar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2 329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left w:val="nil"/>
            </w:tcBorders>
            <w:tcMar>
              <w:left w:w="0" w:type="dxa"/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-32,2</w:t>
            </w:r>
          </w:p>
        </w:tc>
        <w:tc>
          <w:tcPr>
            <w:tcW w:w="1074" w:type="dxa"/>
            <w:tcMar>
              <w:right w:w="227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94 659</w:t>
            </w:r>
          </w:p>
        </w:tc>
        <w:tc>
          <w:tcPr>
            <w:tcW w:w="1074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left w:val="nil"/>
            </w:tcBorders>
            <w:tcMar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-29,3</w:t>
            </w:r>
          </w:p>
        </w:tc>
      </w:tr>
      <w:tr w:rsidR="00AE47C0" w:rsidRPr="00894EFD" w:rsidTr="003A200E">
        <w:trPr>
          <w:cantSplit/>
          <w:trHeight w:val="284"/>
        </w:trPr>
        <w:tc>
          <w:tcPr>
            <w:tcW w:w="918" w:type="dxa"/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vAlign w:val="center"/>
          </w:tcPr>
          <w:p w:rsidR="00AE47C0" w:rsidRPr="005969A3" w:rsidRDefault="00AE47C0" w:rsidP="005969A3">
            <w:pPr>
              <w:spacing w:after="0" w:line="240" w:lineRule="auto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b/>
                <w:sz w:val="18"/>
                <w:szCs w:val="16"/>
                <w:lang w:eastAsia="cs-CZ"/>
              </w:rPr>
              <w:t xml:space="preserve">Leden </w:t>
            </w:r>
          </w:p>
        </w:tc>
        <w:tc>
          <w:tcPr>
            <w:tcW w:w="1074" w:type="dxa"/>
            <w:tcMar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204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left w:val="nil"/>
            </w:tcBorders>
            <w:tcMar>
              <w:left w:w="0" w:type="dxa"/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+6,8</w:t>
            </w:r>
          </w:p>
        </w:tc>
        <w:tc>
          <w:tcPr>
            <w:tcW w:w="1074" w:type="dxa"/>
            <w:tcMar>
              <w:right w:w="227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6 506</w:t>
            </w:r>
          </w:p>
        </w:tc>
        <w:tc>
          <w:tcPr>
            <w:tcW w:w="1074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left w:val="nil"/>
            </w:tcBorders>
            <w:tcMar>
              <w:right w:w="284" w:type="dxa"/>
            </w:tcMar>
            <w:vAlign w:val="center"/>
          </w:tcPr>
          <w:p w:rsidR="00AE47C0" w:rsidRPr="005969A3" w:rsidRDefault="00AE47C0" w:rsidP="005969A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-34,4</w:t>
            </w:r>
          </w:p>
        </w:tc>
      </w:tr>
    </w:tbl>
    <w:p w:rsidR="00AE47C0" w:rsidRPr="00931D64" w:rsidRDefault="00AE47C0" w:rsidP="00931D64">
      <w:pPr>
        <w:spacing w:after="0" w:line="240" w:lineRule="auto"/>
        <w:jc w:val="both"/>
        <w:rPr>
          <w:rFonts w:ascii="Arial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AE47C0" w:rsidRPr="003C69F9" w:rsidRDefault="00AE47C0" w:rsidP="00B64AEB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:rsidR="00AE47C0" w:rsidRDefault="00AE47C0" w:rsidP="002B6283">
      <w:pPr>
        <w:spacing w:after="0" w:line="360" w:lineRule="auto"/>
        <w:jc w:val="both"/>
        <w:rPr>
          <w:rFonts w:ascii="Arial" w:hAnsi="Arial" w:cs="Arial"/>
        </w:rPr>
      </w:pPr>
      <w:r w:rsidRPr="003C69F9">
        <w:rPr>
          <w:rFonts w:ascii="Arial" w:hAnsi="Arial" w:cs="Arial"/>
          <w:color w:val="000000"/>
        </w:rPr>
        <w:t xml:space="preserve">Aktivita veřejných investorů v ukončování výběrových řízení </w:t>
      </w:r>
      <w:r>
        <w:rPr>
          <w:rFonts w:ascii="Arial" w:hAnsi="Arial" w:cs="Arial"/>
          <w:color w:val="000000"/>
        </w:rPr>
        <w:t xml:space="preserve">ale v lednu 2016 výrazně poklesla. Konkrétním dodavatelům bylo zadáno 192 zakázek, což představuje v meziročním srovnání pokles téměř o polovinu (44,8 procenta). Objem ukončených soutěží dosáhl hodnoty 3,4 miliardy korun a oproti srovnatelnému období předchozího roku jde o třetinový pokles (33,3 procenta). </w:t>
      </w:r>
      <w:r w:rsidRPr="003C69F9">
        <w:rPr>
          <w:rFonts w:ascii="Arial" w:hAnsi="Arial" w:cs="Arial"/>
        </w:rPr>
        <w:t xml:space="preserve">Některá zadávací řízení stále </w:t>
      </w:r>
      <w:r>
        <w:rPr>
          <w:rFonts w:ascii="Arial" w:hAnsi="Arial" w:cs="Arial"/>
        </w:rPr>
        <w:t>probíhají</w:t>
      </w:r>
      <w:r w:rsidRPr="003C69F9">
        <w:rPr>
          <w:rFonts w:ascii="Arial" w:hAnsi="Arial" w:cs="Arial"/>
        </w:rPr>
        <w:t>, a proto lze očekávat, že v dalších měsících dojde ještě k aktualizaci a upřesnění dat.</w:t>
      </w:r>
      <w:r>
        <w:rPr>
          <w:rFonts w:ascii="Arial" w:hAnsi="Arial" w:cs="Arial"/>
        </w:rPr>
        <w:t xml:space="preserve"> „</w:t>
      </w:r>
      <w:r w:rsidRPr="004B796E">
        <w:rPr>
          <w:rFonts w:ascii="Arial" w:hAnsi="Arial" w:cs="Arial"/>
        </w:rPr>
        <w:t xml:space="preserve">Přestože počet výběrových řízení dosáhl rekordních hodnot, objem zakázek oproti minulému roku výrazně propadl. Investoři vypisují menší zakázky, </w:t>
      </w:r>
      <w:r>
        <w:rPr>
          <w:rFonts w:ascii="Arial" w:hAnsi="Arial" w:cs="Arial"/>
        </w:rPr>
        <w:t>které</w:t>
      </w:r>
      <w:r w:rsidRPr="004B796E">
        <w:rPr>
          <w:rFonts w:ascii="Arial" w:hAnsi="Arial" w:cs="Arial"/>
        </w:rPr>
        <w:t xml:space="preserve"> ale velké stavební firmy, které nediverzifikovaly v minulých měsících svou činnost, nenaplní</w:t>
      </w:r>
      <w:r>
        <w:rPr>
          <w:rFonts w:ascii="Arial" w:hAnsi="Arial" w:cs="Arial"/>
        </w:rPr>
        <w:t>,</w:t>
      </w:r>
      <w:r w:rsidRPr="004B796E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 říká </w:t>
      </w:r>
      <w:r w:rsidRPr="00384E4A">
        <w:rPr>
          <w:rFonts w:ascii="Arial" w:hAnsi="Arial" w:cs="Arial"/>
          <w:b/>
          <w:i/>
          <w:color w:val="000000"/>
        </w:rPr>
        <w:t>Radim Tichý, ředitel Stavebních veletrhů Brno.</w:t>
      </w:r>
    </w:p>
    <w:p w:rsidR="00AE47C0" w:rsidRPr="007265CC" w:rsidRDefault="00AE47C0" w:rsidP="00773F9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:rsidR="00AE47C0" w:rsidRPr="00395602" w:rsidRDefault="00AE47C0" w:rsidP="00395602">
      <w:pPr>
        <w:spacing w:after="0" w:line="240" w:lineRule="auto"/>
        <w:jc w:val="both"/>
        <w:rPr>
          <w:rFonts w:ascii="Arial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hAnsi="Arial" w:cs="Times New Roman"/>
          <w:b/>
          <w:bCs/>
          <w:sz w:val="20"/>
          <w:szCs w:val="24"/>
          <w:lang w:eastAsia="cs-CZ"/>
        </w:rPr>
        <w:t>Meziroční změny oznámení o zadání zakázky v letech 201</w:t>
      </w:r>
      <w:r>
        <w:rPr>
          <w:rFonts w:ascii="Arial" w:hAnsi="Arial" w:cs="Times New Roman"/>
          <w:b/>
          <w:bCs/>
          <w:sz w:val="20"/>
          <w:szCs w:val="24"/>
          <w:lang w:eastAsia="cs-CZ"/>
        </w:rPr>
        <w:t>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AE47C0" w:rsidRPr="00894EFD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AE47C0" w:rsidRPr="00894EFD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</w:tcBorders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AE47C0" w:rsidRPr="00894EFD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bottom w:val="nil"/>
            </w:tcBorders>
            <w:vAlign w:val="center"/>
          </w:tcPr>
          <w:p w:rsidR="00AE47C0" w:rsidRPr="00B265DF" w:rsidRDefault="00AE47C0" w:rsidP="00B265DF">
            <w:pPr>
              <w:spacing w:after="0" w:line="240" w:lineRule="auto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bottom w:val="nil"/>
            </w:tcBorders>
            <w:tcMar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1 086</w:t>
            </w:r>
          </w:p>
        </w:tc>
        <w:tc>
          <w:tcPr>
            <w:tcW w:w="1074" w:type="dxa"/>
            <w:tcBorders>
              <w:bottom w:val="nil"/>
              <w:right w:val="nil"/>
            </w:tcBorders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left w:val="nil"/>
              <w:bottom w:val="nil"/>
            </w:tcBorders>
            <w:tcMar>
              <w:left w:w="0" w:type="dxa"/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+12,0</w:t>
            </w:r>
          </w:p>
        </w:tc>
        <w:tc>
          <w:tcPr>
            <w:tcW w:w="1074" w:type="dxa"/>
            <w:tcBorders>
              <w:bottom w:val="nil"/>
            </w:tcBorders>
            <w:tcMar>
              <w:right w:w="227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21 323</w:t>
            </w:r>
          </w:p>
        </w:tc>
        <w:tc>
          <w:tcPr>
            <w:tcW w:w="1074" w:type="dxa"/>
            <w:tcBorders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-7,6</w:t>
            </w:r>
          </w:p>
        </w:tc>
      </w:tr>
      <w:tr w:rsidR="00AE47C0" w:rsidRPr="00894EFD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AE47C0" w:rsidRPr="00B265DF" w:rsidRDefault="00AE47C0" w:rsidP="00B265DF">
            <w:pPr>
              <w:spacing w:after="0" w:line="240" w:lineRule="auto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</w:tcBorders>
            <w:tcMar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1 584</w:t>
            </w:r>
          </w:p>
        </w:tc>
        <w:tc>
          <w:tcPr>
            <w:tcW w:w="1074" w:type="dxa"/>
            <w:tcBorders>
              <w:top w:val="nil"/>
              <w:bottom w:val="nil"/>
              <w:right w:val="nil"/>
            </w:tcBorders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left w:w="0" w:type="dxa"/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-2,9</w:t>
            </w:r>
          </w:p>
        </w:tc>
        <w:tc>
          <w:tcPr>
            <w:tcW w:w="1074" w:type="dxa"/>
            <w:tcBorders>
              <w:top w:val="nil"/>
              <w:bottom w:val="nil"/>
            </w:tcBorders>
            <w:tcMar>
              <w:right w:w="227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34 751</w:t>
            </w:r>
          </w:p>
        </w:tc>
        <w:tc>
          <w:tcPr>
            <w:tcW w:w="1074" w:type="dxa"/>
            <w:tcBorders>
              <w:top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+6,7</w:t>
            </w:r>
          </w:p>
        </w:tc>
      </w:tr>
      <w:tr w:rsidR="00AE47C0" w:rsidRPr="00894EFD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AE47C0" w:rsidRPr="00B265DF" w:rsidRDefault="00AE47C0" w:rsidP="00B265DF">
            <w:pPr>
              <w:spacing w:after="0" w:line="240" w:lineRule="auto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</w:tcBorders>
            <w:tcMar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1 889</w:t>
            </w:r>
          </w:p>
        </w:tc>
        <w:tc>
          <w:tcPr>
            <w:tcW w:w="1074" w:type="dxa"/>
            <w:tcBorders>
              <w:top w:val="nil"/>
              <w:bottom w:val="nil"/>
              <w:right w:val="nil"/>
            </w:tcBorders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left w:w="0" w:type="dxa"/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+10,1</w:t>
            </w:r>
          </w:p>
        </w:tc>
        <w:tc>
          <w:tcPr>
            <w:tcW w:w="1074" w:type="dxa"/>
            <w:tcBorders>
              <w:top w:val="nil"/>
              <w:bottom w:val="nil"/>
            </w:tcBorders>
            <w:tcMar>
              <w:right w:w="227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36 909</w:t>
            </w:r>
          </w:p>
        </w:tc>
        <w:tc>
          <w:tcPr>
            <w:tcW w:w="1074" w:type="dxa"/>
            <w:tcBorders>
              <w:top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+10,2</w:t>
            </w:r>
          </w:p>
        </w:tc>
      </w:tr>
      <w:tr w:rsidR="00AE47C0" w:rsidRPr="00894EFD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</w:tcBorders>
            <w:vAlign w:val="center"/>
          </w:tcPr>
          <w:p w:rsidR="00AE47C0" w:rsidRPr="00B265DF" w:rsidRDefault="00AE47C0" w:rsidP="00B265DF">
            <w:pPr>
              <w:spacing w:after="0" w:line="240" w:lineRule="auto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</w:tcBorders>
            <w:tcMar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1 496</w:t>
            </w:r>
          </w:p>
        </w:tc>
        <w:tc>
          <w:tcPr>
            <w:tcW w:w="1074" w:type="dxa"/>
            <w:tcBorders>
              <w:top w:val="nil"/>
              <w:right w:val="nil"/>
            </w:tcBorders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</w:tcBorders>
            <w:tcMar>
              <w:left w:w="0" w:type="dxa"/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+6,6</w:t>
            </w:r>
          </w:p>
        </w:tc>
        <w:tc>
          <w:tcPr>
            <w:tcW w:w="1074" w:type="dxa"/>
            <w:tcBorders>
              <w:top w:val="nil"/>
            </w:tcBorders>
            <w:tcMar>
              <w:right w:w="227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21 770</w:t>
            </w:r>
          </w:p>
        </w:tc>
        <w:tc>
          <w:tcPr>
            <w:tcW w:w="1074" w:type="dxa"/>
            <w:tcBorders>
              <w:top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</w:tcBorders>
            <w:tcMar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-24,0</w:t>
            </w:r>
          </w:p>
        </w:tc>
      </w:tr>
      <w:tr w:rsidR="00AE47C0" w:rsidRPr="00894EFD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vAlign w:val="center"/>
          </w:tcPr>
          <w:p w:rsidR="00AE47C0" w:rsidRPr="00B265DF" w:rsidRDefault="00AE47C0" w:rsidP="00B265DF">
            <w:pPr>
              <w:spacing w:after="0" w:line="240" w:lineRule="auto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Mar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6 055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left w:val="nil"/>
            </w:tcBorders>
            <w:tcMar>
              <w:left w:w="0" w:type="dxa"/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+5,8</w:t>
            </w:r>
          </w:p>
        </w:tc>
        <w:tc>
          <w:tcPr>
            <w:tcW w:w="1074" w:type="dxa"/>
            <w:tcMar>
              <w:right w:w="227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114 753</w:t>
            </w:r>
          </w:p>
        </w:tc>
        <w:tc>
          <w:tcPr>
            <w:tcW w:w="1074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left w:val="nil"/>
            </w:tcBorders>
            <w:tcMar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-2,6</w:t>
            </w:r>
          </w:p>
        </w:tc>
      </w:tr>
      <w:tr w:rsidR="00AE47C0" w:rsidRPr="00894EFD" w:rsidTr="003A200E">
        <w:trPr>
          <w:cantSplit/>
          <w:trHeight w:val="284"/>
        </w:trPr>
        <w:tc>
          <w:tcPr>
            <w:tcW w:w="918" w:type="dxa"/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vAlign w:val="center"/>
          </w:tcPr>
          <w:p w:rsidR="00AE47C0" w:rsidRPr="00B265DF" w:rsidRDefault="00AE47C0" w:rsidP="00B265DF">
            <w:pPr>
              <w:spacing w:after="0" w:line="240" w:lineRule="auto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Leden</w:t>
            </w:r>
          </w:p>
        </w:tc>
        <w:tc>
          <w:tcPr>
            <w:tcW w:w="1074" w:type="dxa"/>
            <w:tcMar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192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left w:val="nil"/>
            </w:tcBorders>
            <w:tcMar>
              <w:left w:w="0" w:type="dxa"/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-44,8</w:t>
            </w:r>
          </w:p>
        </w:tc>
        <w:tc>
          <w:tcPr>
            <w:tcW w:w="1074" w:type="dxa"/>
            <w:tcMar>
              <w:right w:w="227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3 439</w:t>
            </w:r>
          </w:p>
        </w:tc>
        <w:tc>
          <w:tcPr>
            <w:tcW w:w="1074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left w:val="nil"/>
            </w:tcBorders>
            <w:tcMar>
              <w:right w:w="284" w:type="dxa"/>
            </w:tcMar>
            <w:vAlign w:val="center"/>
          </w:tcPr>
          <w:p w:rsidR="00AE47C0" w:rsidRPr="00B265DF" w:rsidRDefault="00AE47C0" w:rsidP="00B265DF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hAnsi="Arial" w:cs="Arial"/>
                <w:b/>
                <w:sz w:val="18"/>
                <w:szCs w:val="16"/>
                <w:lang w:eastAsia="cs-CZ"/>
              </w:rPr>
              <w:t>-33,3</w:t>
            </w:r>
          </w:p>
        </w:tc>
      </w:tr>
    </w:tbl>
    <w:p w:rsidR="00AE47C0" w:rsidRPr="00395602" w:rsidRDefault="00AE47C0" w:rsidP="00395602">
      <w:pPr>
        <w:spacing w:after="0" w:line="240" w:lineRule="auto"/>
        <w:jc w:val="both"/>
        <w:rPr>
          <w:rFonts w:ascii="Arial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AE47C0" w:rsidRDefault="00AE47C0" w:rsidP="00773F9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:rsidR="00AE47C0" w:rsidRDefault="00AE47C0" w:rsidP="00773F9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:rsidR="00AE47C0" w:rsidRDefault="00AE47C0" w:rsidP="00773F9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:rsidR="00AE47C0" w:rsidRDefault="00AE47C0" w:rsidP="00773F91">
      <w:pPr>
        <w:spacing w:after="0" w:line="360" w:lineRule="auto"/>
        <w:jc w:val="both"/>
        <w:rPr>
          <w:rFonts w:ascii="Arial" w:hAnsi="Arial" w:cs="Arial"/>
          <w:color w:val="000000"/>
        </w:rPr>
      </w:pPr>
      <w:r w:rsidRPr="00881021">
        <w:rPr>
          <w:rFonts w:ascii="Arial" w:hAnsi="Arial" w:cs="Arial"/>
          <w:color w:val="000000"/>
        </w:rPr>
        <w:t xml:space="preserve">V roce 2015 </w:t>
      </w:r>
      <w:r>
        <w:rPr>
          <w:rFonts w:ascii="Arial" w:hAnsi="Arial" w:cs="Arial"/>
          <w:color w:val="000000"/>
        </w:rPr>
        <w:t>oznámili investoři zakázky</w:t>
      </w:r>
      <w:r w:rsidRPr="00881021">
        <w:rPr>
          <w:rFonts w:ascii="Arial" w:hAnsi="Arial" w:cs="Arial"/>
          <w:color w:val="000000"/>
        </w:rPr>
        <w:t xml:space="preserve"> v</w:t>
      </w:r>
      <w:r>
        <w:rPr>
          <w:rFonts w:ascii="Arial" w:hAnsi="Arial" w:cs="Arial"/>
          <w:color w:val="000000"/>
        </w:rPr>
        <w:t xml:space="preserve"> celkové </w:t>
      </w:r>
      <w:r w:rsidRPr="00881021">
        <w:rPr>
          <w:rFonts w:ascii="Arial" w:hAnsi="Arial" w:cs="Arial"/>
          <w:color w:val="000000"/>
        </w:rPr>
        <w:t xml:space="preserve">hodnotě 94,7 </w:t>
      </w:r>
      <w:r>
        <w:rPr>
          <w:rFonts w:ascii="Arial" w:hAnsi="Arial" w:cs="Arial"/>
          <w:color w:val="000000"/>
        </w:rPr>
        <w:t xml:space="preserve">miliardy korun. Mezi stavební společnosti byly později rozděleny zakázky za </w:t>
      </w:r>
      <w:r w:rsidRPr="00881021">
        <w:rPr>
          <w:rFonts w:ascii="Arial" w:hAnsi="Arial" w:cs="Arial"/>
          <w:color w:val="000000"/>
        </w:rPr>
        <w:t xml:space="preserve">50,0 </w:t>
      </w:r>
      <w:r>
        <w:rPr>
          <w:rFonts w:ascii="Arial" w:hAnsi="Arial" w:cs="Arial"/>
          <w:color w:val="000000"/>
        </w:rPr>
        <w:t>miliard korun (tedy 53 procent oznámených</w:t>
      </w:r>
      <w:r w:rsidRPr="00881021">
        <w:rPr>
          <w:rFonts w:ascii="Arial" w:hAnsi="Arial" w:cs="Arial"/>
          <w:color w:val="000000"/>
        </w:rPr>
        <w:t xml:space="preserve">). Skutečná zadaná hodnota byla </w:t>
      </w:r>
      <w:r>
        <w:rPr>
          <w:rFonts w:ascii="Arial" w:hAnsi="Arial" w:cs="Arial"/>
          <w:color w:val="000000"/>
        </w:rPr>
        <w:t xml:space="preserve">o 8 procent nižší než při oznámení, tedy </w:t>
      </w:r>
      <w:r w:rsidRPr="00881021">
        <w:rPr>
          <w:rFonts w:ascii="Arial" w:hAnsi="Arial" w:cs="Arial"/>
          <w:color w:val="000000"/>
        </w:rPr>
        <w:t xml:space="preserve">46,0 </w:t>
      </w:r>
      <w:r>
        <w:rPr>
          <w:rFonts w:ascii="Arial" w:hAnsi="Arial" w:cs="Arial"/>
          <w:color w:val="000000"/>
        </w:rPr>
        <w:t>miliardy korun</w:t>
      </w:r>
      <w:r w:rsidRPr="00881021">
        <w:rPr>
          <w:rFonts w:ascii="Arial" w:hAnsi="Arial" w:cs="Arial"/>
          <w:color w:val="000000"/>
        </w:rPr>
        <w:t xml:space="preserve">. Z celkového objemu oznámených zakázek byly později zrušeny zakázky za 7,2 </w:t>
      </w:r>
      <w:r>
        <w:rPr>
          <w:rFonts w:ascii="Arial" w:hAnsi="Arial" w:cs="Arial"/>
          <w:color w:val="000000"/>
        </w:rPr>
        <w:t>miliardy korun (tedy cca 8 procent</w:t>
      </w:r>
      <w:r w:rsidRPr="00881021">
        <w:rPr>
          <w:rFonts w:ascii="Arial" w:hAnsi="Arial" w:cs="Arial"/>
          <w:color w:val="000000"/>
        </w:rPr>
        <w:t xml:space="preserve"> z oznámených). Po odečtení zadaných a zrušených zakázek zbývá v systému ještě 38,0 </w:t>
      </w:r>
      <w:r>
        <w:rPr>
          <w:rFonts w:ascii="Arial" w:hAnsi="Arial" w:cs="Arial"/>
          <w:color w:val="000000"/>
        </w:rPr>
        <w:t xml:space="preserve">miliard korun, tedy 40 procent oznámených. </w:t>
      </w:r>
      <w:bookmarkStart w:id="0" w:name="_GoBack"/>
      <w:r w:rsidRPr="00307802">
        <w:rPr>
          <w:rFonts w:ascii="Arial" w:hAnsi="Arial" w:cs="Arial"/>
          <w:i/>
          <w:color w:val="000000"/>
        </w:rPr>
        <w:t xml:space="preserve">„Ze strany státních investorů přichází minimum zakázek na stavební práce v oboru pozemních staveb. Takovéto zakázky vypisují především soukromí investoři. Mezi firmami, které se věnují tomuto oboru je tak o práci stále výrazný boj,“ </w:t>
      </w:r>
      <w:bookmarkEnd w:id="0"/>
      <w:r>
        <w:rPr>
          <w:rFonts w:ascii="Arial" w:hAnsi="Arial" w:cs="Arial"/>
          <w:color w:val="000000"/>
        </w:rPr>
        <w:t xml:space="preserve">uzavírá </w:t>
      </w:r>
      <w:r w:rsidRPr="00307802">
        <w:rPr>
          <w:rFonts w:ascii="Arial" w:hAnsi="Arial" w:cs="Arial"/>
          <w:b/>
          <w:i/>
          <w:color w:val="000000"/>
        </w:rPr>
        <w:t>Mário Červenka, ředitel developerské společnosti O.M.C. Invest.</w:t>
      </w:r>
    </w:p>
    <w:p w:rsidR="00AE47C0" w:rsidRDefault="00AE47C0" w:rsidP="00773F9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:rsidR="00AE47C0" w:rsidRDefault="00AE47C0" w:rsidP="00773F9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:rsidR="00AE47C0" w:rsidRDefault="00AE47C0" w:rsidP="00DC4B47">
      <w:pPr>
        <w:spacing w:after="0" w:line="360" w:lineRule="auto"/>
        <w:jc w:val="center"/>
        <w:rPr>
          <w:rFonts w:ascii="Arial" w:hAnsi="Arial" w:cs="Arial"/>
          <w:b/>
          <w:color w:val="000000"/>
        </w:rPr>
      </w:pPr>
      <w:r w:rsidRPr="00DC4B47">
        <w:rPr>
          <w:rFonts w:ascii="Arial" w:hAnsi="Arial" w:cs="Arial"/>
          <w:b/>
          <w:color w:val="000000"/>
        </w:rPr>
        <w:t xml:space="preserve">Více na </w:t>
      </w:r>
      <w:hyperlink r:id="rId6" w:history="1">
        <w:r w:rsidRPr="00FD72F5">
          <w:rPr>
            <w:rStyle w:val="Hyperlink"/>
            <w:rFonts w:ascii="Arial" w:hAnsi="Arial" w:cs="Arial"/>
            <w:b/>
          </w:rPr>
          <w:t>www.ceec.eu</w:t>
        </w:r>
      </w:hyperlink>
    </w:p>
    <w:p w:rsidR="00AE47C0" w:rsidRPr="00DC4B47" w:rsidRDefault="00AE47C0" w:rsidP="00DC4B47">
      <w:pPr>
        <w:spacing w:after="0" w:line="360" w:lineRule="auto"/>
        <w:jc w:val="center"/>
        <w:rPr>
          <w:rFonts w:ascii="Arial" w:hAnsi="Arial" w:cs="Arial"/>
          <w:b/>
          <w:color w:val="000000"/>
        </w:rPr>
      </w:pPr>
    </w:p>
    <w:p w:rsidR="00AE47C0" w:rsidRDefault="00AE47C0" w:rsidP="006A6C4A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:rsidR="00AE47C0" w:rsidRPr="002603EC" w:rsidRDefault="00AE47C0" w:rsidP="00C45298">
      <w:pPr>
        <w:spacing w:after="0" w:line="240" w:lineRule="auto"/>
        <w:rPr>
          <w:rFonts w:ascii="Arial" w:hAnsi="Arial" w:cs="Arial"/>
          <w:b/>
          <w:color w:val="000000"/>
          <w:lang w:val="sk-SK"/>
        </w:rPr>
      </w:pPr>
      <w:r w:rsidRPr="002603EC">
        <w:rPr>
          <w:rFonts w:ascii="Arial" w:hAnsi="Arial" w:cs="Arial"/>
          <w:b/>
          <w:color w:val="000000"/>
          <w:lang w:val="sk-SK"/>
        </w:rPr>
        <w:t>Kontakt pro média:</w:t>
      </w:r>
    </w:p>
    <w:p w:rsidR="00AE47C0" w:rsidRPr="002603EC" w:rsidRDefault="00AE47C0" w:rsidP="00C45298">
      <w:pPr>
        <w:spacing w:after="0" w:line="240" w:lineRule="auto"/>
        <w:rPr>
          <w:rFonts w:ascii="Arial" w:hAnsi="Arial" w:cs="Arial"/>
          <w:color w:val="000000"/>
          <w:lang w:val="sk-SK"/>
        </w:rPr>
      </w:pPr>
      <w:r w:rsidRPr="002603EC">
        <w:rPr>
          <w:rFonts w:ascii="Arial" w:hAnsi="Arial" w:cs="Arial"/>
          <w:b/>
          <w:color w:val="000000"/>
          <w:lang w:val="sk-SK"/>
        </w:rPr>
        <w:br/>
      </w:r>
      <w:r w:rsidRPr="002603EC">
        <w:rPr>
          <w:rFonts w:ascii="Arial" w:hAnsi="Arial" w:cs="Arial"/>
          <w:color w:val="000000"/>
          <w:lang w:val="sk-SK"/>
        </w:rPr>
        <w:t>Alena Bradáčová</w:t>
      </w:r>
      <w:r w:rsidRPr="002603EC">
        <w:rPr>
          <w:rFonts w:ascii="Arial" w:hAnsi="Arial" w:cs="Arial"/>
          <w:color w:val="000000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/>
          <w:lang w:val="sk-SK"/>
        </w:rPr>
        <w:br/>
        <w:t>CEEC Research</w:t>
      </w:r>
      <w:r w:rsidRPr="002603EC">
        <w:rPr>
          <w:rFonts w:ascii="Arial" w:hAnsi="Arial" w:cs="Arial"/>
          <w:color w:val="000000"/>
          <w:lang w:val="sk-SK"/>
        </w:rPr>
        <w:br/>
        <w:t>E-mail: bradacova@ceec.eu</w:t>
      </w:r>
      <w:r w:rsidRPr="002603EC">
        <w:rPr>
          <w:rFonts w:ascii="Arial" w:hAnsi="Arial" w:cs="Arial"/>
          <w:color w:val="000000"/>
          <w:lang w:val="sk-SK"/>
        </w:rPr>
        <w:br/>
        <w:t>Tel.: +420 777 299 790</w:t>
      </w:r>
    </w:p>
    <w:p w:rsidR="00AE47C0" w:rsidRPr="002603EC" w:rsidRDefault="00AE47C0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AE47C0" w:rsidRPr="002603EC" w:rsidRDefault="00AE47C0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AE47C0" w:rsidRPr="002603EC" w:rsidRDefault="00AE47C0" w:rsidP="005F0F7B">
      <w:pPr>
        <w:spacing w:after="0" w:line="240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2603EC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</w:t>
      </w:r>
      <w:smartTag w:uri="urn:schemas-microsoft-com:office:smarttags" w:element="metricconverter">
        <w:smartTagPr>
          <w:attr w:name="ProductID" w:val="2005 a"/>
        </w:smartTagPr>
        <w:r w:rsidRPr="002603EC">
          <w:rPr>
            <w:rFonts w:ascii="Arial" w:hAnsi="Arial" w:cs="Arial"/>
            <w:i/>
            <w:color w:val="000000"/>
            <w:sz w:val="16"/>
            <w:szCs w:val="16"/>
          </w:rPr>
          <w:t>2005 a</w:t>
        </w:r>
      </w:smartTag>
      <w:r w:rsidRPr="002603EC">
        <w:rPr>
          <w:rFonts w:ascii="Arial" w:hAnsi="Arial" w:cs="Arial"/>
          <w:i/>
          <w:color w:val="000000"/>
          <w:sz w:val="16"/>
          <w:szCs w:val="16"/>
        </w:rPr>
        <w:t xml:space="preserve"> od té doby bezplatně poskytuje studie o aktuálním stavu a očekávaném vývoji v těchto segmentech v deseti zemích střední a východní Evropy. Všechny studie a analýzy CEEC Research jsou založen</w:t>
      </w:r>
      <w:r>
        <w:rPr>
          <w:rFonts w:ascii="Arial" w:hAnsi="Arial" w:cs="Arial"/>
          <w:i/>
          <w:color w:val="000000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AE47C0" w:rsidRPr="002603EC" w:rsidRDefault="00AE47C0" w:rsidP="005F0F7B">
      <w:pPr>
        <w:spacing w:after="0" w:line="240" w:lineRule="auto"/>
        <w:jc w:val="both"/>
        <w:rPr>
          <w:rFonts w:ascii="Arial" w:hAnsi="Arial" w:cs="Arial"/>
          <w:b/>
          <w:i/>
          <w:color w:val="000000"/>
          <w:sz w:val="16"/>
          <w:szCs w:val="16"/>
        </w:rPr>
      </w:pPr>
    </w:p>
    <w:p w:rsidR="00AE47C0" w:rsidRPr="002603EC" w:rsidRDefault="00AE47C0" w:rsidP="005F0F7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2603EC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/>
          <w:sz w:val="16"/>
          <w:szCs w:val="16"/>
        </w:rPr>
        <w:t>navíc k pravidelným a bezplatným analýzám stavebního, projektového, d</w:t>
      </w:r>
      <w:r>
        <w:rPr>
          <w:rFonts w:ascii="Arial" w:hAnsi="Arial" w:cs="Arial"/>
          <w:i/>
          <w:color w:val="000000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/>
          <w:sz w:val="16"/>
          <w:szCs w:val="16"/>
        </w:rPr>
        <w:t xml:space="preserve">veřejného sektoru také organizuje specializovaně zaměřené konference, kterých se účastní generální ředitelé nejvýznamnějších stavebních, developerských, projektových a strojírenských společností, prezidenti svazů, cechů a komor z těchto oblastí, aby diskutovali s nejvyššími představiteli státu vybraných zemí. </w:t>
      </w:r>
    </w:p>
    <w:p w:rsidR="00AE47C0" w:rsidRPr="002603EC" w:rsidRDefault="00AE47C0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AE47C0" w:rsidRPr="002603EC" w:rsidSect="00CB19AF">
      <w:headerReference w:type="default" r:id="rId7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7C0" w:rsidRDefault="00AE47C0" w:rsidP="00A76E50">
      <w:pPr>
        <w:spacing w:after="0" w:line="240" w:lineRule="auto"/>
      </w:pPr>
      <w:r>
        <w:separator/>
      </w:r>
    </w:p>
  </w:endnote>
  <w:endnote w:type="continuationSeparator" w:id="0">
    <w:p w:rsidR="00AE47C0" w:rsidRDefault="00AE47C0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7C0" w:rsidRDefault="00AE47C0" w:rsidP="00A76E50">
      <w:pPr>
        <w:spacing w:after="0" w:line="240" w:lineRule="auto"/>
      </w:pPr>
      <w:r>
        <w:separator/>
      </w:r>
    </w:p>
  </w:footnote>
  <w:footnote w:type="continuationSeparator" w:id="0">
    <w:p w:rsidR="00AE47C0" w:rsidRDefault="00AE47C0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7C0" w:rsidRDefault="00AE47C0" w:rsidP="00BD7803">
    <w:pPr>
      <w:pStyle w:val="Header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6" o:spid="_x0000_s2049" type="#_x0000_t75" alt="Popis: Popis: Popis: Popis: Popis: Popis: Popis: logo CEEC Research" style="position:absolute;left:0;text-align:left;margin-left:-18.8pt;margin-top:-15.7pt;width:101.2pt;height:59.75pt;z-index:251660288;visibility:visible;mso-position-horizontal-relative:text;mso-position-vertical-relative:text">
          <v:imagedata r:id="rId1" o:title=""/>
          <w10:wrap type="square"/>
        </v:shape>
      </w:pict>
    </w:r>
  </w:p>
  <w:p w:rsidR="00AE47C0" w:rsidRDefault="00AE47C0" w:rsidP="0029094B">
    <w:pPr>
      <w:pStyle w:val="Header"/>
      <w:tabs>
        <w:tab w:val="clear" w:pos="4536"/>
        <w:tab w:val="clear" w:pos="9072"/>
        <w:tab w:val="left" w:pos="3585"/>
      </w:tabs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</w:t>
    </w:r>
    <w:r w:rsidRPr="00484806">
      <w:rPr>
        <w:b/>
        <w:noProof/>
        <w:color w:val="808080"/>
        <w:sz w:val="60"/>
        <w:szCs w:val="60"/>
        <w:lang w:eastAsia="cs-CZ"/>
      </w:rPr>
      <w:t>Tisková zpráva</w:t>
    </w:r>
  </w:p>
  <w:p w:rsidR="00AE47C0" w:rsidRPr="00AC2D6D" w:rsidRDefault="00AE47C0" w:rsidP="00BD7803">
    <w:pPr>
      <w:pStyle w:val="Header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:rsidR="00AE47C0" w:rsidRDefault="00AE47C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357B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488F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1533"/>
    <w:rsid w:val="00212725"/>
    <w:rsid w:val="00215C0D"/>
    <w:rsid w:val="00223578"/>
    <w:rsid w:val="00223B43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283"/>
    <w:rsid w:val="002B69EB"/>
    <w:rsid w:val="002B7003"/>
    <w:rsid w:val="002C1116"/>
    <w:rsid w:val="002C1E4C"/>
    <w:rsid w:val="002C2C67"/>
    <w:rsid w:val="002C376E"/>
    <w:rsid w:val="002C5F1D"/>
    <w:rsid w:val="002C6870"/>
    <w:rsid w:val="002D00D5"/>
    <w:rsid w:val="002D1105"/>
    <w:rsid w:val="002D1D8C"/>
    <w:rsid w:val="002E1B68"/>
    <w:rsid w:val="002E1CCD"/>
    <w:rsid w:val="002E6321"/>
    <w:rsid w:val="002F3CFF"/>
    <w:rsid w:val="002F4916"/>
    <w:rsid w:val="002F5151"/>
    <w:rsid w:val="002F5850"/>
    <w:rsid w:val="002F7E3F"/>
    <w:rsid w:val="003008A7"/>
    <w:rsid w:val="003014FD"/>
    <w:rsid w:val="003016AD"/>
    <w:rsid w:val="00307802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3BAE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3D0F"/>
    <w:rsid w:val="003747F5"/>
    <w:rsid w:val="003756AA"/>
    <w:rsid w:val="00376974"/>
    <w:rsid w:val="00376E15"/>
    <w:rsid w:val="00383358"/>
    <w:rsid w:val="00384E4A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200E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C69F9"/>
    <w:rsid w:val="003C795B"/>
    <w:rsid w:val="003D47EA"/>
    <w:rsid w:val="003D48F8"/>
    <w:rsid w:val="003D630D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1515B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44BA"/>
    <w:rsid w:val="00475411"/>
    <w:rsid w:val="00476370"/>
    <w:rsid w:val="00476F5C"/>
    <w:rsid w:val="00477E8F"/>
    <w:rsid w:val="00480A99"/>
    <w:rsid w:val="00481DB4"/>
    <w:rsid w:val="00484806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B796E"/>
    <w:rsid w:val="004C14E3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1176"/>
    <w:rsid w:val="00532BE3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A262C"/>
    <w:rsid w:val="005A2DC8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7AC"/>
    <w:rsid w:val="00655C78"/>
    <w:rsid w:val="0065684B"/>
    <w:rsid w:val="00656C3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24C7"/>
    <w:rsid w:val="006A528C"/>
    <w:rsid w:val="006A594B"/>
    <w:rsid w:val="006A6C4A"/>
    <w:rsid w:val="006B1D88"/>
    <w:rsid w:val="006B5BFA"/>
    <w:rsid w:val="006B6B49"/>
    <w:rsid w:val="006C5597"/>
    <w:rsid w:val="006C735B"/>
    <w:rsid w:val="006C7464"/>
    <w:rsid w:val="006D2CD0"/>
    <w:rsid w:val="006E20F2"/>
    <w:rsid w:val="006E4E8A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30372"/>
    <w:rsid w:val="00733E20"/>
    <w:rsid w:val="00737158"/>
    <w:rsid w:val="00737E6F"/>
    <w:rsid w:val="0074021E"/>
    <w:rsid w:val="00741C6E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273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021"/>
    <w:rsid w:val="00881C63"/>
    <w:rsid w:val="00882E09"/>
    <w:rsid w:val="0088365C"/>
    <w:rsid w:val="0088765C"/>
    <w:rsid w:val="008878D0"/>
    <w:rsid w:val="00890743"/>
    <w:rsid w:val="00892496"/>
    <w:rsid w:val="00892803"/>
    <w:rsid w:val="00894EFD"/>
    <w:rsid w:val="008A1918"/>
    <w:rsid w:val="008A2D79"/>
    <w:rsid w:val="008A2FAF"/>
    <w:rsid w:val="008A2FB6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51E4"/>
    <w:rsid w:val="008E70F3"/>
    <w:rsid w:val="008F20F7"/>
    <w:rsid w:val="008F3AEB"/>
    <w:rsid w:val="008F4D01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0CE5"/>
    <w:rsid w:val="00971EE1"/>
    <w:rsid w:val="00973F93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0E41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0A9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47C0"/>
    <w:rsid w:val="00AE6024"/>
    <w:rsid w:val="00AE6AF6"/>
    <w:rsid w:val="00AE6E1B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021E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2EAF"/>
    <w:rsid w:val="00C33A96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A6457"/>
    <w:rsid w:val="00CB0D45"/>
    <w:rsid w:val="00CB134A"/>
    <w:rsid w:val="00CB1595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21E5"/>
    <w:rsid w:val="00DB34B3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DF3F58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2E2F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053A3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407AA"/>
    <w:rsid w:val="00F442EB"/>
    <w:rsid w:val="00F45D66"/>
    <w:rsid w:val="00F5151A"/>
    <w:rsid w:val="00F5346D"/>
    <w:rsid w:val="00F546D9"/>
    <w:rsid w:val="00F615CB"/>
    <w:rsid w:val="00F6617A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FF9"/>
    <w:rsid w:val="00FD72F5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Myanmar Text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F9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968F2"/>
    <w:rPr>
      <w:rFonts w:cs="Times New Roman"/>
      <w:color w:val="0000FF"/>
      <w:u w:val="single"/>
    </w:rPr>
  </w:style>
  <w:style w:type="character" w:customStyle="1" w:styleId="hps">
    <w:name w:val="hps"/>
    <w:basedOn w:val="DefaultParagraphFont"/>
    <w:uiPriority w:val="99"/>
    <w:rsid w:val="00C968F2"/>
    <w:rPr>
      <w:rFonts w:cs="Times New Roman"/>
    </w:rPr>
  </w:style>
  <w:style w:type="paragraph" w:styleId="Header">
    <w:name w:val="header"/>
    <w:basedOn w:val="Normal"/>
    <w:link w:val="HeaderChar"/>
    <w:uiPriority w:val="99"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76E5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76E5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F07B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F94DB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F94D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94DB2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94D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94DB2"/>
    <w:rPr>
      <w:b/>
      <w:bCs/>
    </w:rPr>
  </w:style>
  <w:style w:type="paragraph" w:styleId="PlainText">
    <w:name w:val="Plain Text"/>
    <w:basedOn w:val="Normal"/>
    <w:link w:val="PlainTextChar"/>
    <w:uiPriority w:val="99"/>
    <w:semiHidden/>
    <w:rsid w:val="00A84CE9"/>
    <w:pPr>
      <w:spacing w:after="0" w:line="240" w:lineRule="auto"/>
    </w:pPr>
    <w:rPr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A84CE9"/>
    <w:rPr>
      <w:rFonts w:ascii="Calibri" w:hAnsi="Calibri" w:cs="Times New Roman"/>
      <w:sz w:val="21"/>
      <w:szCs w:val="21"/>
    </w:rPr>
  </w:style>
  <w:style w:type="paragraph" w:styleId="ListParagraph">
    <w:name w:val="List Paragraph"/>
    <w:basedOn w:val="Normal"/>
    <w:uiPriority w:val="99"/>
    <w:qFormat/>
    <w:rsid w:val="005171E3"/>
    <w:pPr>
      <w:ind w:left="720"/>
      <w:contextualSpacing/>
    </w:pPr>
  </w:style>
  <w:style w:type="paragraph" w:styleId="Revision">
    <w:name w:val="Revision"/>
    <w:hidden/>
    <w:uiPriority w:val="99"/>
    <w:semiHidden/>
    <w:rsid w:val="004B0D3D"/>
    <w:rPr>
      <w:lang w:eastAsia="en-US"/>
    </w:rPr>
  </w:style>
  <w:style w:type="table" w:styleId="TableGrid">
    <w:name w:val="Table Grid"/>
    <w:basedOn w:val="TableNormal"/>
    <w:uiPriority w:val="99"/>
    <w:rsid w:val="00E17F4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478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eec.e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741</Words>
  <Characters>4374</Characters>
  <Application>Microsoft Office Outlook</Application>
  <DocSecurity>0</DocSecurity>
  <Lines>0</Lines>
  <Paragraphs>0</Paragraphs>
  <ScaleCrop>false</ScaleCrop>
  <Company>ČSÚ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CEEC</dc:creator>
  <cp:keywords/>
  <dc:description/>
  <cp:lastModifiedBy>Jana</cp:lastModifiedBy>
  <cp:revision>6</cp:revision>
  <dcterms:created xsi:type="dcterms:W3CDTF">2016-02-18T08:04:00Z</dcterms:created>
  <dcterms:modified xsi:type="dcterms:W3CDTF">2016-02-22T08:40:00Z</dcterms:modified>
</cp:coreProperties>
</file>