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72CC" w:rsidRPr="007265CC" w:rsidRDefault="00A92CBB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  <w:r w:rsidRPr="007265CC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V listopadu</w:t>
      </w:r>
      <w:r w:rsidR="00395602" w:rsidRPr="007265CC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 vypsali veřej</w:t>
      </w:r>
      <w:r w:rsidR="00237E98" w:rsidRPr="007265CC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ní investoři zakázky </w:t>
      </w:r>
      <w:r w:rsidR="00E2169B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>na stavební práce za 7,3</w:t>
      </w:r>
      <w:r w:rsidR="00395602" w:rsidRPr="007265CC"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  <w:t xml:space="preserve"> miliardy korun</w:t>
      </w:r>
    </w:p>
    <w:p w:rsidR="00C63502" w:rsidRPr="007265CC" w:rsidRDefault="00C63502" w:rsidP="00EC72CC">
      <w:pPr>
        <w:spacing w:after="0" w:line="360" w:lineRule="auto"/>
        <w:jc w:val="center"/>
        <w:rPr>
          <w:rFonts w:ascii="Arial" w:eastAsia="SimSun" w:hAnsi="Arial" w:cs="Arial"/>
          <w:b/>
          <w:bCs/>
          <w:color w:val="000000" w:themeColor="text1"/>
          <w:kern w:val="1"/>
          <w:sz w:val="32"/>
          <w:szCs w:val="32"/>
        </w:rPr>
      </w:pPr>
    </w:p>
    <w:p w:rsidR="00EE4A95" w:rsidRPr="003C69F9" w:rsidRDefault="00B718C2" w:rsidP="00494BCC">
      <w:pPr>
        <w:spacing w:after="0" w:line="360" w:lineRule="auto"/>
        <w:jc w:val="both"/>
        <w:rPr>
          <w:rFonts w:ascii="Arial" w:eastAsia="SimSun" w:hAnsi="Arial" w:cs="Arial"/>
          <w:b/>
          <w:color w:val="000000" w:themeColor="text1"/>
          <w:kern w:val="1"/>
        </w:rPr>
      </w:pPr>
      <w:r w:rsidRPr="003C69F9">
        <w:rPr>
          <w:rFonts w:ascii="Arial" w:eastAsia="SimSun" w:hAnsi="Arial" w:cs="Arial"/>
          <w:b/>
          <w:color w:val="000000" w:themeColor="text1"/>
          <w:kern w:val="1"/>
        </w:rPr>
        <w:t>Praha</w:t>
      </w:r>
      <w:r w:rsidR="008E1F3C" w:rsidRPr="003C69F9">
        <w:rPr>
          <w:rFonts w:ascii="Arial" w:eastAsia="SimSun" w:hAnsi="Arial" w:cs="Arial"/>
          <w:b/>
          <w:color w:val="000000" w:themeColor="text1"/>
          <w:kern w:val="1"/>
        </w:rPr>
        <w:t>,</w:t>
      </w:r>
      <w:r w:rsidR="00037C15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5015EE">
        <w:rPr>
          <w:rFonts w:ascii="Arial" w:eastAsia="SimSun" w:hAnsi="Arial" w:cs="Arial"/>
          <w:b/>
          <w:color w:val="000000" w:themeColor="text1"/>
          <w:kern w:val="1"/>
        </w:rPr>
        <w:t>12</w:t>
      </w:r>
      <w:r w:rsidR="00122E6D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. </w:t>
      </w:r>
      <w:r w:rsidR="0000424D" w:rsidRPr="003C69F9">
        <w:rPr>
          <w:rFonts w:ascii="Arial" w:eastAsia="SimSun" w:hAnsi="Arial" w:cs="Arial"/>
          <w:b/>
          <w:color w:val="000000" w:themeColor="text1"/>
          <w:kern w:val="1"/>
        </w:rPr>
        <w:t>ledna</w:t>
      </w:r>
      <w:r w:rsidR="001D7988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627790" w:rsidRPr="003C69F9">
        <w:rPr>
          <w:rFonts w:ascii="Arial" w:eastAsia="SimSun" w:hAnsi="Arial" w:cs="Arial"/>
          <w:b/>
          <w:color w:val="000000" w:themeColor="text1"/>
          <w:kern w:val="1"/>
        </w:rPr>
        <w:t>–</w:t>
      </w:r>
      <w:r w:rsidR="007E3F5D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Výběrová řízení za celkem 7,3 miliardy korun vyhlásili</w:t>
      </w:r>
      <w:r w:rsidR="00237E98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veřejní investoři</w:t>
      </w:r>
      <w:r w:rsidR="007E3F5D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237E98" w:rsidRPr="003C69F9">
        <w:rPr>
          <w:rFonts w:ascii="Arial" w:eastAsia="SimSun" w:hAnsi="Arial" w:cs="Arial"/>
          <w:b/>
          <w:color w:val="000000" w:themeColor="text1"/>
          <w:kern w:val="1"/>
        </w:rPr>
        <w:t>v listopadu</w:t>
      </w:r>
      <w:r w:rsidR="00395602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roku</w:t>
      </w:r>
      <w:r w:rsidR="00E466A8">
        <w:rPr>
          <w:rFonts w:ascii="Arial" w:eastAsia="SimSun" w:hAnsi="Arial" w:cs="Arial"/>
          <w:b/>
          <w:color w:val="000000" w:themeColor="text1"/>
          <w:kern w:val="1"/>
        </w:rPr>
        <w:t xml:space="preserve"> 2015</w:t>
      </w:r>
      <w:r w:rsidR="00395602" w:rsidRPr="003C69F9">
        <w:rPr>
          <w:rFonts w:ascii="Arial" w:eastAsia="SimSun" w:hAnsi="Arial" w:cs="Arial"/>
          <w:b/>
          <w:color w:val="000000" w:themeColor="text1"/>
          <w:kern w:val="1"/>
        </w:rPr>
        <w:t>. V le</w:t>
      </w:r>
      <w:r w:rsidR="00562CAD" w:rsidRPr="003C69F9">
        <w:rPr>
          <w:rFonts w:ascii="Arial" w:eastAsia="SimSun" w:hAnsi="Arial" w:cs="Arial"/>
          <w:b/>
          <w:color w:val="000000" w:themeColor="text1"/>
          <w:kern w:val="1"/>
        </w:rPr>
        <w:t>dnu až listopadu</w:t>
      </w:r>
      <w:r w:rsidR="00395602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2015 bylo ve Věstníku veřejných</w:t>
      </w:r>
      <w:r w:rsidR="007E3F5D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zakázek zveřejněno celkem 2164 soutěží v celkové hodnotě téměř 85</w:t>
      </w:r>
      <w:r w:rsidR="00395602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miliard.</w:t>
      </w:r>
      <w:r w:rsidR="007E3F5D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V meziročním srovnání jde</w:t>
      </w:r>
      <w:r w:rsidR="000243CB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však</w:t>
      </w:r>
      <w:r w:rsidR="007E3F5D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o výrazný útlum jak v počtu, tak objemu</w:t>
      </w:r>
      <w:r w:rsidR="000243CB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zakázek</w:t>
      </w:r>
      <w:r w:rsidR="007E3F5D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. </w:t>
      </w:r>
      <w:r w:rsidR="00DC6643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Vyplývá to z nejnovější analýzy zpracované analytickou společností CEEC Research na základě dat uveřejněných </w:t>
      </w:r>
      <w:r w:rsidR="00DB5326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ve Věstníku veřejných zakázek </w:t>
      </w:r>
      <w:r w:rsidR="00446B31" w:rsidRPr="003C69F9">
        <w:rPr>
          <w:rFonts w:ascii="Arial" w:eastAsia="SimSun" w:hAnsi="Arial" w:cs="Arial"/>
          <w:b/>
          <w:color w:val="000000" w:themeColor="text1"/>
          <w:kern w:val="1"/>
        </w:rPr>
        <w:t>na konci listopadu</w:t>
      </w:r>
      <w:r w:rsidR="000C7B62" w:rsidRPr="003C69F9">
        <w:rPr>
          <w:rFonts w:ascii="Arial" w:eastAsia="SimSun" w:hAnsi="Arial" w:cs="Arial"/>
          <w:b/>
          <w:color w:val="000000" w:themeColor="text1"/>
          <w:kern w:val="1"/>
        </w:rPr>
        <w:t xml:space="preserve"> </w:t>
      </w:r>
      <w:r w:rsidR="00DC6643" w:rsidRPr="003C69F9">
        <w:rPr>
          <w:rFonts w:ascii="Arial" w:eastAsia="SimSun" w:hAnsi="Arial" w:cs="Arial"/>
          <w:b/>
          <w:color w:val="000000" w:themeColor="text1"/>
          <w:kern w:val="1"/>
        </w:rPr>
        <w:t>2015</w:t>
      </w:r>
      <w:r w:rsidR="00DB5326" w:rsidRPr="003C69F9">
        <w:rPr>
          <w:rFonts w:ascii="Arial" w:eastAsia="SimSun" w:hAnsi="Arial" w:cs="Arial"/>
          <w:b/>
          <w:color w:val="000000" w:themeColor="text1"/>
          <w:kern w:val="1"/>
        </w:rPr>
        <w:t>.</w:t>
      </w:r>
    </w:p>
    <w:p w:rsidR="00EE4A95" w:rsidRPr="003C69F9" w:rsidRDefault="00EE4A95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0B1956" w:rsidRPr="003C69F9" w:rsidRDefault="000B1956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3C69F9">
        <w:rPr>
          <w:rFonts w:ascii="Arial" w:hAnsi="Arial" w:cs="Arial"/>
          <w:color w:val="000000" w:themeColor="text1"/>
        </w:rPr>
        <w:t xml:space="preserve">V listopadu roku 2015 bylo veřejnými investory oznámeno 127 výběrových řízení v hodnotě </w:t>
      </w:r>
      <w:r w:rsidR="007E3F5D" w:rsidRPr="003C69F9">
        <w:rPr>
          <w:rFonts w:ascii="Arial" w:hAnsi="Arial" w:cs="Arial"/>
          <w:color w:val="000000" w:themeColor="text1"/>
        </w:rPr>
        <w:t xml:space="preserve">7,3 miliardy korun. </w:t>
      </w:r>
      <w:r w:rsidR="000243CB" w:rsidRPr="003C69F9">
        <w:rPr>
          <w:rFonts w:ascii="Arial" w:hAnsi="Arial" w:cs="Arial"/>
          <w:color w:val="000000" w:themeColor="text1"/>
        </w:rPr>
        <w:t>Ačkoliv jd</w:t>
      </w:r>
      <w:r w:rsidR="002A59E2">
        <w:rPr>
          <w:rFonts w:ascii="Arial" w:hAnsi="Arial" w:cs="Arial"/>
          <w:color w:val="000000" w:themeColor="text1"/>
        </w:rPr>
        <w:t>e z hlediska objemu oproti říjnu</w:t>
      </w:r>
      <w:r w:rsidR="000243CB" w:rsidRPr="003C69F9">
        <w:rPr>
          <w:rFonts w:ascii="Arial" w:hAnsi="Arial" w:cs="Arial"/>
          <w:color w:val="000000" w:themeColor="text1"/>
        </w:rPr>
        <w:t xml:space="preserve"> o mírný nárůst (13,5 procenta), v meziročním srovnání jde o pokles o 8,2 procenta. V počtu oznámených zakázek je pak tento pokles dokonce třetinový.</w:t>
      </w:r>
      <w:r w:rsidR="007612CC">
        <w:rPr>
          <w:rFonts w:ascii="Arial" w:hAnsi="Arial" w:cs="Arial"/>
          <w:color w:val="000000" w:themeColor="text1"/>
        </w:rPr>
        <w:t xml:space="preserve"> </w:t>
      </w:r>
      <w:r w:rsidR="00964FE7" w:rsidRPr="00526140">
        <w:rPr>
          <w:rFonts w:ascii="Arial" w:hAnsi="Arial" w:cs="Arial"/>
          <w:i/>
          <w:color w:val="000000" w:themeColor="text1"/>
        </w:rPr>
        <w:t>„</w:t>
      </w:r>
      <w:r w:rsidR="00FE6A7B">
        <w:rPr>
          <w:rFonts w:ascii="Arial" w:hAnsi="Arial" w:cs="Arial"/>
          <w:i/>
          <w:color w:val="000000" w:themeColor="text1"/>
        </w:rPr>
        <w:t>Největší stavební zakázku</w:t>
      </w:r>
      <w:r w:rsidR="007612CC" w:rsidRPr="00526140">
        <w:rPr>
          <w:rFonts w:ascii="Arial" w:hAnsi="Arial" w:cs="Arial"/>
          <w:i/>
          <w:color w:val="000000" w:themeColor="text1"/>
        </w:rPr>
        <w:t xml:space="preserve"> vypsala </w:t>
      </w:r>
      <w:r w:rsidR="00E466A8">
        <w:rPr>
          <w:rFonts w:ascii="Arial" w:hAnsi="Arial" w:cs="Arial"/>
          <w:i/>
          <w:color w:val="000000" w:themeColor="text1"/>
        </w:rPr>
        <w:t xml:space="preserve">v listopadu </w:t>
      </w:r>
      <w:r w:rsidR="007612CC" w:rsidRPr="00526140">
        <w:rPr>
          <w:rFonts w:ascii="Arial" w:hAnsi="Arial" w:cs="Arial"/>
          <w:i/>
          <w:color w:val="000000" w:themeColor="text1"/>
        </w:rPr>
        <w:t xml:space="preserve">Správa železniční dopravní cesty. Jedná se o soutěž na optimalizaci traťového úseku mezi </w:t>
      </w:r>
      <w:proofErr w:type="spellStart"/>
      <w:r w:rsidR="007612CC" w:rsidRPr="00526140">
        <w:rPr>
          <w:rFonts w:ascii="Arial" w:hAnsi="Arial" w:cs="Arial"/>
          <w:i/>
          <w:color w:val="000000" w:themeColor="text1"/>
        </w:rPr>
        <w:t>Prahou</w:t>
      </w:r>
      <w:r w:rsidR="00E466A8">
        <w:rPr>
          <w:rFonts w:ascii="Arial" w:hAnsi="Arial" w:cs="Arial"/>
          <w:i/>
          <w:color w:val="000000" w:themeColor="text1"/>
        </w:rPr>
        <w:t>-</w:t>
      </w:r>
      <w:r w:rsidR="007612CC" w:rsidRPr="00526140">
        <w:rPr>
          <w:rFonts w:ascii="Arial" w:hAnsi="Arial" w:cs="Arial"/>
          <w:i/>
          <w:color w:val="000000" w:themeColor="text1"/>
        </w:rPr>
        <w:t>Hostivaří</w:t>
      </w:r>
      <w:proofErr w:type="spellEnd"/>
      <w:r w:rsidR="007612CC" w:rsidRPr="00526140">
        <w:rPr>
          <w:rFonts w:ascii="Arial" w:hAnsi="Arial" w:cs="Arial"/>
          <w:i/>
          <w:color w:val="000000" w:themeColor="text1"/>
        </w:rPr>
        <w:t xml:space="preserve"> a Prah</w:t>
      </w:r>
      <w:r w:rsidR="00E466A8">
        <w:rPr>
          <w:rFonts w:ascii="Arial" w:hAnsi="Arial" w:cs="Arial"/>
          <w:i/>
          <w:color w:val="000000" w:themeColor="text1"/>
        </w:rPr>
        <w:t>ou-</w:t>
      </w:r>
      <w:r w:rsidR="00132B8D">
        <w:rPr>
          <w:rFonts w:ascii="Arial" w:hAnsi="Arial" w:cs="Arial"/>
          <w:i/>
          <w:color w:val="000000" w:themeColor="text1"/>
        </w:rPr>
        <w:t>H</w:t>
      </w:r>
      <w:r w:rsidR="007612CC" w:rsidRPr="00526140">
        <w:rPr>
          <w:rFonts w:ascii="Arial" w:hAnsi="Arial" w:cs="Arial"/>
          <w:i/>
          <w:color w:val="000000" w:themeColor="text1"/>
        </w:rPr>
        <w:t>lavním nádražím</w:t>
      </w:r>
      <w:r w:rsidR="00E466A8">
        <w:rPr>
          <w:rFonts w:ascii="Arial" w:hAnsi="Arial" w:cs="Arial"/>
          <w:i/>
          <w:color w:val="000000" w:themeColor="text1"/>
        </w:rPr>
        <w:t xml:space="preserve"> </w:t>
      </w:r>
      <w:r w:rsidR="00E466A8" w:rsidRPr="00526140">
        <w:rPr>
          <w:rFonts w:ascii="Arial" w:hAnsi="Arial" w:cs="Arial"/>
          <w:i/>
          <w:color w:val="000000" w:themeColor="text1"/>
        </w:rPr>
        <w:t>v celkové hodnotě 3,6 miliardy korun</w:t>
      </w:r>
      <w:r w:rsidR="00964FE7" w:rsidRPr="00526140">
        <w:rPr>
          <w:rFonts w:ascii="Arial" w:hAnsi="Arial" w:cs="Arial"/>
          <w:i/>
          <w:color w:val="000000" w:themeColor="text1"/>
        </w:rPr>
        <w:t>,“</w:t>
      </w:r>
      <w:r w:rsidR="00964FE7">
        <w:rPr>
          <w:rFonts w:ascii="Arial" w:hAnsi="Arial" w:cs="Arial"/>
          <w:color w:val="000000" w:themeColor="text1"/>
        </w:rPr>
        <w:t xml:space="preserve"> doplňuje</w:t>
      </w:r>
      <w:r w:rsidR="00E466A8">
        <w:rPr>
          <w:rFonts w:ascii="Arial" w:hAnsi="Arial" w:cs="Arial"/>
          <w:color w:val="000000" w:themeColor="text1"/>
        </w:rPr>
        <w:t xml:space="preserve"> údaje</w:t>
      </w:r>
      <w:r w:rsidR="00964FE7">
        <w:rPr>
          <w:rFonts w:ascii="Arial" w:hAnsi="Arial" w:cs="Arial"/>
          <w:color w:val="000000" w:themeColor="text1"/>
        </w:rPr>
        <w:t xml:space="preserve"> </w:t>
      </w:r>
      <w:r w:rsidR="00964FE7" w:rsidRPr="00526140">
        <w:rPr>
          <w:rFonts w:ascii="Arial" w:hAnsi="Arial" w:cs="Arial"/>
          <w:b/>
          <w:i/>
          <w:color w:val="000000" w:themeColor="text1"/>
        </w:rPr>
        <w:t>Jiří</w:t>
      </w:r>
      <w:r w:rsidR="005015EE">
        <w:rPr>
          <w:rFonts w:ascii="Arial" w:hAnsi="Arial" w:cs="Arial"/>
          <w:b/>
          <w:i/>
          <w:color w:val="000000" w:themeColor="text1"/>
        </w:rPr>
        <w:t xml:space="preserve"> </w:t>
      </w:r>
      <w:r w:rsidR="00964FE7" w:rsidRPr="00526140">
        <w:rPr>
          <w:rFonts w:ascii="Arial" w:hAnsi="Arial" w:cs="Arial"/>
          <w:b/>
          <w:i/>
          <w:color w:val="000000" w:themeColor="text1"/>
        </w:rPr>
        <w:t>Vacek, ředitel analytické společnosti CEEC Research.</w:t>
      </w:r>
    </w:p>
    <w:p w:rsidR="00536079" w:rsidRPr="003C69F9" w:rsidRDefault="00536079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73643" w:rsidRPr="00526140" w:rsidRDefault="000B1956" w:rsidP="00964FE7">
      <w:pPr>
        <w:spacing w:after="0" w:line="360" w:lineRule="auto"/>
        <w:jc w:val="both"/>
        <w:rPr>
          <w:rFonts w:ascii="Arial" w:hAnsi="Arial" w:cs="Arial"/>
        </w:rPr>
      </w:pPr>
      <w:r w:rsidRPr="003C69F9">
        <w:rPr>
          <w:rFonts w:ascii="Arial" w:hAnsi="Arial" w:cs="Arial"/>
          <w:color w:val="000000" w:themeColor="text1"/>
        </w:rPr>
        <w:t xml:space="preserve">Za prvních jedenáct měsíců roku </w:t>
      </w:r>
      <w:r w:rsidR="00E466A8">
        <w:rPr>
          <w:rFonts w:ascii="Arial" w:hAnsi="Arial" w:cs="Arial"/>
          <w:color w:val="000000" w:themeColor="text1"/>
        </w:rPr>
        <w:t xml:space="preserve">2015 </w:t>
      </w:r>
      <w:r w:rsidRPr="003C69F9">
        <w:rPr>
          <w:rFonts w:ascii="Arial" w:hAnsi="Arial" w:cs="Arial"/>
          <w:color w:val="000000" w:themeColor="text1"/>
        </w:rPr>
        <w:t xml:space="preserve">se ve </w:t>
      </w:r>
      <w:r w:rsidRPr="003C69F9">
        <w:rPr>
          <w:rFonts w:ascii="Arial" w:hAnsi="Arial" w:cs="Arial"/>
        </w:rPr>
        <w:t xml:space="preserve">Věstníku veřejných zakázek objevilo 2164 soutěží s celkovou hodnotou téměř 85 miliard korun. To představuje v meziročním srovnání výrazný pokles jak v počtu (33 procent), tak v objemu (31,5 </w:t>
      </w:r>
      <w:r w:rsidR="003C69F9" w:rsidRPr="003C69F9">
        <w:rPr>
          <w:rFonts w:ascii="Arial" w:hAnsi="Arial" w:cs="Arial"/>
        </w:rPr>
        <w:t xml:space="preserve">procenta) připravených investic a </w:t>
      </w:r>
      <w:r w:rsidR="00E466A8">
        <w:rPr>
          <w:rFonts w:ascii="Arial" w:hAnsi="Arial" w:cs="Arial"/>
        </w:rPr>
        <w:t xml:space="preserve">dokazuje </w:t>
      </w:r>
      <w:r w:rsidR="003C69F9" w:rsidRPr="003C69F9">
        <w:rPr>
          <w:rFonts w:ascii="Arial" w:hAnsi="Arial" w:cs="Arial"/>
        </w:rPr>
        <w:t>pokračující zápornou bilanci.</w:t>
      </w:r>
      <w:r w:rsidR="00964FE7">
        <w:rPr>
          <w:rFonts w:ascii="Arial" w:hAnsi="Arial" w:cs="Arial"/>
        </w:rPr>
        <w:t xml:space="preserve"> </w:t>
      </w:r>
      <w:r w:rsidR="00964FE7" w:rsidRPr="005015EE">
        <w:rPr>
          <w:rFonts w:ascii="Arial" w:hAnsi="Arial" w:cs="Arial"/>
          <w:i/>
        </w:rPr>
        <w:t>„Klesající počet veřejných zakázek nás nepřekvapuje. Je odrazem současné legislativy, která má přes všechny proklamace o podpoře hospodářského vývoje a konkurenceschopnosti spíše restriktivní dopad na přípravu staveb, výběrová řízení a jejich realizaci. Skupina Metrostav dnes dosahuje již přes 30 % výkonů v zahraničí, takže můžeme srovnávat. Zatímco za hranicemi cítíme chuť a snahu investovat a využívat evropské dotace, u nás si to sami komplikujeme. A dosavadní návrhy nového zákona o zadávání veřejných zakázek bohužel nepřinášejí zlepšení. Podle našeho názoru např</w:t>
      </w:r>
      <w:r w:rsidR="00E466A8">
        <w:rPr>
          <w:rFonts w:ascii="Arial" w:hAnsi="Arial" w:cs="Arial"/>
          <w:i/>
        </w:rPr>
        <w:t>íklad</w:t>
      </w:r>
      <w:r w:rsidR="00964FE7" w:rsidRPr="005015EE">
        <w:rPr>
          <w:rFonts w:ascii="Arial" w:hAnsi="Arial" w:cs="Arial"/>
          <w:i/>
        </w:rPr>
        <w:t xml:space="preserve"> neusnadňují procesování změn v průběhu výstavby v rozsahu, jaký umožňuje Směrnice Evropského parlamentu a Rady 2014/24/EU ze dne 26. února 2014 o zadávání veřejných zakázek,“</w:t>
      </w:r>
      <w:r w:rsidR="00964FE7">
        <w:rPr>
          <w:rFonts w:ascii="Arial" w:hAnsi="Arial" w:cs="Arial"/>
        </w:rPr>
        <w:t xml:space="preserve"> hodnotí aktuální stav </w:t>
      </w:r>
      <w:r w:rsidR="00964FE7" w:rsidRPr="005015EE">
        <w:rPr>
          <w:rFonts w:ascii="Arial" w:hAnsi="Arial" w:cs="Arial"/>
          <w:b/>
          <w:i/>
        </w:rPr>
        <w:t xml:space="preserve">Pavel Pilát, generální ředitel </w:t>
      </w:r>
      <w:r w:rsidR="00261225">
        <w:rPr>
          <w:rFonts w:ascii="Arial" w:hAnsi="Arial" w:cs="Arial"/>
          <w:b/>
          <w:i/>
        </w:rPr>
        <w:t xml:space="preserve">společnosti </w:t>
      </w:r>
      <w:r w:rsidR="00964FE7" w:rsidRPr="005015EE">
        <w:rPr>
          <w:rFonts w:ascii="Arial" w:hAnsi="Arial" w:cs="Arial"/>
          <w:b/>
          <w:i/>
        </w:rPr>
        <w:t>Metrostav</w:t>
      </w:r>
      <w:r w:rsidR="00261225">
        <w:rPr>
          <w:rFonts w:ascii="Arial" w:hAnsi="Arial" w:cs="Arial"/>
          <w:b/>
          <w:i/>
        </w:rPr>
        <w:t xml:space="preserve">. </w:t>
      </w:r>
    </w:p>
    <w:p w:rsidR="00931D64" w:rsidRDefault="00931D64" w:rsidP="00494BCC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lang w:eastAsia="cs-CZ"/>
        </w:rPr>
      </w:pPr>
      <w:r w:rsidRPr="00931D64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lastRenderedPageBreak/>
        <w:t>Meziroční změny oznámení o zakázce v letech 2014 až 2015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3"/>
        <w:gridCol w:w="1743"/>
        <w:gridCol w:w="1064"/>
        <w:gridCol w:w="1048"/>
        <w:gridCol w:w="1062"/>
        <w:gridCol w:w="1069"/>
        <w:gridCol w:w="1043"/>
        <w:gridCol w:w="1065"/>
      </w:tblGrid>
      <w:tr w:rsidR="00931D64" w:rsidRPr="00931D64" w:rsidTr="005E1A1E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931D64" w:rsidRPr="00931D64" w:rsidRDefault="001D063E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Stavební zakázky</w:t>
            </w:r>
          </w:p>
        </w:tc>
        <w:tc>
          <w:tcPr>
            <w:tcW w:w="3223" w:type="dxa"/>
            <w:gridSpan w:val="3"/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Hodnota</w:t>
            </w:r>
          </w:p>
        </w:tc>
      </w:tr>
      <w:tr w:rsidR="00931D64" w:rsidRPr="00931D64" w:rsidTr="005E1A1E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počet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931D64" w:rsidRPr="00931D64" w:rsidRDefault="00931D64" w:rsidP="00931D64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931D64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Meziroční změna v %</w:t>
            </w:r>
          </w:p>
        </w:tc>
      </w:tr>
      <w:tr w:rsidR="001D063E" w:rsidRPr="00931D64" w:rsidTr="005E1A1E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1D063E" w:rsidRPr="00931D64" w:rsidRDefault="001D063E" w:rsidP="00931D6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931D64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2014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773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+50,4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27 637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+39,2</w:t>
            </w:r>
          </w:p>
        </w:tc>
      </w:tr>
      <w:tr w:rsidR="001D063E" w:rsidRPr="00931D64" w:rsidTr="005E1A1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1D063E" w:rsidRPr="00931D64" w:rsidRDefault="001D063E" w:rsidP="00931D6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1 104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+30,5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36 193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+21,5</w:t>
            </w:r>
          </w:p>
        </w:tc>
      </w:tr>
      <w:tr w:rsidR="001D063E" w:rsidRPr="00931D64" w:rsidTr="005E1A1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1D063E" w:rsidRPr="00931D64" w:rsidRDefault="001D063E" w:rsidP="00931D6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913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+25,6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42 090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+43,5</w:t>
            </w:r>
          </w:p>
        </w:tc>
      </w:tr>
      <w:tr w:rsidR="001D063E" w:rsidRPr="00931D64" w:rsidTr="005E1A1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1D063E" w:rsidRPr="00931D64" w:rsidRDefault="001D063E" w:rsidP="00931D6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643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-21,4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27 894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-39,9</w:t>
            </w:r>
          </w:p>
        </w:tc>
      </w:tr>
      <w:tr w:rsidR="001D063E" w:rsidRPr="00931D64" w:rsidTr="005E1A1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1D063E" w:rsidRPr="00931D64" w:rsidRDefault="001D063E" w:rsidP="00931D6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3 433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+18,2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133 814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+6,7</w:t>
            </w:r>
          </w:p>
        </w:tc>
      </w:tr>
      <w:tr w:rsidR="001D063E" w:rsidRPr="00931D64" w:rsidTr="005E1A1E">
        <w:trPr>
          <w:cantSplit/>
          <w:trHeight w:val="284"/>
        </w:trPr>
        <w:tc>
          <w:tcPr>
            <w:tcW w:w="918" w:type="dxa"/>
            <w:vMerge w:val="restart"/>
            <w:vAlign w:val="center"/>
          </w:tcPr>
          <w:p w:rsidR="001D063E" w:rsidRPr="00931D64" w:rsidRDefault="001D063E" w:rsidP="00931D6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931D64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674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-12,8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26 985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-2,4</w:t>
            </w:r>
          </w:p>
        </w:tc>
      </w:tr>
      <w:tr w:rsidR="001D063E" w:rsidRPr="00931D64" w:rsidTr="005E1A1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1D063E" w:rsidRPr="00931D64" w:rsidRDefault="001D063E" w:rsidP="00931D6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738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-33,2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25 877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-28,5</w:t>
            </w:r>
          </w:p>
        </w:tc>
      </w:tr>
      <w:tr w:rsidR="001D063E" w:rsidRPr="00931D64" w:rsidTr="005E1A1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1D063E" w:rsidRPr="00931D64" w:rsidRDefault="001D063E" w:rsidP="00931D6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489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-46,4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17 884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-57,5</w:t>
            </w:r>
          </w:p>
        </w:tc>
      </w:tr>
      <w:tr w:rsidR="001D063E" w:rsidRPr="007C57A5" w:rsidTr="005E1A1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1D063E" w:rsidRPr="00931D64" w:rsidRDefault="001D063E" w:rsidP="00931D6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Listopad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127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-33,9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7 316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-8,2</w:t>
            </w:r>
          </w:p>
        </w:tc>
      </w:tr>
      <w:tr w:rsidR="001D063E" w:rsidRPr="007C57A5" w:rsidTr="005E1A1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1D063E" w:rsidRPr="00931D64" w:rsidRDefault="001D063E" w:rsidP="00931D6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Leden až listopad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2 164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-33,0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84 388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-31,5</w:t>
            </w:r>
          </w:p>
        </w:tc>
      </w:tr>
    </w:tbl>
    <w:p w:rsidR="00931D64" w:rsidRPr="00931D64" w:rsidRDefault="00931D64" w:rsidP="00931D64">
      <w:pPr>
        <w:spacing w:after="0" w:line="240" w:lineRule="auto"/>
        <w:jc w:val="both"/>
        <w:rPr>
          <w:rFonts w:ascii="Arial" w:eastAsia="Times New Roman" w:hAnsi="Arial" w:cs="Times New Roman"/>
          <w:bCs/>
          <w:sz w:val="20"/>
          <w:szCs w:val="24"/>
          <w:u w:val="single"/>
          <w:lang w:eastAsia="cs-CZ"/>
        </w:rPr>
      </w:pPr>
      <w:r w:rsidRPr="00931D64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B64AEB" w:rsidRDefault="00B64AEB" w:rsidP="00B64AE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120111" w:rsidRPr="00526140" w:rsidRDefault="000B09D7" w:rsidP="00120111">
      <w:pPr>
        <w:spacing w:after="0" w:line="360" w:lineRule="auto"/>
        <w:jc w:val="both"/>
        <w:rPr>
          <w:rFonts w:ascii="Arial" w:hAnsi="Arial" w:cs="Arial"/>
          <w:b/>
          <w:i/>
          <w:color w:val="000000" w:themeColor="text1"/>
        </w:rPr>
      </w:pPr>
      <w:r w:rsidRPr="003C69F9">
        <w:rPr>
          <w:rFonts w:ascii="Arial" w:hAnsi="Arial" w:cs="Arial"/>
        </w:rPr>
        <w:t>Z výše uvedených výběrových řízení již bylo státními investory 59 procent ukončeno a zadáno konkrétní</w:t>
      </w:r>
      <w:r w:rsidR="00E466A8">
        <w:rPr>
          <w:rFonts w:ascii="Arial" w:hAnsi="Arial" w:cs="Arial"/>
        </w:rPr>
        <w:t>m</w:t>
      </w:r>
      <w:r w:rsidRPr="003C69F9">
        <w:rPr>
          <w:rFonts w:ascii="Arial" w:hAnsi="Arial" w:cs="Arial"/>
        </w:rPr>
        <w:t xml:space="preserve"> stavební</w:t>
      </w:r>
      <w:r w:rsidR="00E466A8">
        <w:rPr>
          <w:rFonts w:ascii="Arial" w:hAnsi="Arial" w:cs="Arial"/>
        </w:rPr>
        <w:t>m</w:t>
      </w:r>
      <w:r w:rsidRPr="003C69F9">
        <w:rPr>
          <w:rFonts w:ascii="Arial" w:hAnsi="Arial" w:cs="Arial"/>
        </w:rPr>
        <w:t xml:space="preserve"> firm</w:t>
      </w:r>
      <w:r w:rsidR="00E466A8">
        <w:rPr>
          <w:rFonts w:ascii="Arial" w:hAnsi="Arial" w:cs="Arial"/>
        </w:rPr>
        <w:t>ám.</w:t>
      </w:r>
      <w:r w:rsidRPr="003C69F9">
        <w:rPr>
          <w:rFonts w:ascii="Arial" w:hAnsi="Arial" w:cs="Arial"/>
        </w:rPr>
        <w:t xml:space="preserve"> </w:t>
      </w:r>
      <w:r w:rsidR="00E466A8">
        <w:rPr>
          <w:rFonts w:ascii="Arial" w:hAnsi="Arial" w:cs="Arial"/>
        </w:rPr>
        <w:t>Z</w:t>
      </w:r>
      <w:r w:rsidRPr="003C69F9">
        <w:rPr>
          <w:rFonts w:ascii="Arial" w:hAnsi="Arial" w:cs="Arial"/>
        </w:rPr>
        <w:t xml:space="preserve"> celkového objemu </w:t>
      </w:r>
      <w:r w:rsidR="00E466A8">
        <w:rPr>
          <w:rFonts w:ascii="Arial" w:hAnsi="Arial" w:cs="Arial"/>
        </w:rPr>
        <w:t xml:space="preserve">to </w:t>
      </w:r>
      <w:r w:rsidRPr="003C69F9">
        <w:rPr>
          <w:rFonts w:ascii="Arial" w:hAnsi="Arial" w:cs="Arial"/>
        </w:rPr>
        <w:t xml:space="preserve">představuje 54 procent soutěží ve vypsané hodnotě 45,7 miliardy korun. Reálně však byly tyto zakázky soutěženy za 41,9 miliardy korun, což je o 8 procent méně, než jaká byla jejich hodnota při oznámení. </w:t>
      </w:r>
      <w:r w:rsidR="00120111" w:rsidRPr="003C69F9">
        <w:rPr>
          <w:rFonts w:ascii="Arial" w:hAnsi="Arial" w:cs="Arial"/>
        </w:rPr>
        <w:t>Po odečtení zadanýc</w:t>
      </w:r>
      <w:r w:rsidR="00EC3B66" w:rsidRPr="003C69F9">
        <w:rPr>
          <w:rFonts w:ascii="Arial" w:hAnsi="Arial" w:cs="Arial"/>
        </w:rPr>
        <w:t>h a zrušených zakázek (zhruba 8</w:t>
      </w:r>
      <w:r w:rsidR="00120111" w:rsidRPr="003C69F9">
        <w:rPr>
          <w:rFonts w:ascii="Arial" w:hAnsi="Arial" w:cs="Arial"/>
        </w:rPr>
        <w:t xml:space="preserve"> procent celkového objemu) zbývají v sy</w:t>
      </w:r>
      <w:r w:rsidR="00EC3B66" w:rsidRPr="003C69F9">
        <w:rPr>
          <w:rFonts w:ascii="Arial" w:hAnsi="Arial" w:cs="Arial"/>
        </w:rPr>
        <w:t>stému ještě soutěže v hodnotě 31,8</w:t>
      </w:r>
      <w:r w:rsidR="00120111" w:rsidRPr="003C69F9">
        <w:rPr>
          <w:rFonts w:ascii="Arial" w:hAnsi="Arial" w:cs="Arial"/>
        </w:rPr>
        <w:t xml:space="preserve"> miliard</w:t>
      </w:r>
      <w:r w:rsidR="00772BED">
        <w:rPr>
          <w:rFonts w:ascii="Arial" w:hAnsi="Arial" w:cs="Arial"/>
        </w:rPr>
        <w:t>y</w:t>
      </w:r>
      <w:r w:rsidR="00120111" w:rsidRPr="003C69F9">
        <w:rPr>
          <w:rFonts w:ascii="Arial" w:hAnsi="Arial" w:cs="Arial"/>
        </w:rPr>
        <w:t xml:space="preserve"> korun.</w:t>
      </w:r>
      <w:r w:rsidR="00964FE7">
        <w:rPr>
          <w:rFonts w:ascii="Arial" w:hAnsi="Arial" w:cs="Arial"/>
        </w:rPr>
        <w:t xml:space="preserve"> </w:t>
      </w:r>
      <w:r w:rsidR="00964FE7" w:rsidRPr="00526140">
        <w:rPr>
          <w:rFonts w:ascii="Arial" w:hAnsi="Arial" w:cs="Arial"/>
          <w:i/>
        </w:rPr>
        <w:t xml:space="preserve">„Stavebnictví </w:t>
      </w:r>
      <w:r w:rsidR="00772BED">
        <w:rPr>
          <w:rFonts w:ascii="Arial" w:hAnsi="Arial" w:cs="Arial"/>
          <w:i/>
        </w:rPr>
        <w:t xml:space="preserve">sice </w:t>
      </w:r>
      <w:r w:rsidR="00964FE7" w:rsidRPr="00526140">
        <w:rPr>
          <w:rFonts w:ascii="Arial" w:hAnsi="Arial" w:cs="Arial"/>
          <w:i/>
        </w:rPr>
        <w:t xml:space="preserve">za letošní rok výrazně vzrostlo, </w:t>
      </w:r>
      <w:r w:rsidR="00772BED">
        <w:rPr>
          <w:rFonts w:ascii="Arial" w:hAnsi="Arial" w:cs="Arial"/>
          <w:i/>
        </w:rPr>
        <w:t xml:space="preserve">ale </w:t>
      </w:r>
      <w:r w:rsidR="00772BED" w:rsidRPr="00526140">
        <w:rPr>
          <w:rFonts w:ascii="Arial" w:hAnsi="Arial" w:cs="Arial"/>
          <w:i/>
        </w:rPr>
        <w:t xml:space="preserve">týkalo </w:t>
      </w:r>
      <w:r w:rsidR="00772BED">
        <w:rPr>
          <w:rFonts w:ascii="Arial" w:hAnsi="Arial" w:cs="Arial"/>
          <w:i/>
        </w:rPr>
        <w:t xml:space="preserve">se </w:t>
      </w:r>
      <w:r w:rsidR="00964FE7" w:rsidRPr="00526140">
        <w:rPr>
          <w:rFonts w:ascii="Arial" w:hAnsi="Arial" w:cs="Arial"/>
          <w:i/>
        </w:rPr>
        <w:t xml:space="preserve">to především dopravních staveb. V našem oboru pozemních staveb je stále práce nedostatek a o zakázky </w:t>
      </w:r>
      <w:r w:rsidR="00772BED">
        <w:rPr>
          <w:rFonts w:ascii="Arial" w:hAnsi="Arial" w:cs="Arial"/>
          <w:i/>
        </w:rPr>
        <w:t>přetrvává</w:t>
      </w:r>
      <w:r w:rsidR="00772BED" w:rsidRPr="00526140">
        <w:rPr>
          <w:rFonts w:ascii="Arial" w:hAnsi="Arial" w:cs="Arial"/>
          <w:i/>
        </w:rPr>
        <w:t xml:space="preserve"> </w:t>
      </w:r>
      <w:r w:rsidR="00964FE7" w:rsidRPr="00526140">
        <w:rPr>
          <w:rFonts w:ascii="Arial" w:hAnsi="Arial" w:cs="Arial"/>
          <w:i/>
        </w:rPr>
        <w:t>mezi firmami velký boj,“</w:t>
      </w:r>
      <w:r w:rsidR="00964FE7">
        <w:rPr>
          <w:rFonts w:ascii="Arial" w:hAnsi="Arial" w:cs="Arial"/>
        </w:rPr>
        <w:t xml:space="preserve"> říká </w:t>
      </w:r>
      <w:r w:rsidR="00964FE7" w:rsidRPr="00526140">
        <w:rPr>
          <w:rFonts w:ascii="Arial" w:hAnsi="Arial" w:cs="Arial"/>
          <w:b/>
          <w:i/>
        </w:rPr>
        <w:t xml:space="preserve">Mário Červenka, ředitel developerské společnosti </w:t>
      </w:r>
      <w:proofErr w:type="gramStart"/>
      <w:r w:rsidR="00964FE7" w:rsidRPr="00526140">
        <w:rPr>
          <w:rFonts w:ascii="Arial" w:hAnsi="Arial" w:cs="Arial"/>
          <w:b/>
          <w:i/>
        </w:rPr>
        <w:t>O.M.</w:t>
      </w:r>
      <w:proofErr w:type="gramEnd"/>
      <w:r w:rsidR="00964FE7" w:rsidRPr="00526140">
        <w:rPr>
          <w:rFonts w:ascii="Arial" w:hAnsi="Arial" w:cs="Arial"/>
          <w:b/>
          <w:i/>
        </w:rPr>
        <w:t>C. Invest.</w:t>
      </w:r>
    </w:p>
    <w:p w:rsidR="006D2CD0" w:rsidRPr="003C69F9" w:rsidRDefault="00922AEB" w:rsidP="00B64AEB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3C69F9">
        <w:rPr>
          <w:rFonts w:ascii="Arial" w:hAnsi="Arial" w:cs="Arial"/>
          <w:color w:val="000000" w:themeColor="text1"/>
        </w:rPr>
        <w:t xml:space="preserve"> </w:t>
      </w:r>
    </w:p>
    <w:p w:rsidR="00395602" w:rsidRPr="00D86AAC" w:rsidRDefault="00373643" w:rsidP="00773F91">
      <w:pPr>
        <w:spacing w:after="0" w:line="360" w:lineRule="auto"/>
        <w:jc w:val="both"/>
        <w:rPr>
          <w:rFonts w:ascii="Arial" w:hAnsi="Arial" w:cs="Arial"/>
          <w:b/>
          <w:i/>
          <w:color w:val="000000" w:themeColor="text1"/>
        </w:rPr>
      </w:pPr>
      <w:r w:rsidRPr="003C69F9">
        <w:rPr>
          <w:rFonts w:ascii="Arial" w:hAnsi="Arial" w:cs="Arial"/>
          <w:color w:val="000000" w:themeColor="text1"/>
        </w:rPr>
        <w:t xml:space="preserve">Aktivita veřejných investorů v ukončování </w:t>
      </w:r>
      <w:r w:rsidR="00FE6A7B">
        <w:rPr>
          <w:rFonts w:ascii="Arial" w:hAnsi="Arial" w:cs="Arial"/>
          <w:color w:val="000000" w:themeColor="text1"/>
        </w:rPr>
        <w:t>výběrových řízení byla</w:t>
      </w:r>
      <w:r w:rsidRPr="003C69F9">
        <w:rPr>
          <w:rFonts w:ascii="Arial" w:hAnsi="Arial" w:cs="Arial"/>
          <w:color w:val="000000" w:themeColor="text1"/>
        </w:rPr>
        <w:t xml:space="preserve"> za</w:t>
      </w:r>
      <w:r w:rsidR="00FE6A7B">
        <w:rPr>
          <w:rFonts w:ascii="Arial" w:hAnsi="Arial" w:cs="Arial"/>
          <w:color w:val="000000" w:themeColor="text1"/>
        </w:rPr>
        <w:t xml:space="preserve"> prvních</w:t>
      </w:r>
      <w:r w:rsidRPr="003C69F9">
        <w:rPr>
          <w:rFonts w:ascii="Arial" w:hAnsi="Arial" w:cs="Arial"/>
          <w:color w:val="000000" w:themeColor="text1"/>
        </w:rPr>
        <w:t xml:space="preserve"> jedenáct měsíců </w:t>
      </w:r>
      <w:r w:rsidR="00FE6A7B">
        <w:rPr>
          <w:rFonts w:ascii="Arial" w:hAnsi="Arial" w:cs="Arial"/>
          <w:color w:val="000000" w:themeColor="text1"/>
        </w:rPr>
        <w:t xml:space="preserve">roku 2015 </w:t>
      </w:r>
      <w:r w:rsidRPr="003C69F9">
        <w:rPr>
          <w:rFonts w:ascii="Arial" w:hAnsi="Arial" w:cs="Arial"/>
          <w:color w:val="000000" w:themeColor="text1"/>
        </w:rPr>
        <w:t>na téměř stejné úrovni</w:t>
      </w:r>
      <w:r w:rsidR="00772BED">
        <w:rPr>
          <w:rFonts w:ascii="Arial" w:hAnsi="Arial" w:cs="Arial"/>
          <w:color w:val="000000" w:themeColor="text1"/>
        </w:rPr>
        <w:t>,</w:t>
      </w:r>
      <w:r w:rsidRPr="003C69F9">
        <w:rPr>
          <w:rFonts w:ascii="Arial" w:hAnsi="Arial" w:cs="Arial"/>
          <w:color w:val="000000" w:themeColor="text1"/>
        </w:rPr>
        <w:t xml:space="preserve"> jako </w:t>
      </w:r>
      <w:r w:rsidR="00772BED">
        <w:rPr>
          <w:rFonts w:ascii="Arial" w:hAnsi="Arial" w:cs="Arial"/>
          <w:color w:val="000000" w:themeColor="text1"/>
        </w:rPr>
        <w:t xml:space="preserve">tomu bylo </w:t>
      </w:r>
      <w:r w:rsidRPr="003C69F9">
        <w:rPr>
          <w:rFonts w:ascii="Arial" w:hAnsi="Arial" w:cs="Arial"/>
          <w:color w:val="000000" w:themeColor="text1"/>
        </w:rPr>
        <w:t xml:space="preserve">v odpovídajícím období </w:t>
      </w:r>
      <w:r w:rsidR="00772BED">
        <w:rPr>
          <w:rFonts w:ascii="Arial" w:hAnsi="Arial" w:cs="Arial"/>
          <w:color w:val="000000" w:themeColor="text1"/>
        </w:rPr>
        <w:t>předchozího</w:t>
      </w:r>
      <w:r w:rsidR="00772BED" w:rsidRPr="003C69F9">
        <w:rPr>
          <w:rFonts w:ascii="Arial" w:hAnsi="Arial" w:cs="Arial"/>
          <w:color w:val="000000" w:themeColor="text1"/>
        </w:rPr>
        <w:t xml:space="preserve"> </w:t>
      </w:r>
      <w:r w:rsidRPr="003C69F9">
        <w:rPr>
          <w:rFonts w:ascii="Arial" w:hAnsi="Arial" w:cs="Arial"/>
          <w:color w:val="000000" w:themeColor="text1"/>
        </w:rPr>
        <w:t>roku. V lednu až listopadu 2015 bylo zadáno konkrétním dodavatelům 5610 zakázek v celkové hodnotě 108 miliard korun. V meziročním srovnání tak jde o nárůst o</w:t>
      </w:r>
      <w:r w:rsidR="000B09D7" w:rsidRPr="003C69F9">
        <w:rPr>
          <w:rFonts w:ascii="Arial" w:hAnsi="Arial" w:cs="Arial"/>
          <w:color w:val="000000" w:themeColor="text1"/>
        </w:rPr>
        <w:t xml:space="preserve"> 6 procent, respektive pokles o 1,9 procenta. </w:t>
      </w:r>
      <w:r w:rsidR="00922AEB" w:rsidRPr="003C69F9">
        <w:rPr>
          <w:rFonts w:ascii="Arial" w:hAnsi="Arial" w:cs="Arial"/>
        </w:rPr>
        <w:t xml:space="preserve">Některá zadávací řízení stále </w:t>
      </w:r>
      <w:r w:rsidR="00772BED">
        <w:rPr>
          <w:rFonts w:ascii="Arial" w:hAnsi="Arial" w:cs="Arial"/>
        </w:rPr>
        <w:t>probíhají</w:t>
      </w:r>
      <w:r w:rsidR="00922AEB" w:rsidRPr="003C69F9">
        <w:rPr>
          <w:rFonts w:ascii="Arial" w:hAnsi="Arial" w:cs="Arial"/>
        </w:rPr>
        <w:t>, a proto lze očekávat, že v dalších měsících dojde ještě k aktualizaci a upřesnění dat.</w:t>
      </w:r>
      <w:r w:rsidR="00D86AAC">
        <w:rPr>
          <w:rFonts w:ascii="Arial" w:hAnsi="Arial" w:cs="Arial"/>
        </w:rPr>
        <w:t xml:space="preserve"> </w:t>
      </w:r>
      <w:r w:rsidR="00D86AAC" w:rsidRPr="00D86AAC">
        <w:rPr>
          <w:rFonts w:ascii="Arial" w:hAnsi="Arial" w:cs="Arial"/>
          <w:i/>
        </w:rPr>
        <w:t xml:space="preserve">„Aktivita veřejných investorů v </w:t>
      </w:r>
      <w:r w:rsidR="00772BED">
        <w:rPr>
          <w:rFonts w:ascii="Arial" w:hAnsi="Arial" w:cs="Arial"/>
          <w:i/>
        </w:rPr>
        <w:t>sektoru</w:t>
      </w:r>
      <w:r w:rsidR="00772BED" w:rsidRPr="00D86AAC">
        <w:rPr>
          <w:rFonts w:ascii="Arial" w:hAnsi="Arial" w:cs="Arial"/>
          <w:i/>
        </w:rPr>
        <w:t xml:space="preserve"> </w:t>
      </w:r>
      <w:r w:rsidR="00D86AAC" w:rsidRPr="00D86AAC">
        <w:rPr>
          <w:rFonts w:ascii="Arial" w:hAnsi="Arial" w:cs="Arial"/>
          <w:i/>
        </w:rPr>
        <w:t>pozemního stavitelství nepolevuje</w:t>
      </w:r>
      <w:r w:rsidR="00772BED">
        <w:rPr>
          <w:rFonts w:ascii="Arial" w:hAnsi="Arial" w:cs="Arial"/>
          <w:i/>
        </w:rPr>
        <w:t>.</w:t>
      </w:r>
      <w:r w:rsidR="00D86AAC" w:rsidRPr="00D86AAC">
        <w:rPr>
          <w:rFonts w:ascii="Arial" w:hAnsi="Arial" w:cs="Arial"/>
          <w:i/>
        </w:rPr>
        <w:t xml:space="preserve"> </w:t>
      </w:r>
      <w:r w:rsidR="00772BED">
        <w:rPr>
          <w:rFonts w:ascii="Arial" w:hAnsi="Arial" w:cs="Arial"/>
          <w:i/>
        </w:rPr>
        <w:t>J</w:t>
      </w:r>
      <w:r w:rsidR="00D86AAC" w:rsidRPr="00D86AAC">
        <w:rPr>
          <w:rFonts w:ascii="Arial" w:hAnsi="Arial" w:cs="Arial"/>
          <w:i/>
        </w:rPr>
        <w:t xml:space="preserve">e zjevné, že státní podpora daná směrnicí MŽP č. 7/2010 a vypsáním další podpory v oblasti programu zelená úsporám </w:t>
      </w:r>
      <w:r w:rsidR="00772BED">
        <w:rPr>
          <w:rFonts w:ascii="Arial" w:hAnsi="Arial" w:cs="Arial"/>
          <w:i/>
        </w:rPr>
        <w:t>představuj</w:t>
      </w:r>
      <w:r w:rsidR="00261225">
        <w:rPr>
          <w:rFonts w:ascii="Arial" w:hAnsi="Arial" w:cs="Arial"/>
          <w:i/>
        </w:rPr>
        <w:t>í</w:t>
      </w:r>
      <w:r w:rsidR="00D86AAC" w:rsidRPr="00D86AAC">
        <w:rPr>
          <w:rFonts w:ascii="Arial" w:hAnsi="Arial" w:cs="Arial"/>
          <w:i/>
        </w:rPr>
        <w:t xml:space="preserve"> významnou motivac</w:t>
      </w:r>
      <w:r w:rsidR="00772BED">
        <w:rPr>
          <w:rFonts w:ascii="Arial" w:hAnsi="Arial" w:cs="Arial"/>
          <w:i/>
        </w:rPr>
        <w:t>i</w:t>
      </w:r>
      <w:r w:rsidR="00D86AAC" w:rsidRPr="00D86AAC">
        <w:rPr>
          <w:rFonts w:ascii="Arial" w:hAnsi="Arial" w:cs="Arial"/>
          <w:i/>
        </w:rPr>
        <w:t xml:space="preserve"> pro veřejné instituce zejména v oblasti rekonstrukcí veřejných budov</w:t>
      </w:r>
      <w:r w:rsidR="00772BED">
        <w:rPr>
          <w:rFonts w:ascii="Arial" w:hAnsi="Arial" w:cs="Arial"/>
          <w:i/>
        </w:rPr>
        <w:t>,</w:t>
      </w:r>
      <w:r w:rsidR="00D86AAC" w:rsidRPr="00D86AAC">
        <w:rPr>
          <w:rFonts w:ascii="Arial" w:hAnsi="Arial" w:cs="Arial"/>
          <w:i/>
        </w:rPr>
        <w:t xml:space="preserve"> jako jsou školy, nemocnice a úřady, kde zajišťujeme dodávky stavebních materiálů pro zateplení</w:t>
      </w:r>
      <w:bookmarkStart w:id="0" w:name="_GoBack"/>
      <w:r w:rsidR="00772BED">
        <w:rPr>
          <w:rFonts w:ascii="Arial" w:hAnsi="Arial" w:cs="Arial"/>
          <w:i/>
        </w:rPr>
        <w:t>,</w:t>
      </w:r>
      <w:bookmarkEnd w:id="0"/>
      <w:r w:rsidR="00D86AAC" w:rsidRPr="00D86AAC">
        <w:rPr>
          <w:rFonts w:ascii="Arial" w:hAnsi="Arial" w:cs="Arial"/>
          <w:i/>
        </w:rPr>
        <w:t xml:space="preserve"> </w:t>
      </w:r>
      <w:r w:rsidR="00D86AAC" w:rsidRPr="00D86AAC">
        <w:rPr>
          <w:rFonts w:ascii="Arial" w:hAnsi="Arial" w:cs="Arial"/>
          <w:i/>
        </w:rPr>
        <w:lastRenderedPageBreak/>
        <w:t xml:space="preserve">resp. energetické úspory spojené s </w:t>
      </w:r>
      <w:r w:rsidR="00D86AAC">
        <w:rPr>
          <w:rFonts w:ascii="Arial" w:hAnsi="Arial" w:cs="Arial"/>
          <w:i/>
        </w:rPr>
        <w:t>vytápěním budov,</w:t>
      </w:r>
      <w:r w:rsidR="00D86AAC" w:rsidRPr="00D86AAC">
        <w:rPr>
          <w:rFonts w:ascii="Arial" w:hAnsi="Arial" w:cs="Arial"/>
          <w:i/>
        </w:rPr>
        <w:t>“</w:t>
      </w:r>
      <w:r w:rsidR="00D86AAC">
        <w:rPr>
          <w:rFonts w:ascii="Arial" w:hAnsi="Arial" w:cs="Arial"/>
        </w:rPr>
        <w:t xml:space="preserve"> d</w:t>
      </w:r>
      <w:r w:rsidR="00D86AAC" w:rsidRPr="00D86AAC">
        <w:rPr>
          <w:rFonts w:ascii="Arial" w:hAnsi="Arial" w:cs="Arial"/>
        </w:rPr>
        <w:t xml:space="preserve">odává </w:t>
      </w:r>
      <w:r w:rsidR="00D86AAC" w:rsidRPr="00D86AAC">
        <w:rPr>
          <w:rFonts w:ascii="Arial" w:hAnsi="Arial" w:cs="Arial"/>
          <w:b/>
          <w:i/>
        </w:rPr>
        <w:t>Tomáš Rosák, předseda představenstva Saint-Gobain Construction Products.</w:t>
      </w:r>
    </w:p>
    <w:p w:rsidR="00922AEB" w:rsidRDefault="00922AEB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</w:pPr>
      <w:r w:rsidRPr="00395602">
        <w:rPr>
          <w:rFonts w:ascii="Arial" w:eastAsia="Times New Roman" w:hAnsi="Arial" w:cs="Times New Roman"/>
          <w:b/>
          <w:bCs/>
          <w:sz w:val="20"/>
          <w:szCs w:val="24"/>
          <w:lang w:eastAsia="cs-CZ"/>
        </w:rPr>
        <w:t>Meziroční změny oznámení o zadání zakázky v letech 2014 až 2015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4"/>
        <w:gridCol w:w="1742"/>
        <w:gridCol w:w="1063"/>
        <w:gridCol w:w="1047"/>
        <w:gridCol w:w="1062"/>
        <w:gridCol w:w="1069"/>
        <w:gridCol w:w="1042"/>
        <w:gridCol w:w="1068"/>
      </w:tblGrid>
      <w:tr w:rsidR="00395602" w:rsidRPr="00395602" w:rsidTr="005E1A1E">
        <w:trPr>
          <w:cantSplit/>
          <w:trHeight w:val="284"/>
        </w:trPr>
        <w:tc>
          <w:tcPr>
            <w:tcW w:w="2694" w:type="dxa"/>
            <w:gridSpan w:val="2"/>
            <w:vMerge w:val="restart"/>
            <w:tcBorders>
              <w:top w:val="nil"/>
              <w:left w:val="nil"/>
            </w:tcBorders>
            <w:vAlign w:val="center"/>
          </w:tcPr>
          <w:p w:rsidR="00395602" w:rsidRPr="00395602" w:rsidRDefault="001D063E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Stavební zakázky</w:t>
            </w:r>
          </w:p>
        </w:tc>
        <w:tc>
          <w:tcPr>
            <w:tcW w:w="3223" w:type="dxa"/>
            <w:gridSpan w:val="3"/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Počet</w:t>
            </w:r>
          </w:p>
        </w:tc>
        <w:tc>
          <w:tcPr>
            <w:tcW w:w="3223" w:type="dxa"/>
            <w:gridSpan w:val="3"/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Hodnota</w:t>
            </w:r>
          </w:p>
        </w:tc>
      </w:tr>
      <w:tr w:rsidR="00395602" w:rsidRPr="00395602" w:rsidTr="005E1A1E">
        <w:trPr>
          <w:cantSplit/>
          <w:trHeight w:val="284"/>
        </w:trPr>
        <w:tc>
          <w:tcPr>
            <w:tcW w:w="2694" w:type="dxa"/>
            <w:gridSpan w:val="2"/>
            <w:vMerge/>
            <w:tcBorders>
              <w:left w:val="nil"/>
              <w:bottom w:val="single" w:sz="4" w:space="0" w:color="auto"/>
            </w:tcBorders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</w:p>
        </w:tc>
        <w:tc>
          <w:tcPr>
            <w:tcW w:w="1074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95602" w:rsidRPr="00395602" w:rsidRDefault="00AB3A5B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P</w:t>
            </w:r>
            <w:r w:rsidR="00395602"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očet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Meziroční změna v %</w:t>
            </w:r>
          </w:p>
        </w:tc>
        <w:tc>
          <w:tcPr>
            <w:tcW w:w="1074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  <w:t>mil. Kč</w:t>
            </w:r>
          </w:p>
        </w:tc>
        <w:tc>
          <w:tcPr>
            <w:tcW w:w="2149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395602" w:rsidRPr="00395602" w:rsidRDefault="00395602" w:rsidP="0039560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sz w:val="18"/>
                <w:szCs w:val="24"/>
                <w:lang w:eastAsia="cs-CZ"/>
              </w:rPr>
            </w:pPr>
            <w:r w:rsidRPr="00395602">
              <w:rPr>
                <w:rFonts w:ascii="Arial" w:eastAsia="Times New Roman" w:hAnsi="Arial" w:cs="Times New Roman"/>
                <w:bCs/>
                <w:sz w:val="18"/>
                <w:szCs w:val="18"/>
                <w:lang w:eastAsia="cs-CZ"/>
              </w:rPr>
              <w:t>Meziroční změna v %</w:t>
            </w:r>
          </w:p>
        </w:tc>
      </w:tr>
      <w:tr w:rsidR="001D063E" w:rsidRPr="001D063E" w:rsidTr="005E1A1E">
        <w:trPr>
          <w:cantSplit/>
          <w:trHeight w:val="284"/>
        </w:trPr>
        <w:tc>
          <w:tcPr>
            <w:tcW w:w="918" w:type="dxa"/>
            <w:vMerge w:val="restart"/>
            <w:tcBorders>
              <w:top w:val="single" w:sz="4" w:space="0" w:color="auto"/>
            </w:tcBorders>
            <w:vAlign w:val="center"/>
          </w:tcPr>
          <w:p w:rsidR="001D063E" w:rsidRPr="00395602" w:rsidRDefault="001D063E" w:rsidP="003956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2014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970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+78,0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23 081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+103,3</w:t>
            </w:r>
          </w:p>
        </w:tc>
      </w:tr>
      <w:tr w:rsidR="001D063E" w:rsidRPr="001D063E" w:rsidTr="005E1A1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1D063E" w:rsidRPr="00395602" w:rsidRDefault="001D063E" w:rsidP="003956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1 632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-1,2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32 580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+26,9</w:t>
            </w:r>
          </w:p>
        </w:tc>
      </w:tr>
      <w:tr w:rsidR="001D063E" w:rsidRPr="001D063E" w:rsidTr="005E1A1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1D063E" w:rsidRPr="00395602" w:rsidRDefault="001D063E" w:rsidP="003956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1 716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-26,7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33 493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-5,0</w:t>
            </w:r>
          </w:p>
        </w:tc>
      </w:tr>
      <w:tr w:rsidR="001D063E" w:rsidRPr="001D063E" w:rsidTr="005E1A1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1D063E" w:rsidRPr="00395602" w:rsidRDefault="001D063E" w:rsidP="003956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single" w:sz="4" w:space="0" w:color="auto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4. čtvrtletí</w:t>
            </w:r>
          </w:p>
        </w:tc>
        <w:tc>
          <w:tcPr>
            <w:tcW w:w="1074" w:type="dxa"/>
            <w:tcBorders>
              <w:top w:val="nil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1 404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-21,7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28 646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+9,2</w:t>
            </w:r>
          </w:p>
        </w:tc>
      </w:tr>
      <w:tr w:rsidR="001D063E" w:rsidRPr="001D063E" w:rsidTr="005E1A1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1D063E" w:rsidRPr="00395602" w:rsidRDefault="001D063E" w:rsidP="00395602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Rok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5 722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-9,6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117 801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+19,6</w:t>
            </w:r>
          </w:p>
        </w:tc>
      </w:tr>
      <w:tr w:rsidR="001D063E" w:rsidRPr="001D063E" w:rsidTr="005E1A1E">
        <w:trPr>
          <w:cantSplit/>
          <w:trHeight w:val="284"/>
        </w:trPr>
        <w:tc>
          <w:tcPr>
            <w:tcW w:w="918" w:type="dxa"/>
            <w:vMerge w:val="restart"/>
            <w:vAlign w:val="center"/>
          </w:tcPr>
          <w:p w:rsidR="001D063E" w:rsidRPr="00395602" w:rsidRDefault="001D063E" w:rsidP="003956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395602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2015</w:t>
            </w:r>
          </w:p>
        </w:tc>
        <w:tc>
          <w:tcPr>
            <w:tcW w:w="1776" w:type="dxa"/>
            <w:tcBorders>
              <w:top w:val="single" w:sz="4" w:space="0" w:color="auto"/>
              <w:bottom w:val="nil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1. čtvrtletí</w:t>
            </w:r>
          </w:p>
        </w:tc>
        <w:tc>
          <w:tcPr>
            <w:tcW w:w="1074" w:type="dxa"/>
            <w:tcBorders>
              <w:top w:val="single" w:sz="4" w:space="0" w:color="auto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1 086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+12,0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21 323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-7,6</w:t>
            </w:r>
          </w:p>
        </w:tc>
      </w:tr>
      <w:tr w:rsidR="001D063E" w:rsidRPr="001D063E" w:rsidTr="005E1A1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1D063E" w:rsidRPr="00395602" w:rsidRDefault="001D063E" w:rsidP="003956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2.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1 584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-2,9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34 751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+6,7</w:t>
            </w:r>
          </w:p>
        </w:tc>
      </w:tr>
      <w:tr w:rsidR="001D063E" w:rsidRPr="001D063E" w:rsidTr="005E1A1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1D063E" w:rsidRPr="00395602" w:rsidRDefault="001D063E" w:rsidP="003956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nil"/>
              <w:bottom w:val="nil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3. čtvrtletí</w:t>
            </w:r>
          </w:p>
        </w:tc>
        <w:tc>
          <w:tcPr>
            <w:tcW w:w="1074" w:type="dxa"/>
            <w:tcBorders>
              <w:top w:val="nil"/>
              <w:bottom w:val="nil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1 889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+10,1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36 909</w:t>
            </w:r>
          </w:p>
        </w:tc>
        <w:tc>
          <w:tcPr>
            <w:tcW w:w="1074" w:type="dxa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nil"/>
              <w:left w:val="nil"/>
              <w:bottom w:val="nil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sz w:val="18"/>
                <w:szCs w:val="16"/>
                <w:lang w:eastAsia="cs-CZ"/>
              </w:rPr>
              <w:t>+10,2</w:t>
            </w:r>
          </w:p>
        </w:tc>
      </w:tr>
      <w:tr w:rsidR="001D063E" w:rsidRPr="001D063E" w:rsidTr="005E1A1E">
        <w:trPr>
          <w:cantSplit/>
          <w:trHeight w:val="284"/>
        </w:trPr>
        <w:tc>
          <w:tcPr>
            <w:tcW w:w="918" w:type="dxa"/>
            <w:vMerge/>
            <w:vAlign w:val="center"/>
          </w:tcPr>
          <w:p w:rsidR="001D063E" w:rsidRPr="00395602" w:rsidRDefault="001D063E" w:rsidP="00395602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6"/>
                <w:lang w:eastAsia="cs-CZ"/>
              </w:rPr>
            </w:pPr>
          </w:p>
        </w:tc>
        <w:tc>
          <w:tcPr>
            <w:tcW w:w="177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Leden až listopad</w:t>
            </w:r>
          </w:p>
        </w:tc>
        <w:tc>
          <w:tcPr>
            <w:tcW w:w="10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5 610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92D050"/>
                <w:sz w:val="28"/>
                <w:szCs w:val="28"/>
                <w:lang w:eastAsia="cs-CZ"/>
              </w:rPr>
              <w:sym w:font="Wingdings 3" w:char="F0C7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left w:w="0" w:type="dxa"/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+6,0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right w:w="227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108 130</w:t>
            </w:r>
          </w:p>
        </w:tc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</w:pPr>
            <w:r w:rsidRPr="001D063E">
              <w:rPr>
                <w:rFonts w:ascii="Arial" w:eastAsia="Times New Roman" w:hAnsi="Arial" w:cs="Times New Roman"/>
                <w:bCs/>
                <w:color w:val="FF0000"/>
                <w:sz w:val="28"/>
                <w:szCs w:val="28"/>
                <w:lang w:eastAsia="cs-CZ"/>
              </w:rPr>
              <w:sym w:font="Wingdings 3" w:char="F0C8"/>
            </w:r>
          </w:p>
        </w:tc>
        <w:tc>
          <w:tcPr>
            <w:tcW w:w="1075" w:type="dxa"/>
            <w:tcBorders>
              <w:top w:val="single" w:sz="4" w:space="0" w:color="auto"/>
              <w:left w:val="nil"/>
              <w:bottom w:val="single" w:sz="4" w:space="0" w:color="auto"/>
            </w:tcBorders>
            <w:tcMar>
              <w:right w:w="284" w:type="dxa"/>
            </w:tcMar>
            <w:vAlign w:val="center"/>
          </w:tcPr>
          <w:p w:rsidR="001D063E" w:rsidRPr="001D063E" w:rsidRDefault="001D063E" w:rsidP="001D063E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</w:pPr>
            <w:r w:rsidRPr="001D063E">
              <w:rPr>
                <w:rFonts w:ascii="Arial" w:eastAsia="Times New Roman" w:hAnsi="Arial" w:cs="Arial"/>
                <w:b/>
                <w:sz w:val="18"/>
                <w:szCs w:val="16"/>
                <w:lang w:eastAsia="cs-CZ"/>
              </w:rPr>
              <w:t>-1,9</w:t>
            </w:r>
          </w:p>
        </w:tc>
      </w:tr>
    </w:tbl>
    <w:p w:rsidR="00395602" w:rsidRPr="00395602" w:rsidRDefault="00395602" w:rsidP="00395602">
      <w:pPr>
        <w:spacing w:after="0" w:line="240" w:lineRule="auto"/>
        <w:jc w:val="both"/>
        <w:rPr>
          <w:rFonts w:ascii="Arial" w:eastAsia="Times New Roman" w:hAnsi="Arial" w:cs="Times New Roman"/>
          <w:bCs/>
          <w:sz w:val="16"/>
          <w:szCs w:val="16"/>
          <w:lang w:eastAsia="cs-CZ"/>
        </w:rPr>
      </w:pPr>
      <w:r w:rsidRPr="00395602">
        <w:rPr>
          <w:rFonts w:ascii="Arial" w:eastAsia="Times New Roman" w:hAnsi="Arial" w:cs="Times New Roman"/>
          <w:bCs/>
          <w:sz w:val="16"/>
          <w:szCs w:val="16"/>
          <w:lang w:eastAsia="cs-CZ"/>
        </w:rPr>
        <w:t>Zdroj: Věstník veřejných zakázek, výpočty CEEC Research</w:t>
      </w:r>
    </w:p>
    <w:p w:rsidR="00395602" w:rsidRDefault="00395602" w:rsidP="00773F91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6C7464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  <w:r w:rsidRPr="00DC4B47">
        <w:rPr>
          <w:rFonts w:ascii="Arial" w:hAnsi="Arial" w:cs="Arial"/>
          <w:b/>
          <w:color w:val="000000" w:themeColor="text1"/>
        </w:rPr>
        <w:t xml:space="preserve">Více na </w:t>
      </w:r>
      <w:hyperlink r:id="rId7" w:history="1">
        <w:r w:rsidRPr="00FD72F5">
          <w:rPr>
            <w:rStyle w:val="Hypertextovodkaz"/>
            <w:rFonts w:ascii="Arial" w:hAnsi="Arial" w:cs="Arial"/>
            <w:b/>
          </w:rPr>
          <w:t>www.ceec.eu</w:t>
        </w:r>
      </w:hyperlink>
    </w:p>
    <w:p w:rsidR="00DC4B47" w:rsidRPr="00DC4B47" w:rsidRDefault="00DC4B47" w:rsidP="00DC4B47">
      <w:pPr>
        <w:spacing w:after="0" w:line="360" w:lineRule="auto"/>
        <w:jc w:val="center"/>
        <w:rPr>
          <w:rFonts w:ascii="Arial" w:hAnsi="Arial" w:cs="Arial"/>
          <w:b/>
          <w:color w:val="000000" w:themeColor="text1"/>
        </w:rPr>
      </w:pPr>
    </w:p>
    <w:p w:rsidR="006C7464" w:rsidRDefault="006C7464" w:rsidP="006A6C4A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b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t>Kontakt pro média:</w:t>
      </w:r>
    </w:p>
    <w:p w:rsidR="00C968F2" w:rsidRPr="002603EC" w:rsidRDefault="00C968F2" w:rsidP="00C45298">
      <w:pPr>
        <w:spacing w:after="0" w:line="240" w:lineRule="auto"/>
        <w:rPr>
          <w:rFonts w:ascii="Arial" w:hAnsi="Arial" w:cs="Arial"/>
          <w:color w:val="000000" w:themeColor="text1"/>
          <w:lang w:val="sk-SK"/>
        </w:rPr>
      </w:pPr>
      <w:r w:rsidRPr="002603EC">
        <w:rPr>
          <w:rFonts w:ascii="Arial" w:hAnsi="Arial" w:cs="Arial"/>
          <w:b/>
          <w:color w:val="000000" w:themeColor="text1"/>
          <w:lang w:val="sk-SK"/>
        </w:rPr>
        <w:br/>
      </w:r>
      <w:r w:rsidRPr="002603EC">
        <w:rPr>
          <w:rFonts w:ascii="Arial" w:hAnsi="Arial" w:cs="Arial"/>
          <w:color w:val="000000" w:themeColor="text1"/>
          <w:lang w:val="sk-SK"/>
        </w:rPr>
        <w:t xml:space="preserve">Alena </w:t>
      </w:r>
      <w:r w:rsidR="00B718C2" w:rsidRPr="002603EC">
        <w:rPr>
          <w:rFonts w:ascii="Arial" w:hAnsi="Arial" w:cs="Arial"/>
          <w:color w:val="000000" w:themeColor="text1"/>
          <w:lang w:val="sk-SK"/>
        </w:rPr>
        <w:t>Bradáčová</w:t>
      </w:r>
      <w:r w:rsidRPr="002603EC">
        <w:rPr>
          <w:rFonts w:ascii="Arial" w:hAnsi="Arial" w:cs="Arial"/>
          <w:color w:val="000000" w:themeColor="text1"/>
          <w:lang w:val="sk-SK"/>
        </w:rPr>
        <w:br/>
        <w:t>PR &amp; Communication Director</w:t>
      </w:r>
      <w:r w:rsidRPr="002603EC">
        <w:rPr>
          <w:rFonts w:ascii="Arial" w:hAnsi="Arial" w:cs="Arial"/>
          <w:color w:val="000000" w:themeColor="text1"/>
          <w:lang w:val="sk-SK"/>
        </w:rPr>
        <w:br/>
      </w:r>
      <w:r w:rsidR="00B718C2" w:rsidRPr="002603EC">
        <w:rPr>
          <w:rFonts w:ascii="Arial" w:hAnsi="Arial" w:cs="Arial"/>
          <w:color w:val="000000" w:themeColor="text1"/>
          <w:lang w:val="sk-SK"/>
        </w:rPr>
        <w:t>CEEC Research</w:t>
      </w:r>
      <w:r w:rsidR="00B718C2" w:rsidRPr="002603EC">
        <w:rPr>
          <w:rFonts w:ascii="Arial" w:hAnsi="Arial" w:cs="Arial"/>
          <w:color w:val="000000" w:themeColor="text1"/>
          <w:lang w:val="sk-SK"/>
        </w:rPr>
        <w:br/>
        <w:t>E-mail: bradacova</w:t>
      </w:r>
      <w:r w:rsidRPr="002603EC">
        <w:rPr>
          <w:rFonts w:ascii="Arial" w:hAnsi="Arial" w:cs="Arial"/>
          <w:color w:val="000000" w:themeColor="text1"/>
          <w:lang w:val="sk-SK"/>
        </w:rPr>
        <w:t>@ceec.eu</w:t>
      </w:r>
      <w:r w:rsidRPr="002603EC">
        <w:rPr>
          <w:rFonts w:ascii="Arial" w:hAnsi="Arial" w:cs="Arial"/>
          <w:color w:val="000000" w:themeColor="text1"/>
          <w:lang w:val="sk-SK"/>
        </w:rPr>
        <w:br/>
        <w:t>Tel.: +420 777 299</w:t>
      </w:r>
      <w:r w:rsidR="005F0F7B" w:rsidRPr="002603EC">
        <w:rPr>
          <w:rFonts w:ascii="Arial" w:hAnsi="Arial" w:cs="Arial"/>
          <w:color w:val="000000" w:themeColor="text1"/>
          <w:lang w:val="sk-SK"/>
        </w:rPr>
        <w:t> </w:t>
      </w:r>
      <w:r w:rsidRPr="002603EC">
        <w:rPr>
          <w:rFonts w:ascii="Arial" w:hAnsi="Arial" w:cs="Arial"/>
          <w:color w:val="000000" w:themeColor="text1"/>
          <w:lang w:val="sk-SK"/>
        </w:rPr>
        <w:t>790</w:t>
      </w:r>
    </w:p>
    <w:p w:rsidR="007C55A2" w:rsidRPr="002603EC" w:rsidRDefault="007C55A2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0"/>
          <w:szCs w:val="20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i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>CEEC Research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je největší analytickou společností specializující se na stavebnictví, projektový a developerský sektor, strojírenství a oblast veřejných zakázek v zemích střední a východní Evropy. Byla založena v roce 2005 a od té doby bezplatně poskytuje studie o aktuálním stavu a očekávaném vývoji v těchto segmentech v deseti zemích střední a východní Evropy. Všechny studie a analýzy CEEC Research jsou založen</w:t>
      </w:r>
      <w:r w:rsidR="007977DF">
        <w:rPr>
          <w:rFonts w:ascii="Arial" w:hAnsi="Arial" w:cs="Arial"/>
          <w:i/>
          <w:color w:val="000000" w:themeColor="text1"/>
          <w:sz w:val="16"/>
          <w:szCs w:val="16"/>
        </w:rPr>
        <w:t>é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výhradně na údajích získaných z pravidelných strukturovaných interview s klíčovými představiteli vybraných největších, středních i malých společností. </w:t>
      </w: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b/>
          <w:i/>
          <w:color w:val="000000" w:themeColor="text1"/>
          <w:sz w:val="16"/>
          <w:szCs w:val="16"/>
        </w:rPr>
      </w:pPr>
    </w:p>
    <w:p w:rsidR="005F0F7B" w:rsidRPr="002603EC" w:rsidRDefault="005F0F7B" w:rsidP="005F0F7B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2603EC">
        <w:rPr>
          <w:rFonts w:ascii="Arial" w:hAnsi="Arial" w:cs="Arial"/>
          <w:b/>
          <w:i/>
          <w:color w:val="000000" w:themeColor="text1"/>
          <w:sz w:val="16"/>
          <w:szCs w:val="16"/>
        </w:rPr>
        <w:t xml:space="preserve">CEEC Research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navíc k pravidelným a bezplatným analýzám stavebního, projektového, d</w:t>
      </w:r>
      <w:r w:rsidR="00A906AF">
        <w:rPr>
          <w:rFonts w:ascii="Arial" w:hAnsi="Arial" w:cs="Arial"/>
          <w:i/>
          <w:color w:val="000000" w:themeColor="text1"/>
          <w:sz w:val="16"/>
          <w:szCs w:val="16"/>
        </w:rPr>
        <w:t>eveloperského, strojírenského a 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veřejného sektoru také organizuje 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specializovaně 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>zaměřené konference, kterých se účastní generální ředitelé nejvýznamnějš</w:t>
      </w:r>
      <w:r w:rsidR="006A23EE" w:rsidRPr="002603EC">
        <w:rPr>
          <w:rFonts w:ascii="Arial" w:hAnsi="Arial" w:cs="Arial"/>
          <w:i/>
          <w:color w:val="000000" w:themeColor="text1"/>
          <w:sz w:val="16"/>
          <w:szCs w:val="16"/>
        </w:rPr>
        <w:t>ích stavebních, developerských,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projektových a strojírenských společností, prezidenti svazů,</w:t>
      </w:r>
      <w:r w:rsidR="00F546D9"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cechů a komor z těchto oblastí</w:t>
      </w:r>
      <w:r w:rsidR="00A87DB5" w:rsidRPr="002603EC">
        <w:rPr>
          <w:rFonts w:ascii="Arial" w:hAnsi="Arial" w:cs="Arial"/>
          <w:i/>
          <w:color w:val="000000" w:themeColor="text1"/>
          <w:sz w:val="16"/>
          <w:szCs w:val="16"/>
        </w:rPr>
        <w:t>,</w:t>
      </w:r>
      <w:r w:rsidRPr="002603EC">
        <w:rPr>
          <w:rFonts w:ascii="Arial" w:hAnsi="Arial" w:cs="Arial"/>
          <w:i/>
          <w:color w:val="000000" w:themeColor="text1"/>
          <w:sz w:val="16"/>
          <w:szCs w:val="16"/>
        </w:rPr>
        <w:t xml:space="preserve"> aby diskutovali s nejvyššími představiteli státu vybraných zemí. </w:t>
      </w:r>
    </w:p>
    <w:p w:rsidR="005F0F7B" w:rsidRPr="002603EC" w:rsidRDefault="005F0F7B" w:rsidP="00D66843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sectPr w:rsidR="005F0F7B" w:rsidRPr="002603EC" w:rsidSect="00CB19AF">
      <w:headerReference w:type="default" r:id="rId8"/>
      <w:type w:val="continuous"/>
      <w:pgSz w:w="11906" w:h="16838"/>
      <w:pgMar w:top="1417" w:right="1417" w:bottom="1417" w:left="1417" w:header="708" w:footer="708" w:gutter="0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5A9E" w:rsidRDefault="00775A9E" w:rsidP="00A76E50">
      <w:pPr>
        <w:spacing w:after="0" w:line="240" w:lineRule="auto"/>
      </w:pPr>
      <w:r>
        <w:separator/>
      </w:r>
    </w:p>
  </w:endnote>
  <w:endnote w:type="continuationSeparator" w:id="0">
    <w:p w:rsidR="00775A9E" w:rsidRDefault="00775A9E" w:rsidP="00A76E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yanmar Text">
    <w:altName w:val="Times New Roman"/>
    <w:charset w:val="00"/>
    <w:family w:val="swiss"/>
    <w:pitch w:val="variable"/>
    <w:sig w:usb0="00000003" w:usb1="00000000" w:usb2="00000400" w:usb3="00000000" w:csb0="0000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5A9E" w:rsidRDefault="00775A9E" w:rsidP="00A76E50">
      <w:pPr>
        <w:spacing w:after="0" w:line="240" w:lineRule="auto"/>
      </w:pPr>
      <w:r>
        <w:separator/>
      </w:r>
    </w:p>
  </w:footnote>
  <w:footnote w:type="continuationSeparator" w:id="0">
    <w:p w:rsidR="00775A9E" w:rsidRDefault="00775A9E" w:rsidP="00A76E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33337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                                                 </w:t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541A2F35" wp14:editId="0B91EBF6">
          <wp:simplePos x="0" y="0"/>
          <wp:positionH relativeFrom="column">
            <wp:posOffset>-238760</wp:posOffset>
          </wp:positionH>
          <wp:positionV relativeFrom="paragraph">
            <wp:posOffset>-199390</wp:posOffset>
          </wp:positionV>
          <wp:extent cx="1285240" cy="758825"/>
          <wp:effectExtent l="0" t="0" r="0" b="3175"/>
          <wp:wrapSquare wrapText="bothSides"/>
          <wp:docPr id="19" name="obrázek 6" descr="Popis: Popis: Popis: Popis: Popis: Popis: Popis: logo CEEC Resear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6" descr="Popis: Popis: Popis: Popis: Popis: Popis: Popis: logo CEEC Resear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5240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33337" w:rsidRDefault="0076588A" w:rsidP="0029094B">
    <w:pPr>
      <w:pStyle w:val="Zhlav"/>
      <w:tabs>
        <w:tab w:val="clear" w:pos="4536"/>
        <w:tab w:val="clear" w:pos="9072"/>
        <w:tab w:val="left" w:pos="3585"/>
      </w:tabs>
      <w:rPr>
        <w:b/>
        <w:noProof/>
        <w:color w:val="808080" w:themeColor="background1" w:themeShade="80"/>
        <w:sz w:val="60"/>
        <w:szCs w:val="60"/>
        <w:lang w:eastAsia="cs-CZ"/>
      </w:rPr>
    </w:pPr>
    <w:r>
      <w:rPr>
        <w:b/>
        <w:noProof/>
        <w:color w:val="808080" w:themeColor="background1" w:themeShade="80"/>
        <w:sz w:val="60"/>
        <w:szCs w:val="60"/>
        <w:lang w:eastAsia="cs-CZ"/>
      </w:rPr>
      <w:t xml:space="preserve">      </w:t>
    </w:r>
    <w:r w:rsidR="00933337" w:rsidRPr="00484806">
      <w:rPr>
        <w:b/>
        <w:noProof/>
        <w:color w:val="808080" w:themeColor="background1" w:themeShade="80"/>
        <w:sz w:val="60"/>
        <w:szCs w:val="60"/>
        <w:lang w:eastAsia="cs-CZ"/>
      </w:rPr>
      <w:t>Tisková zpráva</w:t>
    </w:r>
  </w:p>
  <w:p w:rsidR="00933337" w:rsidRPr="00AC2D6D" w:rsidRDefault="00933337" w:rsidP="00BD7803">
    <w:pPr>
      <w:pStyle w:val="Zhlav"/>
      <w:tabs>
        <w:tab w:val="clear" w:pos="4536"/>
        <w:tab w:val="clear" w:pos="9072"/>
        <w:tab w:val="left" w:pos="3585"/>
      </w:tabs>
      <w:jc w:val="center"/>
      <w:rPr>
        <w:b/>
        <w:color w:val="808080" w:themeColor="background1" w:themeShade="80"/>
        <w:sz w:val="18"/>
        <w:szCs w:val="18"/>
      </w:rPr>
    </w:pPr>
  </w:p>
  <w:p w:rsidR="00933337" w:rsidRDefault="00933337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5A2"/>
    <w:rsid w:val="00001257"/>
    <w:rsid w:val="00002781"/>
    <w:rsid w:val="00003552"/>
    <w:rsid w:val="000039CF"/>
    <w:rsid w:val="00003FE0"/>
    <w:rsid w:val="0000424D"/>
    <w:rsid w:val="000110D5"/>
    <w:rsid w:val="00012CB9"/>
    <w:rsid w:val="00016986"/>
    <w:rsid w:val="0002357B"/>
    <w:rsid w:val="000243CB"/>
    <w:rsid w:val="00027656"/>
    <w:rsid w:val="00030F20"/>
    <w:rsid w:val="0003155E"/>
    <w:rsid w:val="00034237"/>
    <w:rsid w:val="00037C15"/>
    <w:rsid w:val="00040AF2"/>
    <w:rsid w:val="0004318D"/>
    <w:rsid w:val="000431B3"/>
    <w:rsid w:val="00052956"/>
    <w:rsid w:val="00053DE6"/>
    <w:rsid w:val="00055D25"/>
    <w:rsid w:val="00055FC7"/>
    <w:rsid w:val="000601B9"/>
    <w:rsid w:val="000633FF"/>
    <w:rsid w:val="00064569"/>
    <w:rsid w:val="0006538F"/>
    <w:rsid w:val="000677AE"/>
    <w:rsid w:val="00067C5F"/>
    <w:rsid w:val="00072FDF"/>
    <w:rsid w:val="00072FE8"/>
    <w:rsid w:val="00073FC5"/>
    <w:rsid w:val="00076EE1"/>
    <w:rsid w:val="00077A03"/>
    <w:rsid w:val="000803AD"/>
    <w:rsid w:val="00080FA0"/>
    <w:rsid w:val="000853CA"/>
    <w:rsid w:val="00092923"/>
    <w:rsid w:val="00093D49"/>
    <w:rsid w:val="000957C6"/>
    <w:rsid w:val="00096911"/>
    <w:rsid w:val="000A03AB"/>
    <w:rsid w:val="000A0C73"/>
    <w:rsid w:val="000A2E0E"/>
    <w:rsid w:val="000A593D"/>
    <w:rsid w:val="000B09D7"/>
    <w:rsid w:val="000B0EFB"/>
    <w:rsid w:val="000B1956"/>
    <w:rsid w:val="000B2314"/>
    <w:rsid w:val="000B3A8B"/>
    <w:rsid w:val="000B5DD2"/>
    <w:rsid w:val="000C0093"/>
    <w:rsid w:val="000C079A"/>
    <w:rsid w:val="000C2B3C"/>
    <w:rsid w:val="000C4278"/>
    <w:rsid w:val="000C5911"/>
    <w:rsid w:val="000C7B62"/>
    <w:rsid w:val="000D031A"/>
    <w:rsid w:val="000D3395"/>
    <w:rsid w:val="000D45D3"/>
    <w:rsid w:val="000D5EC9"/>
    <w:rsid w:val="000E0FE0"/>
    <w:rsid w:val="000E13CB"/>
    <w:rsid w:val="000E18ED"/>
    <w:rsid w:val="000E2F47"/>
    <w:rsid w:val="000E620E"/>
    <w:rsid w:val="000E71B9"/>
    <w:rsid w:val="000F4820"/>
    <w:rsid w:val="000F58C9"/>
    <w:rsid w:val="000F5D71"/>
    <w:rsid w:val="001037D9"/>
    <w:rsid w:val="00104FFE"/>
    <w:rsid w:val="00106389"/>
    <w:rsid w:val="00110295"/>
    <w:rsid w:val="001111BA"/>
    <w:rsid w:val="001131DD"/>
    <w:rsid w:val="00113FDE"/>
    <w:rsid w:val="00116FFB"/>
    <w:rsid w:val="00120111"/>
    <w:rsid w:val="001210D4"/>
    <w:rsid w:val="00121151"/>
    <w:rsid w:val="00122E6D"/>
    <w:rsid w:val="00125253"/>
    <w:rsid w:val="0012555E"/>
    <w:rsid w:val="00127951"/>
    <w:rsid w:val="00130900"/>
    <w:rsid w:val="00132B8D"/>
    <w:rsid w:val="001346AF"/>
    <w:rsid w:val="001350E0"/>
    <w:rsid w:val="00140F9C"/>
    <w:rsid w:val="00143695"/>
    <w:rsid w:val="001536EE"/>
    <w:rsid w:val="001566B9"/>
    <w:rsid w:val="0016567C"/>
    <w:rsid w:val="00166DEA"/>
    <w:rsid w:val="00172C66"/>
    <w:rsid w:val="00180560"/>
    <w:rsid w:val="001854A9"/>
    <w:rsid w:val="0018743F"/>
    <w:rsid w:val="00187B1C"/>
    <w:rsid w:val="00196346"/>
    <w:rsid w:val="0019645D"/>
    <w:rsid w:val="001A281A"/>
    <w:rsid w:val="001A6A6E"/>
    <w:rsid w:val="001B76D5"/>
    <w:rsid w:val="001C6F33"/>
    <w:rsid w:val="001C7E05"/>
    <w:rsid w:val="001D014A"/>
    <w:rsid w:val="001D063E"/>
    <w:rsid w:val="001D0C46"/>
    <w:rsid w:val="001D36EB"/>
    <w:rsid w:val="001D5798"/>
    <w:rsid w:val="001D649E"/>
    <w:rsid w:val="001D7988"/>
    <w:rsid w:val="001D7AEC"/>
    <w:rsid w:val="001E446E"/>
    <w:rsid w:val="001E715E"/>
    <w:rsid w:val="001F128B"/>
    <w:rsid w:val="001F22BC"/>
    <w:rsid w:val="00200D14"/>
    <w:rsid w:val="002021AC"/>
    <w:rsid w:val="00211533"/>
    <w:rsid w:val="00212725"/>
    <w:rsid w:val="00215C0D"/>
    <w:rsid w:val="00223578"/>
    <w:rsid w:val="002253BD"/>
    <w:rsid w:val="002262A5"/>
    <w:rsid w:val="0023367D"/>
    <w:rsid w:val="00233D6F"/>
    <w:rsid w:val="002353AC"/>
    <w:rsid w:val="00237274"/>
    <w:rsid w:val="00237E98"/>
    <w:rsid w:val="00247E30"/>
    <w:rsid w:val="00253B0D"/>
    <w:rsid w:val="00253FC8"/>
    <w:rsid w:val="002560EF"/>
    <w:rsid w:val="00257FF1"/>
    <w:rsid w:val="002603EC"/>
    <w:rsid w:val="00260DD4"/>
    <w:rsid w:val="00261225"/>
    <w:rsid w:val="0026229F"/>
    <w:rsid w:val="00263565"/>
    <w:rsid w:val="00265019"/>
    <w:rsid w:val="0026597A"/>
    <w:rsid w:val="002678EB"/>
    <w:rsid w:val="00271171"/>
    <w:rsid w:val="00275AD4"/>
    <w:rsid w:val="002818F3"/>
    <w:rsid w:val="00286E6D"/>
    <w:rsid w:val="0029094B"/>
    <w:rsid w:val="0029141A"/>
    <w:rsid w:val="0029157C"/>
    <w:rsid w:val="00291BA0"/>
    <w:rsid w:val="00293553"/>
    <w:rsid w:val="002943A5"/>
    <w:rsid w:val="00294841"/>
    <w:rsid w:val="002A05C0"/>
    <w:rsid w:val="002A0D8C"/>
    <w:rsid w:val="002A2466"/>
    <w:rsid w:val="002A59E2"/>
    <w:rsid w:val="002A6CC8"/>
    <w:rsid w:val="002A7D2C"/>
    <w:rsid w:val="002B11B5"/>
    <w:rsid w:val="002B1925"/>
    <w:rsid w:val="002B3053"/>
    <w:rsid w:val="002B69EB"/>
    <w:rsid w:val="002B7003"/>
    <w:rsid w:val="002C1116"/>
    <w:rsid w:val="002C1E4C"/>
    <w:rsid w:val="002C2C67"/>
    <w:rsid w:val="002C376E"/>
    <w:rsid w:val="002C5F1D"/>
    <w:rsid w:val="002C6870"/>
    <w:rsid w:val="002D00D5"/>
    <w:rsid w:val="002D1105"/>
    <w:rsid w:val="002D1D8C"/>
    <w:rsid w:val="002E1B68"/>
    <w:rsid w:val="002E1CCD"/>
    <w:rsid w:val="002E6321"/>
    <w:rsid w:val="002F3CFF"/>
    <w:rsid w:val="002F4916"/>
    <w:rsid w:val="002F5151"/>
    <w:rsid w:val="002F5850"/>
    <w:rsid w:val="002F7E3F"/>
    <w:rsid w:val="003008A7"/>
    <w:rsid w:val="003014FD"/>
    <w:rsid w:val="003016AD"/>
    <w:rsid w:val="00311898"/>
    <w:rsid w:val="00311BF9"/>
    <w:rsid w:val="00315AA1"/>
    <w:rsid w:val="00317CBD"/>
    <w:rsid w:val="00320FF8"/>
    <w:rsid w:val="00324918"/>
    <w:rsid w:val="00325137"/>
    <w:rsid w:val="003267D4"/>
    <w:rsid w:val="00326977"/>
    <w:rsid w:val="00327098"/>
    <w:rsid w:val="00332EC1"/>
    <w:rsid w:val="00336791"/>
    <w:rsid w:val="003409B3"/>
    <w:rsid w:val="00341337"/>
    <w:rsid w:val="00343FE1"/>
    <w:rsid w:val="00345FAA"/>
    <w:rsid w:val="0034764A"/>
    <w:rsid w:val="00350B86"/>
    <w:rsid w:val="00355142"/>
    <w:rsid w:val="003567AD"/>
    <w:rsid w:val="00357CBB"/>
    <w:rsid w:val="00360C25"/>
    <w:rsid w:val="00367B43"/>
    <w:rsid w:val="00370B08"/>
    <w:rsid w:val="00373643"/>
    <w:rsid w:val="003747F5"/>
    <w:rsid w:val="003756AA"/>
    <w:rsid w:val="00376974"/>
    <w:rsid w:val="00376E15"/>
    <w:rsid w:val="00383358"/>
    <w:rsid w:val="00387314"/>
    <w:rsid w:val="00387937"/>
    <w:rsid w:val="00390E15"/>
    <w:rsid w:val="003953D3"/>
    <w:rsid w:val="00395602"/>
    <w:rsid w:val="003964E1"/>
    <w:rsid w:val="003A02C1"/>
    <w:rsid w:val="003A14B6"/>
    <w:rsid w:val="003A181B"/>
    <w:rsid w:val="003A3434"/>
    <w:rsid w:val="003A4732"/>
    <w:rsid w:val="003A4FD1"/>
    <w:rsid w:val="003A6F3A"/>
    <w:rsid w:val="003A7A48"/>
    <w:rsid w:val="003A7E88"/>
    <w:rsid w:val="003B2226"/>
    <w:rsid w:val="003B24B6"/>
    <w:rsid w:val="003B2E18"/>
    <w:rsid w:val="003C0E99"/>
    <w:rsid w:val="003C3BC4"/>
    <w:rsid w:val="003C5FC8"/>
    <w:rsid w:val="003C69F9"/>
    <w:rsid w:val="003C795B"/>
    <w:rsid w:val="003D47EA"/>
    <w:rsid w:val="003D48F8"/>
    <w:rsid w:val="003D630D"/>
    <w:rsid w:val="003E3DE2"/>
    <w:rsid w:val="003E3F4A"/>
    <w:rsid w:val="003E40D1"/>
    <w:rsid w:val="003E77A1"/>
    <w:rsid w:val="003F1964"/>
    <w:rsid w:val="003F203A"/>
    <w:rsid w:val="003F7C6F"/>
    <w:rsid w:val="00402D9F"/>
    <w:rsid w:val="0041515B"/>
    <w:rsid w:val="0042131A"/>
    <w:rsid w:val="00426A92"/>
    <w:rsid w:val="004316C7"/>
    <w:rsid w:val="00433364"/>
    <w:rsid w:val="0043543D"/>
    <w:rsid w:val="004370C0"/>
    <w:rsid w:val="00437237"/>
    <w:rsid w:val="00437D6C"/>
    <w:rsid w:val="00441736"/>
    <w:rsid w:val="0044390B"/>
    <w:rsid w:val="00443F0A"/>
    <w:rsid w:val="0044519F"/>
    <w:rsid w:val="004462F7"/>
    <w:rsid w:val="00446B31"/>
    <w:rsid w:val="00446BD0"/>
    <w:rsid w:val="0045037D"/>
    <w:rsid w:val="004503E6"/>
    <w:rsid w:val="00451891"/>
    <w:rsid w:val="00454A85"/>
    <w:rsid w:val="00460C42"/>
    <w:rsid w:val="0046114D"/>
    <w:rsid w:val="00461766"/>
    <w:rsid w:val="00466AB9"/>
    <w:rsid w:val="00471F4D"/>
    <w:rsid w:val="00475411"/>
    <w:rsid w:val="00476370"/>
    <w:rsid w:val="00476F5C"/>
    <w:rsid w:val="00477E8F"/>
    <w:rsid w:val="00480A99"/>
    <w:rsid w:val="00481DB4"/>
    <w:rsid w:val="004861FD"/>
    <w:rsid w:val="00490688"/>
    <w:rsid w:val="004907FF"/>
    <w:rsid w:val="00492AE9"/>
    <w:rsid w:val="00493E4C"/>
    <w:rsid w:val="00494BCC"/>
    <w:rsid w:val="00494EF8"/>
    <w:rsid w:val="00497993"/>
    <w:rsid w:val="004A0102"/>
    <w:rsid w:val="004A1A95"/>
    <w:rsid w:val="004A5258"/>
    <w:rsid w:val="004A545D"/>
    <w:rsid w:val="004A559E"/>
    <w:rsid w:val="004A714A"/>
    <w:rsid w:val="004B0D3D"/>
    <w:rsid w:val="004B21C6"/>
    <w:rsid w:val="004B2FEB"/>
    <w:rsid w:val="004B5A3E"/>
    <w:rsid w:val="004B6355"/>
    <w:rsid w:val="004C14E3"/>
    <w:rsid w:val="004C778E"/>
    <w:rsid w:val="004D3CE0"/>
    <w:rsid w:val="004D75BF"/>
    <w:rsid w:val="004E20ED"/>
    <w:rsid w:val="004E474E"/>
    <w:rsid w:val="004F1468"/>
    <w:rsid w:val="004F4146"/>
    <w:rsid w:val="004F5B25"/>
    <w:rsid w:val="004F5B5A"/>
    <w:rsid w:val="005015EE"/>
    <w:rsid w:val="00504492"/>
    <w:rsid w:val="005065B9"/>
    <w:rsid w:val="005073A6"/>
    <w:rsid w:val="0051183B"/>
    <w:rsid w:val="00511B85"/>
    <w:rsid w:val="005171E3"/>
    <w:rsid w:val="00517883"/>
    <w:rsid w:val="0052175E"/>
    <w:rsid w:val="00524ADB"/>
    <w:rsid w:val="00526140"/>
    <w:rsid w:val="00530B9B"/>
    <w:rsid w:val="00530C65"/>
    <w:rsid w:val="00532BE3"/>
    <w:rsid w:val="00535FE7"/>
    <w:rsid w:val="00536079"/>
    <w:rsid w:val="00540E43"/>
    <w:rsid w:val="00542B8A"/>
    <w:rsid w:val="00542D5D"/>
    <w:rsid w:val="00545502"/>
    <w:rsid w:val="0054668A"/>
    <w:rsid w:val="0054748B"/>
    <w:rsid w:val="0055065F"/>
    <w:rsid w:val="00551A6D"/>
    <w:rsid w:val="005556C1"/>
    <w:rsid w:val="00555D33"/>
    <w:rsid w:val="00562CAD"/>
    <w:rsid w:val="00565634"/>
    <w:rsid w:val="005677BC"/>
    <w:rsid w:val="0057102C"/>
    <w:rsid w:val="0057145D"/>
    <w:rsid w:val="0057268D"/>
    <w:rsid w:val="005733C7"/>
    <w:rsid w:val="005826BC"/>
    <w:rsid w:val="00584A1E"/>
    <w:rsid w:val="0058771B"/>
    <w:rsid w:val="005912D0"/>
    <w:rsid w:val="005912F8"/>
    <w:rsid w:val="005A262C"/>
    <w:rsid w:val="005A2DC8"/>
    <w:rsid w:val="005A4048"/>
    <w:rsid w:val="005A498E"/>
    <w:rsid w:val="005B03B8"/>
    <w:rsid w:val="005B4980"/>
    <w:rsid w:val="005C03A3"/>
    <w:rsid w:val="005C0FA8"/>
    <w:rsid w:val="005C7342"/>
    <w:rsid w:val="005D15C7"/>
    <w:rsid w:val="005D32BF"/>
    <w:rsid w:val="005D3E08"/>
    <w:rsid w:val="005D6391"/>
    <w:rsid w:val="005E2954"/>
    <w:rsid w:val="005E295F"/>
    <w:rsid w:val="005E30D6"/>
    <w:rsid w:val="005E6377"/>
    <w:rsid w:val="005E76DC"/>
    <w:rsid w:val="005E7D50"/>
    <w:rsid w:val="005F0F7B"/>
    <w:rsid w:val="005F436D"/>
    <w:rsid w:val="005F49DC"/>
    <w:rsid w:val="005F4CAE"/>
    <w:rsid w:val="00602228"/>
    <w:rsid w:val="00602EB8"/>
    <w:rsid w:val="006033B0"/>
    <w:rsid w:val="0060359F"/>
    <w:rsid w:val="00605FD4"/>
    <w:rsid w:val="006134B4"/>
    <w:rsid w:val="006154D2"/>
    <w:rsid w:val="00616903"/>
    <w:rsid w:val="0062321A"/>
    <w:rsid w:val="00625010"/>
    <w:rsid w:val="00627790"/>
    <w:rsid w:val="00631B69"/>
    <w:rsid w:val="00635232"/>
    <w:rsid w:val="0063643D"/>
    <w:rsid w:val="0063751A"/>
    <w:rsid w:val="00637A4B"/>
    <w:rsid w:val="00642BCC"/>
    <w:rsid w:val="006438A3"/>
    <w:rsid w:val="00643A99"/>
    <w:rsid w:val="006527AC"/>
    <w:rsid w:val="00655C78"/>
    <w:rsid w:val="0065684B"/>
    <w:rsid w:val="00656C38"/>
    <w:rsid w:val="00657E0A"/>
    <w:rsid w:val="0066111C"/>
    <w:rsid w:val="00661312"/>
    <w:rsid w:val="00665412"/>
    <w:rsid w:val="00665B5E"/>
    <w:rsid w:val="006702E4"/>
    <w:rsid w:val="006718DD"/>
    <w:rsid w:val="006724BA"/>
    <w:rsid w:val="00672B58"/>
    <w:rsid w:val="00672B96"/>
    <w:rsid w:val="00672BB7"/>
    <w:rsid w:val="00673835"/>
    <w:rsid w:val="006744DE"/>
    <w:rsid w:val="00677213"/>
    <w:rsid w:val="006801BB"/>
    <w:rsid w:val="00682EB2"/>
    <w:rsid w:val="00684B67"/>
    <w:rsid w:val="006914DB"/>
    <w:rsid w:val="00693299"/>
    <w:rsid w:val="00693E78"/>
    <w:rsid w:val="006953F2"/>
    <w:rsid w:val="00696322"/>
    <w:rsid w:val="00697385"/>
    <w:rsid w:val="006A13CF"/>
    <w:rsid w:val="006A231E"/>
    <w:rsid w:val="006A23EE"/>
    <w:rsid w:val="006A528C"/>
    <w:rsid w:val="006A594B"/>
    <w:rsid w:val="006A6C4A"/>
    <w:rsid w:val="006B1D88"/>
    <w:rsid w:val="006B5BFA"/>
    <w:rsid w:val="006C5597"/>
    <w:rsid w:val="006C735B"/>
    <w:rsid w:val="006C7464"/>
    <w:rsid w:val="006D2CD0"/>
    <w:rsid w:val="006E20F2"/>
    <w:rsid w:val="006E4E8A"/>
    <w:rsid w:val="006F0F71"/>
    <w:rsid w:val="006F29EF"/>
    <w:rsid w:val="006F2C05"/>
    <w:rsid w:val="006F5538"/>
    <w:rsid w:val="00702F17"/>
    <w:rsid w:val="00703F7F"/>
    <w:rsid w:val="00706CF1"/>
    <w:rsid w:val="007076E0"/>
    <w:rsid w:val="00710EF9"/>
    <w:rsid w:val="007114F4"/>
    <w:rsid w:val="0071470C"/>
    <w:rsid w:val="007151ED"/>
    <w:rsid w:val="00716F81"/>
    <w:rsid w:val="00721DB4"/>
    <w:rsid w:val="00724EF7"/>
    <w:rsid w:val="0072505A"/>
    <w:rsid w:val="0072523F"/>
    <w:rsid w:val="00725A3E"/>
    <w:rsid w:val="007262F3"/>
    <w:rsid w:val="007265CC"/>
    <w:rsid w:val="00730372"/>
    <w:rsid w:val="00733E20"/>
    <w:rsid w:val="00737158"/>
    <w:rsid w:val="00737E6F"/>
    <w:rsid w:val="0074021E"/>
    <w:rsid w:val="00741C6E"/>
    <w:rsid w:val="007430B7"/>
    <w:rsid w:val="00744A97"/>
    <w:rsid w:val="007477E0"/>
    <w:rsid w:val="00751610"/>
    <w:rsid w:val="00752F10"/>
    <w:rsid w:val="007547AB"/>
    <w:rsid w:val="00756A20"/>
    <w:rsid w:val="00757E18"/>
    <w:rsid w:val="007603AB"/>
    <w:rsid w:val="00760BCE"/>
    <w:rsid w:val="007612CC"/>
    <w:rsid w:val="0076181F"/>
    <w:rsid w:val="00763269"/>
    <w:rsid w:val="0076588A"/>
    <w:rsid w:val="00766B88"/>
    <w:rsid w:val="00770276"/>
    <w:rsid w:val="00772BED"/>
    <w:rsid w:val="00773F91"/>
    <w:rsid w:val="0077594B"/>
    <w:rsid w:val="00775A9E"/>
    <w:rsid w:val="0077612F"/>
    <w:rsid w:val="007765E8"/>
    <w:rsid w:val="00777A89"/>
    <w:rsid w:val="00782680"/>
    <w:rsid w:val="00785B22"/>
    <w:rsid w:val="00797377"/>
    <w:rsid w:val="007977DF"/>
    <w:rsid w:val="007A4BC1"/>
    <w:rsid w:val="007A708E"/>
    <w:rsid w:val="007B2BC0"/>
    <w:rsid w:val="007B4F0F"/>
    <w:rsid w:val="007B67E8"/>
    <w:rsid w:val="007C22B5"/>
    <w:rsid w:val="007C55A2"/>
    <w:rsid w:val="007C57A5"/>
    <w:rsid w:val="007C6D41"/>
    <w:rsid w:val="007C7D83"/>
    <w:rsid w:val="007D01D4"/>
    <w:rsid w:val="007D51D0"/>
    <w:rsid w:val="007D73AB"/>
    <w:rsid w:val="007E2491"/>
    <w:rsid w:val="007E36FA"/>
    <w:rsid w:val="007E3F5D"/>
    <w:rsid w:val="007E5D4A"/>
    <w:rsid w:val="007F0ADF"/>
    <w:rsid w:val="007F4298"/>
    <w:rsid w:val="007F5413"/>
    <w:rsid w:val="007F7BD4"/>
    <w:rsid w:val="00801395"/>
    <w:rsid w:val="00803C16"/>
    <w:rsid w:val="008051CA"/>
    <w:rsid w:val="00806718"/>
    <w:rsid w:val="00812D97"/>
    <w:rsid w:val="0081666E"/>
    <w:rsid w:val="008217D1"/>
    <w:rsid w:val="008220B0"/>
    <w:rsid w:val="00825E03"/>
    <w:rsid w:val="00831A70"/>
    <w:rsid w:val="00832635"/>
    <w:rsid w:val="00834A8E"/>
    <w:rsid w:val="0084004E"/>
    <w:rsid w:val="00841EC8"/>
    <w:rsid w:val="008428C9"/>
    <w:rsid w:val="00850157"/>
    <w:rsid w:val="008531F1"/>
    <w:rsid w:val="00855382"/>
    <w:rsid w:val="0086225D"/>
    <w:rsid w:val="00862954"/>
    <w:rsid w:val="00865A71"/>
    <w:rsid w:val="00871E1E"/>
    <w:rsid w:val="0087210A"/>
    <w:rsid w:val="00872C5B"/>
    <w:rsid w:val="00873C3E"/>
    <w:rsid w:val="00875846"/>
    <w:rsid w:val="00875B48"/>
    <w:rsid w:val="0088009B"/>
    <w:rsid w:val="00881C63"/>
    <w:rsid w:val="00882E09"/>
    <w:rsid w:val="0088365C"/>
    <w:rsid w:val="008878D0"/>
    <w:rsid w:val="00890743"/>
    <w:rsid w:val="00892496"/>
    <w:rsid w:val="00892803"/>
    <w:rsid w:val="008A1918"/>
    <w:rsid w:val="008A2D79"/>
    <w:rsid w:val="008A2FAF"/>
    <w:rsid w:val="008A2FB6"/>
    <w:rsid w:val="008B1388"/>
    <w:rsid w:val="008B2FE8"/>
    <w:rsid w:val="008B3C86"/>
    <w:rsid w:val="008B43D8"/>
    <w:rsid w:val="008B50B9"/>
    <w:rsid w:val="008B7DCF"/>
    <w:rsid w:val="008C50DE"/>
    <w:rsid w:val="008C68A1"/>
    <w:rsid w:val="008C716E"/>
    <w:rsid w:val="008C72A0"/>
    <w:rsid w:val="008D414B"/>
    <w:rsid w:val="008E1F3C"/>
    <w:rsid w:val="008E3D58"/>
    <w:rsid w:val="008E4090"/>
    <w:rsid w:val="008E51E4"/>
    <w:rsid w:val="008E70F3"/>
    <w:rsid w:val="008F20F7"/>
    <w:rsid w:val="008F3AEB"/>
    <w:rsid w:val="008F4D01"/>
    <w:rsid w:val="00902A00"/>
    <w:rsid w:val="00906B01"/>
    <w:rsid w:val="00914FF6"/>
    <w:rsid w:val="00916FD0"/>
    <w:rsid w:val="00917465"/>
    <w:rsid w:val="00922AEB"/>
    <w:rsid w:val="00927E6C"/>
    <w:rsid w:val="00930100"/>
    <w:rsid w:val="00930BEC"/>
    <w:rsid w:val="00930CA6"/>
    <w:rsid w:val="00931D64"/>
    <w:rsid w:val="00931E7E"/>
    <w:rsid w:val="00932481"/>
    <w:rsid w:val="009329E4"/>
    <w:rsid w:val="00933337"/>
    <w:rsid w:val="009356AB"/>
    <w:rsid w:val="00935BE4"/>
    <w:rsid w:val="00937100"/>
    <w:rsid w:val="00940D4B"/>
    <w:rsid w:val="00941616"/>
    <w:rsid w:val="00942613"/>
    <w:rsid w:val="00942706"/>
    <w:rsid w:val="009443F0"/>
    <w:rsid w:val="009452AD"/>
    <w:rsid w:val="0095004C"/>
    <w:rsid w:val="00951160"/>
    <w:rsid w:val="009522FC"/>
    <w:rsid w:val="00955701"/>
    <w:rsid w:val="009564A3"/>
    <w:rsid w:val="00957D0D"/>
    <w:rsid w:val="00962CD2"/>
    <w:rsid w:val="00964FE7"/>
    <w:rsid w:val="00965531"/>
    <w:rsid w:val="00966031"/>
    <w:rsid w:val="00971EE1"/>
    <w:rsid w:val="0097615D"/>
    <w:rsid w:val="00976DBB"/>
    <w:rsid w:val="009818B0"/>
    <w:rsid w:val="00981E90"/>
    <w:rsid w:val="00984818"/>
    <w:rsid w:val="00984994"/>
    <w:rsid w:val="00985694"/>
    <w:rsid w:val="00985F9A"/>
    <w:rsid w:val="00987D32"/>
    <w:rsid w:val="00990B27"/>
    <w:rsid w:val="00992BC3"/>
    <w:rsid w:val="009A1D73"/>
    <w:rsid w:val="009A38B8"/>
    <w:rsid w:val="009A58B4"/>
    <w:rsid w:val="009A6632"/>
    <w:rsid w:val="009B0A00"/>
    <w:rsid w:val="009B2A3E"/>
    <w:rsid w:val="009B3A7C"/>
    <w:rsid w:val="009B41D2"/>
    <w:rsid w:val="009B642D"/>
    <w:rsid w:val="009C099A"/>
    <w:rsid w:val="009C246B"/>
    <w:rsid w:val="009C265B"/>
    <w:rsid w:val="009C4871"/>
    <w:rsid w:val="009C590D"/>
    <w:rsid w:val="009C7C7E"/>
    <w:rsid w:val="009D01E8"/>
    <w:rsid w:val="009D117F"/>
    <w:rsid w:val="009D125D"/>
    <w:rsid w:val="009E0C2B"/>
    <w:rsid w:val="009E166B"/>
    <w:rsid w:val="009E295C"/>
    <w:rsid w:val="009E38E2"/>
    <w:rsid w:val="009E4135"/>
    <w:rsid w:val="009E635F"/>
    <w:rsid w:val="009E663B"/>
    <w:rsid w:val="009E6FA2"/>
    <w:rsid w:val="009E72B1"/>
    <w:rsid w:val="009F1B43"/>
    <w:rsid w:val="009F318A"/>
    <w:rsid w:val="009F5081"/>
    <w:rsid w:val="00A001E9"/>
    <w:rsid w:val="00A057BE"/>
    <w:rsid w:val="00A10099"/>
    <w:rsid w:val="00A12BF5"/>
    <w:rsid w:val="00A13A16"/>
    <w:rsid w:val="00A13B5D"/>
    <w:rsid w:val="00A13BD2"/>
    <w:rsid w:val="00A1773E"/>
    <w:rsid w:val="00A26852"/>
    <w:rsid w:val="00A26A00"/>
    <w:rsid w:val="00A274A7"/>
    <w:rsid w:val="00A300A2"/>
    <w:rsid w:val="00A32EEE"/>
    <w:rsid w:val="00A3482C"/>
    <w:rsid w:val="00A45442"/>
    <w:rsid w:val="00A541D4"/>
    <w:rsid w:val="00A5433D"/>
    <w:rsid w:val="00A5482F"/>
    <w:rsid w:val="00A601AE"/>
    <w:rsid w:val="00A60D42"/>
    <w:rsid w:val="00A63FAA"/>
    <w:rsid w:val="00A6782D"/>
    <w:rsid w:val="00A728A3"/>
    <w:rsid w:val="00A7323A"/>
    <w:rsid w:val="00A745C1"/>
    <w:rsid w:val="00A76799"/>
    <w:rsid w:val="00A76E50"/>
    <w:rsid w:val="00A83933"/>
    <w:rsid w:val="00A84CE9"/>
    <w:rsid w:val="00A87DB5"/>
    <w:rsid w:val="00A906AF"/>
    <w:rsid w:val="00A906B5"/>
    <w:rsid w:val="00A926D4"/>
    <w:rsid w:val="00A92CBB"/>
    <w:rsid w:val="00A94542"/>
    <w:rsid w:val="00AA1387"/>
    <w:rsid w:val="00AA5AD2"/>
    <w:rsid w:val="00AA5E74"/>
    <w:rsid w:val="00AB2DE8"/>
    <w:rsid w:val="00AB3A5B"/>
    <w:rsid w:val="00AB4B89"/>
    <w:rsid w:val="00AC0303"/>
    <w:rsid w:val="00AC22A3"/>
    <w:rsid w:val="00AC2395"/>
    <w:rsid w:val="00AC2D6D"/>
    <w:rsid w:val="00AC339F"/>
    <w:rsid w:val="00AC3D5D"/>
    <w:rsid w:val="00AC5F68"/>
    <w:rsid w:val="00AC6AD5"/>
    <w:rsid w:val="00AC77CF"/>
    <w:rsid w:val="00AD0157"/>
    <w:rsid w:val="00AD247B"/>
    <w:rsid w:val="00AD4919"/>
    <w:rsid w:val="00AE0527"/>
    <w:rsid w:val="00AE1035"/>
    <w:rsid w:val="00AE16A4"/>
    <w:rsid w:val="00AE6024"/>
    <w:rsid w:val="00AE6AF6"/>
    <w:rsid w:val="00AE6E1B"/>
    <w:rsid w:val="00AE6E31"/>
    <w:rsid w:val="00AF2A07"/>
    <w:rsid w:val="00AF4BFC"/>
    <w:rsid w:val="00B04CD0"/>
    <w:rsid w:val="00B05FEC"/>
    <w:rsid w:val="00B12D93"/>
    <w:rsid w:val="00B12E8C"/>
    <w:rsid w:val="00B172EC"/>
    <w:rsid w:val="00B219DE"/>
    <w:rsid w:val="00B273A5"/>
    <w:rsid w:val="00B30D0D"/>
    <w:rsid w:val="00B313C0"/>
    <w:rsid w:val="00B319B5"/>
    <w:rsid w:val="00B31C13"/>
    <w:rsid w:val="00B33367"/>
    <w:rsid w:val="00B41284"/>
    <w:rsid w:val="00B41CB4"/>
    <w:rsid w:val="00B42338"/>
    <w:rsid w:val="00B42D41"/>
    <w:rsid w:val="00B42E63"/>
    <w:rsid w:val="00B46243"/>
    <w:rsid w:val="00B47BF2"/>
    <w:rsid w:val="00B544E3"/>
    <w:rsid w:val="00B63AAC"/>
    <w:rsid w:val="00B63AC6"/>
    <w:rsid w:val="00B64398"/>
    <w:rsid w:val="00B64AEB"/>
    <w:rsid w:val="00B652F6"/>
    <w:rsid w:val="00B660F0"/>
    <w:rsid w:val="00B676BD"/>
    <w:rsid w:val="00B7063C"/>
    <w:rsid w:val="00B718C2"/>
    <w:rsid w:val="00B87C83"/>
    <w:rsid w:val="00B87D38"/>
    <w:rsid w:val="00B978D3"/>
    <w:rsid w:val="00BA0468"/>
    <w:rsid w:val="00BA097C"/>
    <w:rsid w:val="00BA5729"/>
    <w:rsid w:val="00BB3010"/>
    <w:rsid w:val="00BB6FA6"/>
    <w:rsid w:val="00BB7537"/>
    <w:rsid w:val="00BB7792"/>
    <w:rsid w:val="00BC3888"/>
    <w:rsid w:val="00BC7F46"/>
    <w:rsid w:val="00BD23F4"/>
    <w:rsid w:val="00BD3F96"/>
    <w:rsid w:val="00BD5B82"/>
    <w:rsid w:val="00BD65DC"/>
    <w:rsid w:val="00BD6790"/>
    <w:rsid w:val="00BD7803"/>
    <w:rsid w:val="00BE0FB2"/>
    <w:rsid w:val="00BE1FCB"/>
    <w:rsid w:val="00BE37CF"/>
    <w:rsid w:val="00BE4C87"/>
    <w:rsid w:val="00BE50C4"/>
    <w:rsid w:val="00BF0311"/>
    <w:rsid w:val="00BF14DC"/>
    <w:rsid w:val="00C0021E"/>
    <w:rsid w:val="00C01ADB"/>
    <w:rsid w:val="00C04049"/>
    <w:rsid w:val="00C07B25"/>
    <w:rsid w:val="00C10580"/>
    <w:rsid w:val="00C1456C"/>
    <w:rsid w:val="00C16CC9"/>
    <w:rsid w:val="00C17127"/>
    <w:rsid w:val="00C17493"/>
    <w:rsid w:val="00C231A7"/>
    <w:rsid w:val="00C231F2"/>
    <w:rsid w:val="00C31C5B"/>
    <w:rsid w:val="00C32127"/>
    <w:rsid w:val="00C33A96"/>
    <w:rsid w:val="00C45298"/>
    <w:rsid w:val="00C456A8"/>
    <w:rsid w:val="00C52010"/>
    <w:rsid w:val="00C57142"/>
    <w:rsid w:val="00C606AD"/>
    <w:rsid w:val="00C61698"/>
    <w:rsid w:val="00C63502"/>
    <w:rsid w:val="00C66B21"/>
    <w:rsid w:val="00C71D8B"/>
    <w:rsid w:val="00C7390E"/>
    <w:rsid w:val="00C75FBF"/>
    <w:rsid w:val="00C76EFB"/>
    <w:rsid w:val="00C82922"/>
    <w:rsid w:val="00C91307"/>
    <w:rsid w:val="00C9176D"/>
    <w:rsid w:val="00C93D89"/>
    <w:rsid w:val="00C93F8A"/>
    <w:rsid w:val="00C94082"/>
    <w:rsid w:val="00C945F2"/>
    <w:rsid w:val="00C95A8C"/>
    <w:rsid w:val="00C968F2"/>
    <w:rsid w:val="00C96933"/>
    <w:rsid w:val="00CA3F6B"/>
    <w:rsid w:val="00CB0D45"/>
    <w:rsid w:val="00CB134A"/>
    <w:rsid w:val="00CB19AF"/>
    <w:rsid w:val="00CB2C3F"/>
    <w:rsid w:val="00CB46BD"/>
    <w:rsid w:val="00CB5E6C"/>
    <w:rsid w:val="00CB6DBA"/>
    <w:rsid w:val="00CC15D8"/>
    <w:rsid w:val="00CC1A54"/>
    <w:rsid w:val="00CC3C58"/>
    <w:rsid w:val="00CC7F02"/>
    <w:rsid w:val="00CD001D"/>
    <w:rsid w:val="00CD2EFD"/>
    <w:rsid w:val="00CD6919"/>
    <w:rsid w:val="00CE177F"/>
    <w:rsid w:val="00CE6E9C"/>
    <w:rsid w:val="00CF08E7"/>
    <w:rsid w:val="00CF2F03"/>
    <w:rsid w:val="00D016CD"/>
    <w:rsid w:val="00D01988"/>
    <w:rsid w:val="00D1081C"/>
    <w:rsid w:val="00D1155A"/>
    <w:rsid w:val="00D11C20"/>
    <w:rsid w:val="00D14998"/>
    <w:rsid w:val="00D14C0C"/>
    <w:rsid w:val="00D16BDE"/>
    <w:rsid w:val="00D16C44"/>
    <w:rsid w:val="00D17B2A"/>
    <w:rsid w:val="00D17F2B"/>
    <w:rsid w:val="00D21B76"/>
    <w:rsid w:val="00D262A9"/>
    <w:rsid w:val="00D27A45"/>
    <w:rsid w:val="00D308FE"/>
    <w:rsid w:val="00D3106C"/>
    <w:rsid w:val="00D31B32"/>
    <w:rsid w:val="00D335C7"/>
    <w:rsid w:val="00D376F8"/>
    <w:rsid w:val="00D46F1D"/>
    <w:rsid w:val="00D50A6E"/>
    <w:rsid w:val="00D52AE5"/>
    <w:rsid w:val="00D5648F"/>
    <w:rsid w:val="00D601E1"/>
    <w:rsid w:val="00D609D4"/>
    <w:rsid w:val="00D611DB"/>
    <w:rsid w:val="00D61585"/>
    <w:rsid w:val="00D64833"/>
    <w:rsid w:val="00D6525A"/>
    <w:rsid w:val="00D6587A"/>
    <w:rsid w:val="00D66843"/>
    <w:rsid w:val="00D74B72"/>
    <w:rsid w:val="00D81054"/>
    <w:rsid w:val="00D82AEE"/>
    <w:rsid w:val="00D86AAC"/>
    <w:rsid w:val="00D8719A"/>
    <w:rsid w:val="00D87C81"/>
    <w:rsid w:val="00D91433"/>
    <w:rsid w:val="00D948F5"/>
    <w:rsid w:val="00DB07A6"/>
    <w:rsid w:val="00DB0F03"/>
    <w:rsid w:val="00DB21E5"/>
    <w:rsid w:val="00DB34B3"/>
    <w:rsid w:val="00DB5326"/>
    <w:rsid w:val="00DC4B47"/>
    <w:rsid w:val="00DC6643"/>
    <w:rsid w:val="00DD367E"/>
    <w:rsid w:val="00DE2083"/>
    <w:rsid w:val="00DE5DFF"/>
    <w:rsid w:val="00DE6045"/>
    <w:rsid w:val="00DE6B4C"/>
    <w:rsid w:val="00DF10AB"/>
    <w:rsid w:val="00E018DE"/>
    <w:rsid w:val="00E03916"/>
    <w:rsid w:val="00E10585"/>
    <w:rsid w:val="00E12712"/>
    <w:rsid w:val="00E128C6"/>
    <w:rsid w:val="00E15271"/>
    <w:rsid w:val="00E1528D"/>
    <w:rsid w:val="00E15E35"/>
    <w:rsid w:val="00E17213"/>
    <w:rsid w:val="00E17F40"/>
    <w:rsid w:val="00E2169B"/>
    <w:rsid w:val="00E22B32"/>
    <w:rsid w:val="00E250FF"/>
    <w:rsid w:val="00E25CA4"/>
    <w:rsid w:val="00E264D4"/>
    <w:rsid w:val="00E27F64"/>
    <w:rsid w:val="00E32B62"/>
    <w:rsid w:val="00E35919"/>
    <w:rsid w:val="00E367CE"/>
    <w:rsid w:val="00E43A88"/>
    <w:rsid w:val="00E44D0A"/>
    <w:rsid w:val="00E466A8"/>
    <w:rsid w:val="00E46B3F"/>
    <w:rsid w:val="00E4754E"/>
    <w:rsid w:val="00E47B77"/>
    <w:rsid w:val="00E5001F"/>
    <w:rsid w:val="00E50308"/>
    <w:rsid w:val="00E508E4"/>
    <w:rsid w:val="00E50CC2"/>
    <w:rsid w:val="00E5289D"/>
    <w:rsid w:val="00E529A9"/>
    <w:rsid w:val="00E56EA4"/>
    <w:rsid w:val="00E6105C"/>
    <w:rsid w:val="00E64F14"/>
    <w:rsid w:val="00E65EA3"/>
    <w:rsid w:val="00E6747F"/>
    <w:rsid w:val="00E758AE"/>
    <w:rsid w:val="00E763DF"/>
    <w:rsid w:val="00E907AC"/>
    <w:rsid w:val="00E9100F"/>
    <w:rsid w:val="00E92382"/>
    <w:rsid w:val="00E92C0C"/>
    <w:rsid w:val="00E9337A"/>
    <w:rsid w:val="00E95B38"/>
    <w:rsid w:val="00E96228"/>
    <w:rsid w:val="00EA3F2E"/>
    <w:rsid w:val="00EA4F78"/>
    <w:rsid w:val="00EB37E6"/>
    <w:rsid w:val="00EB6829"/>
    <w:rsid w:val="00EB6ACF"/>
    <w:rsid w:val="00EC008B"/>
    <w:rsid w:val="00EC17F7"/>
    <w:rsid w:val="00EC3B66"/>
    <w:rsid w:val="00EC548D"/>
    <w:rsid w:val="00EC5FD4"/>
    <w:rsid w:val="00EC5FE5"/>
    <w:rsid w:val="00EC6620"/>
    <w:rsid w:val="00EC72CC"/>
    <w:rsid w:val="00ED749E"/>
    <w:rsid w:val="00ED76BA"/>
    <w:rsid w:val="00EE0F00"/>
    <w:rsid w:val="00EE4A95"/>
    <w:rsid w:val="00EF0B88"/>
    <w:rsid w:val="00EF25C5"/>
    <w:rsid w:val="00EF37DB"/>
    <w:rsid w:val="00EF6BE0"/>
    <w:rsid w:val="00EF7BB3"/>
    <w:rsid w:val="00F01CB3"/>
    <w:rsid w:val="00F15EB5"/>
    <w:rsid w:val="00F17FD0"/>
    <w:rsid w:val="00F20E32"/>
    <w:rsid w:val="00F21FD4"/>
    <w:rsid w:val="00F24528"/>
    <w:rsid w:val="00F301FC"/>
    <w:rsid w:val="00F3132D"/>
    <w:rsid w:val="00F313A6"/>
    <w:rsid w:val="00F34A68"/>
    <w:rsid w:val="00F36129"/>
    <w:rsid w:val="00F407AA"/>
    <w:rsid w:val="00F442EB"/>
    <w:rsid w:val="00F45D66"/>
    <w:rsid w:val="00F5151A"/>
    <w:rsid w:val="00F5346D"/>
    <w:rsid w:val="00F546D9"/>
    <w:rsid w:val="00F615CB"/>
    <w:rsid w:val="00F6617A"/>
    <w:rsid w:val="00F72E94"/>
    <w:rsid w:val="00F740B9"/>
    <w:rsid w:val="00F90113"/>
    <w:rsid w:val="00F915C5"/>
    <w:rsid w:val="00F91934"/>
    <w:rsid w:val="00F922F7"/>
    <w:rsid w:val="00F94DB2"/>
    <w:rsid w:val="00F976FB"/>
    <w:rsid w:val="00FA048C"/>
    <w:rsid w:val="00FA3564"/>
    <w:rsid w:val="00FA7065"/>
    <w:rsid w:val="00FA7766"/>
    <w:rsid w:val="00FB282F"/>
    <w:rsid w:val="00FB55E5"/>
    <w:rsid w:val="00FC2A47"/>
    <w:rsid w:val="00FD0C4C"/>
    <w:rsid w:val="00FD1948"/>
    <w:rsid w:val="00FD4B1E"/>
    <w:rsid w:val="00FD5FF9"/>
    <w:rsid w:val="00FE1F07"/>
    <w:rsid w:val="00FE32AE"/>
    <w:rsid w:val="00FE4D4F"/>
    <w:rsid w:val="00FE6A7B"/>
    <w:rsid w:val="00FF07BB"/>
    <w:rsid w:val="00FF1841"/>
    <w:rsid w:val="00FF1E26"/>
    <w:rsid w:val="00FF4528"/>
    <w:rsid w:val="00FF4683"/>
    <w:rsid w:val="00FF52C6"/>
    <w:rsid w:val="00FF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TW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BAEF7D7B-B122-4AEB-AEE2-0BD04A079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sid w:val="00C968F2"/>
    <w:rPr>
      <w:color w:val="0000FF"/>
      <w:u w:val="single"/>
    </w:rPr>
  </w:style>
  <w:style w:type="character" w:customStyle="1" w:styleId="hps">
    <w:name w:val="hps"/>
    <w:basedOn w:val="Standardnpsmoodstavce"/>
    <w:rsid w:val="00C968F2"/>
  </w:style>
  <w:style w:type="paragraph" w:styleId="Zhlav">
    <w:name w:val="header"/>
    <w:basedOn w:val="Normln"/>
    <w:link w:val="Zhlav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76E50"/>
  </w:style>
  <w:style w:type="paragraph" w:styleId="Zpat">
    <w:name w:val="footer"/>
    <w:basedOn w:val="Normln"/>
    <w:link w:val="ZpatChar"/>
    <w:uiPriority w:val="99"/>
    <w:unhideWhenUsed/>
    <w:rsid w:val="00A76E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76E50"/>
  </w:style>
  <w:style w:type="paragraph" w:styleId="Textbubliny">
    <w:name w:val="Balloon Text"/>
    <w:basedOn w:val="Normln"/>
    <w:link w:val="TextbublinyChar"/>
    <w:uiPriority w:val="99"/>
    <w:semiHidden/>
    <w:unhideWhenUsed/>
    <w:rsid w:val="00FF07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F07BB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unhideWhenUsed/>
    <w:rsid w:val="00F94DB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94DB2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94DB2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94DB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94DB2"/>
    <w:rPr>
      <w:b/>
      <w:bCs/>
      <w:sz w:val="20"/>
      <w:szCs w:val="20"/>
    </w:rPr>
  </w:style>
  <w:style w:type="paragraph" w:styleId="Prosttext">
    <w:name w:val="Plain Text"/>
    <w:basedOn w:val="Normln"/>
    <w:link w:val="ProsttextChar"/>
    <w:uiPriority w:val="99"/>
    <w:semiHidden/>
    <w:unhideWhenUsed/>
    <w:rsid w:val="00A84CE9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A84CE9"/>
    <w:rPr>
      <w:rFonts w:ascii="Calibri" w:hAnsi="Calibri"/>
      <w:szCs w:val="21"/>
    </w:rPr>
  </w:style>
  <w:style w:type="paragraph" w:styleId="Odstavecseseznamem">
    <w:name w:val="List Paragraph"/>
    <w:basedOn w:val="Normln"/>
    <w:uiPriority w:val="34"/>
    <w:qFormat/>
    <w:rsid w:val="005171E3"/>
    <w:pPr>
      <w:ind w:left="720"/>
      <w:contextualSpacing/>
    </w:pPr>
  </w:style>
  <w:style w:type="paragraph" w:styleId="Revize">
    <w:name w:val="Revision"/>
    <w:hidden/>
    <w:uiPriority w:val="99"/>
    <w:semiHidden/>
    <w:rsid w:val="004B0D3D"/>
    <w:pPr>
      <w:spacing w:after="0" w:line="240" w:lineRule="auto"/>
    </w:pPr>
  </w:style>
  <w:style w:type="table" w:styleId="Mkatabulky">
    <w:name w:val="Table Grid"/>
    <w:basedOn w:val="Normlntabulka"/>
    <w:uiPriority w:val="59"/>
    <w:rsid w:val="00E17F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5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4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1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86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0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3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4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8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2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ceec.e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B99B9A-6BDD-463E-B4AE-9DB7B34E57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942</Words>
  <Characters>5558</Characters>
  <Application>Microsoft Office Word</Application>
  <DocSecurity>0</DocSecurity>
  <Lines>46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ČSÚ</Company>
  <LinksUpToDate>false</LinksUpToDate>
  <CharactersWithSpaces>6488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CEEC</dc:creator>
  <cp:lastModifiedBy>CEEC Research</cp:lastModifiedBy>
  <cp:revision>5</cp:revision>
  <dcterms:created xsi:type="dcterms:W3CDTF">2016-01-11T14:03:00Z</dcterms:created>
  <dcterms:modified xsi:type="dcterms:W3CDTF">2016-01-12T07:52:00Z</dcterms:modified>
</cp:coreProperties>
</file>