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Default="003956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 říjnu vypsali veřejní investoři zakázky za pouhých 15,8 miliardy korun</w:t>
      </w:r>
    </w:p>
    <w:p w:rsidR="00C63502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2603EC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2603EC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2603EC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AE6E1B">
        <w:rPr>
          <w:rFonts w:ascii="Arial" w:eastAsia="SimSun" w:hAnsi="Arial" w:cs="Arial"/>
          <w:b/>
          <w:color w:val="000000" w:themeColor="text1"/>
          <w:kern w:val="1"/>
        </w:rPr>
        <w:t>1</w:t>
      </w:r>
      <w:r w:rsidR="00801395">
        <w:rPr>
          <w:rFonts w:ascii="Arial" w:eastAsia="SimSun" w:hAnsi="Arial" w:cs="Arial"/>
          <w:b/>
          <w:color w:val="000000" w:themeColor="text1"/>
          <w:kern w:val="1"/>
        </w:rPr>
        <w:t>7</w:t>
      </w:r>
      <w:r w:rsidR="00122E6D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0E2F47">
        <w:rPr>
          <w:rFonts w:ascii="Arial" w:eastAsia="SimSun" w:hAnsi="Arial" w:cs="Arial"/>
          <w:b/>
          <w:color w:val="000000" w:themeColor="text1"/>
          <w:kern w:val="1"/>
        </w:rPr>
        <w:t>prosince</w:t>
      </w:r>
      <w:r w:rsidR="001D7988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395602">
        <w:rPr>
          <w:rFonts w:ascii="Arial" w:eastAsia="SimSun" w:hAnsi="Arial" w:cs="Arial"/>
          <w:b/>
          <w:color w:val="000000" w:themeColor="text1"/>
          <w:kern w:val="1"/>
        </w:rPr>
        <w:t xml:space="preserve"> Investice za celkem 15,8 miliardy korun připravili veřejní investoři v říjnu letošního roku. V lednu až říjnu 2015 bylo ve Věstníku veřejných zakázek zveřejněn</w:t>
      </w:r>
      <w:bookmarkStart w:id="0" w:name="_GoBack"/>
      <w:bookmarkEnd w:id="0"/>
      <w:r w:rsidR="00395602">
        <w:rPr>
          <w:rFonts w:ascii="Arial" w:eastAsia="SimSun" w:hAnsi="Arial" w:cs="Arial"/>
          <w:b/>
          <w:color w:val="000000" w:themeColor="text1"/>
          <w:kern w:val="1"/>
        </w:rPr>
        <w:t>o celkem 6 497 výběrových řízení v celkové hodnotě 227 miliard. Počet i objem oproti srovnatelnému období loň</w:t>
      </w:r>
      <w:r w:rsidR="00AE6E1B">
        <w:rPr>
          <w:rFonts w:ascii="Arial" w:eastAsia="SimSun" w:hAnsi="Arial" w:cs="Arial"/>
          <w:b/>
          <w:color w:val="000000" w:themeColor="text1"/>
          <w:kern w:val="1"/>
        </w:rPr>
        <w:t>ského roku výrazně klesl</w:t>
      </w:r>
      <w:r w:rsidR="008E1F3C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AE6E1B">
        <w:rPr>
          <w:rFonts w:ascii="Arial" w:eastAsia="SimSun" w:hAnsi="Arial" w:cs="Arial"/>
          <w:b/>
          <w:color w:val="000000" w:themeColor="text1"/>
          <w:kern w:val="1"/>
        </w:rPr>
        <w:t xml:space="preserve"> a to o</w:t>
      </w:r>
      <w:r w:rsidR="0039560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395602" w:rsidRPr="00395602">
        <w:rPr>
          <w:rFonts w:ascii="Arial" w:eastAsia="SimSun" w:hAnsi="Arial" w:cs="Arial"/>
          <w:b/>
          <w:color w:val="000000" w:themeColor="text1"/>
          <w:kern w:val="1"/>
        </w:rPr>
        <w:t xml:space="preserve">14,7 </w:t>
      </w:r>
      <w:r w:rsidR="00395602">
        <w:rPr>
          <w:rFonts w:ascii="Arial" w:eastAsia="SimSun" w:hAnsi="Arial" w:cs="Arial"/>
          <w:b/>
          <w:color w:val="000000" w:themeColor="text1"/>
          <w:kern w:val="1"/>
        </w:rPr>
        <w:t>%</w:t>
      </w:r>
      <w:r w:rsidR="008E1F3C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395602">
        <w:rPr>
          <w:rFonts w:ascii="Arial" w:eastAsia="SimSun" w:hAnsi="Arial" w:cs="Arial"/>
          <w:b/>
          <w:color w:val="000000" w:themeColor="text1"/>
          <w:kern w:val="1"/>
        </w:rPr>
        <w:t xml:space="preserve"> respektive </w:t>
      </w:r>
      <w:r w:rsidR="008E1F3C">
        <w:rPr>
          <w:rFonts w:ascii="Arial" w:eastAsia="SimSun" w:hAnsi="Arial" w:cs="Arial"/>
          <w:b/>
          <w:color w:val="000000" w:themeColor="text1"/>
          <w:kern w:val="1"/>
        </w:rPr>
        <w:t xml:space="preserve">o </w:t>
      </w:r>
      <w:r w:rsidR="00395602">
        <w:rPr>
          <w:rFonts w:ascii="Arial" w:eastAsia="SimSun" w:hAnsi="Arial" w:cs="Arial"/>
          <w:b/>
          <w:color w:val="000000" w:themeColor="text1"/>
          <w:kern w:val="1"/>
        </w:rPr>
        <w:t>17,0 %</w:t>
      </w:r>
      <w:r w:rsidR="00395602" w:rsidRPr="00395602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39560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DC6643">
        <w:rPr>
          <w:rFonts w:ascii="Arial" w:eastAsia="SimSun" w:hAnsi="Arial" w:cs="Arial"/>
          <w:b/>
          <w:color w:val="000000" w:themeColor="text1"/>
          <w:kern w:val="1"/>
        </w:rPr>
        <w:t>ve Věstníku veřejných zakázek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0E2F47">
        <w:rPr>
          <w:rFonts w:ascii="Arial" w:eastAsia="SimSun" w:hAnsi="Arial" w:cs="Arial"/>
          <w:b/>
          <w:color w:val="000000" w:themeColor="text1"/>
          <w:kern w:val="1"/>
        </w:rPr>
        <w:t>na konci října</w:t>
      </w:r>
      <w:r w:rsidR="000C7B62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>2015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F37DB" w:rsidRDefault="00EF37DB" w:rsidP="00F9193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64AEB" w:rsidRDefault="008E1F3C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říjnu letošního roku připravili veřejní investoři v</w:t>
      </w:r>
      <w:r w:rsidR="00536079">
        <w:rPr>
          <w:rFonts w:ascii="Arial" w:hAnsi="Arial" w:cs="Arial"/>
          <w:color w:val="000000" w:themeColor="text1"/>
        </w:rPr>
        <w:t xml:space="preserve">ýběrová řízení za 15,8 miliardy korun. </w:t>
      </w:r>
      <w:r w:rsidR="00951160">
        <w:rPr>
          <w:rFonts w:ascii="Arial" w:hAnsi="Arial" w:cs="Arial"/>
          <w:color w:val="000000" w:themeColor="text1"/>
        </w:rPr>
        <w:t>Je to </w:t>
      </w:r>
      <w:r w:rsidR="00536079">
        <w:rPr>
          <w:rFonts w:ascii="Arial" w:hAnsi="Arial" w:cs="Arial"/>
          <w:color w:val="000000" w:themeColor="text1"/>
        </w:rPr>
        <w:t>druh</w:t>
      </w:r>
      <w:r>
        <w:rPr>
          <w:rFonts w:ascii="Arial" w:hAnsi="Arial" w:cs="Arial"/>
          <w:color w:val="000000" w:themeColor="text1"/>
        </w:rPr>
        <w:t>á</w:t>
      </w:r>
      <w:r w:rsidR="00536079">
        <w:rPr>
          <w:rFonts w:ascii="Arial" w:hAnsi="Arial" w:cs="Arial"/>
          <w:color w:val="000000" w:themeColor="text1"/>
        </w:rPr>
        <w:t xml:space="preserve"> nejnižší </w:t>
      </w:r>
      <w:r>
        <w:rPr>
          <w:rFonts w:ascii="Arial" w:hAnsi="Arial" w:cs="Arial"/>
          <w:color w:val="000000" w:themeColor="text1"/>
        </w:rPr>
        <w:t xml:space="preserve">investice </w:t>
      </w:r>
      <w:r w:rsidR="00536079">
        <w:rPr>
          <w:rFonts w:ascii="Arial" w:hAnsi="Arial" w:cs="Arial"/>
          <w:color w:val="000000" w:themeColor="text1"/>
        </w:rPr>
        <w:t>v letošním roce (</w:t>
      </w:r>
      <w:r>
        <w:rPr>
          <w:rFonts w:ascii="Arial" w:hAnsi="Arial" w:cs="Arial"/>
          <w:color w:val="000000" w:themeColor="text1"/>
        </w:rPr>
        <w:t xml:space="preserve">srov. </w:t>
      </w:r>
      <w:r w:rsidR="00536079">
        <w:rPr>
          <w:rFonts w:ascii="Arial" w:hAnsi="Arial" w:cs="Arial"/>
          <w:color w:val="000000" w:themeColor="text1"/>
        </w:rPr>
        <w:t xml:space="preserve">srpen – 13,4 miliardy korun). </w:t>
      </w:r>
      <w:r>
        <w:rPr>
          <w:rFonts w:ascii="Arial" w:hAnsi="Arial" w:cs="Arial"/>
          <w:color w:val="000000" w:themeColor="text1"/>
        </w:rPr>
        <w:t xml:space="preserve">Celkem </w:t>
      </w:r>
      <w:r w:rsidR="00536079">
        <w:rPr>
          <w:rFonts w:ascii="Arial" w:hAnsi="Arial" w:cs="Arial"/>
          <w:color w:val="000000" w:themeColor="text1"/>
        </w:rPr>
        <w:t xml:space="preserve">531 vypsaných soutěží </w:t>
      </w:r>
      <w:r>
        <w:rPr>
          <w:rFonts w:ascii="Arial" w:hAnsi="Arial" w:cs="Arial"/>
          <w:color w:val="000000" w:themeColor="text1"/>
        </w:rPr>
        <w:t xml:space="preserve">za měsíc říjen dokonce </w:t>
      </w:r>
      <w:r w:rsidR="00536079">
        <w:rPr>
          <w:rFonts w:ascii="Arial" w:hAnsi="Arial" w:cs="Arial"/>
          <w:color w:val="000000" w:themeColor="text1"/>
        </w:rPr>
        <w:t xml:space="preserve">představuje nejnižší </w:t>
      </w:r>
      <w:r w:rsidR="0026229F">
        <w:rPr>
          <w:rFonts w:ascii="Arial" w:hAnsi="Arial" w:cs="Arial"/>
          <w:color w:val="000000" w:themeColor="text1"/>
        </w:rPr>
        <w:t xml:space="preserve">měsíční </w:t>
      </w:r>
      <w:r>
        <w:rPr>
          <w:rFonts w:ascii="Arial" w:hAnsi="Arial" w:cs="Arial"/>
          <w:color w:val="000000" w:themeColor="text1"/>
        </w:rPr>
        <w:t xml:space="preserve">počet v letošním </w:t>
      </w:r>
      <w:r w:rsidR="00536079">
        <w:rPr>
          <w:rFonts w:ascii="Arial" w:hAnsi="Arial" w:cs="Arial"/>
          <w:color w:val="000000" w:themeColor="text1"/>
        </w:rPr>
        <w:t>ro</w:t>
      </w:r>
      <w:r>
        <w:rPr>
          <w:rFonts w:ascii="Arial" w:hAnsi="Arial" w:cs="Arial"/>
          <w:color w:val="000000" w:themeColor="text1"/>
        </w:rPr>
        <w:t>ce</w:t>
      </w:r>
      <w:r w:rsidR="00536079">
        <w:rPr>
          <w:rFonts w:ascii="Arial" w:hAnsi="Arial" w:cs="Arial"/>
          <w:color w:val="000000" w:themeColor="text1"/>
        </w:rPr>
        <w:t xml:space="preserve">. </w:t>
      </w:r>
    </w:p>
    <w:p w:rsidR="00536079" w:rsidRDefault="00536079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36079" w:rsidRDefault="00536079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Bilance prvních deseti měsíců je v porovnání s rokem 2014 záporná. Investoři </w:t>
      </w:r>
      <w:r w:rsidR="008E1F3C">
        <w:rPr>
          <w:rFonts w:ascii="Arial" w:hAnsi="Arial" w:cs="Arial"/>
          <w:color w:val="000000" w:themeColor="text1"/>
        </w:rPr>
        <w:t xml:space="preserve">vypsali </w:t>
      </w:r>
      <w:r>
        <w:rPr>
          <w:rFonts w:ascii="Arial" w:hAnsi="Arial" w:cs="Arial"/>
          <w:color w:val="000000" w:themeColor="text1"/>
        </w:rPr>
        <w:t>v lednu až říjnu letošního roku celkem 6</w:t>
      </w:r>
      <w:r w:rsidR="008E1F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497 výběrových řízení v celkové hodnotě 227</w:t>
      </w:r>
      <w:r w:rsidR="00931D64">
        <w:rPr>
          <w:rFonts w:ascii="Arial" w:hAnsi="Arial" w:cs="Arial"/>
          <w:color w:val="000000" w:themeColor="text1"/>
        </w:rPr>
        <w:t xml:space="preserve"> miliard korun. Obě hodnoty představují meziroční pokles </w:t>
      </w:r>
      <w:r w:rsidR="008E1F3C">
        <w:rPr>
          <w:rFonts w:ascii="Arial" w:hAnsi="Arial" w:cs="Arial"/>
          <w:color w:val="000000" w:themeColor="text1"/>
        </w:rPr>
        <w:t xml:space="preserve">o </w:t>
      </w:r>
      <w:r w:rsidR="00931D64">
        <w:rPr>
          <w:rFonts w:ascii="Arial" w:hAnsi="Arial" w:cs="Arial"/>
          <w:color w:val="000000" w:themeColor="text1"/>
        </w:rPr>
        <w:t xml:space="preserve">14,7 procenta, respektive </w:t>
      </w:r>
      <w:r w:rsidR="008E1F3C">
        <w:rPr>
          <w:rFonts w:ascii="Arial" w:hAnsi="Arial" w:cs="Arial"/>
          <w:color w:val="000000" w:themeColor="text1"/>
        </w:rPr>
        <w:t xml:space="preserve">o </w:t>
      </w:r>
      <w:r w:rsidR="00931D64">
        <w:rPr>
          <w:rFonts w:ascii="Arial" w:hAnsi="Arial" w:cs="Arial"/>
          <w:color w:val="000000" w:themeColor="text1"/>
        </w:rPr>
        <w:t>17,0</w:t>
      </w:r>
      <w:r w:rsidR="00951160">
        <w:rPr>
          <w:rFonts w:ascii="Arial" w:hAnsi="Arial" w:cs="Arial"/>
          <w:color w:val="000000" w:themeColor="text1"/>
        </w:rPr>
        <w:t xml:space="preserve"> procent</w:t>
      </w:r>
      <w:r w:rsidR="007C22B5">
        <w:rPr>
          <w:rFonts w:ascii="Arial" w:hAnsi="Arial" w:cs="Arial"/>
          <w:color w:val="000000" w:themeColor="text1"/>
        </w:rPr>
        <w:t xml:space="preserve">. </w:t>
      </w:r>
      <w:r w:rsidR="00D81054">
        <w:rPr>
          <w:rFonts w:ascii="Arial" w:hAnsi="Arial" w:cs="Arial"/>
          <w:color w:val="000000" w:themeColor="text1"/>
        </w:rPr>
        <w:t xml:space="preserve"> </w:t>
      </w:r>
      <w:r w:rsidR="00D81054" w:rsidRPr="00D81054">
        <w:rPr>
          <w:rFonts w:ascii="Arial" w:hAnsi="Arial" w:cs="Arial"/>
          <w:i/>
          <w:color w:val="000000" w:themeColor="text1"/>
        </w:rPr>
        <w:t>„</w:t>
      </w:r>
      <w:r w:rsidR="00D81054">
        <w:rPr>
          <w:rFonts w:ascii="Arial" w:hAnsi="Arial" w:cs="Arial"/>
          <w:i/>
          <w:color w:val="000000" w:themeColor="text1"/>
        </w:rPr>
        <w:t>Pro </w:t>
      </w:r>
      <w:r w:rsidR="00D81054" w:rsidRPr="00D81054">
        <w:rPr>
          <w:rFonts w:ascii="Arial" w:hAnsi="Arial" w:cs="Arial"/>
          <w:i/>
          <w:color w:val="000000" w:themeColor="text1"/>
        </w:rPr>
        <w:t xml:space="preserve">stavební firmy jsou důležité kontinuální investice. Na náhlé změny objemů zakázek nejsou společnosti vzhledem ke svému fungování schopné rychle reagovat,“ </w:t>
      </w:r>
      <w:r w:rsidR="007C22B5">
        <w:rPr>
          <w:rFonts w:ascii="Arial" w:hAnsi="Arial" w:cs="Arial"/>
          <w:i/>
          <w:color w:val="000000" w:themeColor="text1"/>
        </w:rPr>
        <w:t xml:space="preserve">uvádí </w:t>
      </w:r>
      <w:r w:rsidR="00D81054" w:rsidRPr="00D81054">
        <w:rPr>
          <w:rFonts w:ascii="Arial" w:hAnsi="Arial" w:cs="Arial"/>
          <w:b/>
          <w:i/>
          <w:color w:val="000000" w:themeColor="text1"/>
        </w:rPr>
        <w:t xml:space="preserve">Mário Červenka, ředitel analytické společnosti </w:t>
      </w:r>
      <w:proofErr w:type="gramStart"/>
      <w:r w:rsidR="00D81054" w:rsidRPr="00D81054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D81054" w:rsidRPr="00D81054">
        <w:rPr>
          <w:rFonts w:ascii="Arial" w:hAnsi="Arial" w:cs="Arial"/>
          <w:b/>
          <w:i/>
          <w:color w:val="000000" w:themeColor="text1"/>
        </w:rPr>
        <w:t>C. Invest.</w:t>
      </w:r>
    </w:p>
    <w:p w:rsidR="00F407AA" w:rsidRDefault="00F407A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931D64" w:rsidRPr="00931D64" w:rsidTr="005E1A1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53 878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+15,5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+21,4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108 054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+71,7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+20,2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87 114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+43,8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-10,3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61 655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-65,2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8 762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+12,2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310 701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-10,6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+8,2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-8,1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-38,3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Říjen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531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-27,1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15 767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-35,2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říjen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6 497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227 013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-17,0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B64AEB" w:rsidRDefault="00B64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44D0A" w:rsidRDefault="007C22B5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CC15D8">
        <w:rPr>
          <w:rFonts w:ascii="Arial" w:hAnsi="Arial" w:cs="Arial"/>
          <w:color w:val="000000" w:themeColor="text1"/>
        </w:rPr>
        <w:t xml:space="preserve">tátní instituce prozatím rozdělily </w:t>
      </w:r>
      <w:r>
        <w:rPr>
          <w:rFonts w:ascii="Arial" w:hAnsi="Arial" w:cs="Arial"/>
          <w:color w:val="000000" w:themeColor="text1"/>
        </w:rPr>
        <w:t xml:space="preserve">mezi firmy </w:t>
      </w:r>
      <w:r w:rsidR="00CC15D8">
        <w:rPr>
          <w:rFonts w:ascii="Arial" w:hAnsi="Arial" w:cs="Arial"/>
          <w:color w:val="000000" w:themeColor="text1"/>
        </w:rPr>
        <w:t>polovinu (49 procent) výše uvedených výběrových řízení. Ve stejném období ukončily zakázky za 96,2 miliardy korun. Tato hodnota ale odpovídá hodnotě vypsané. Skutečná částka, za kterou firmy práci vysoutěžily</w:t>
      </w:r>
      <w:r>
        <w:rPr>
          <w:rFonts w:ascii="Arial" w:hAnsi="Arial" w:cs="Arial"/>
          <w:color w:val="000000" w:themeColor="text1"/>
        </w:rPr>
        <w:t>,</w:t>
      </w:r>
      <w:r w:rsidR="00CC15D8">
        <w:rPr>
          <w:rFonts w:ascii="Arial" w:hAnsi="Arial" w:cs="Arial"/>
          <w:color w:val="000000" w:themeColor="text1"/>
        </w:rPr>
        <w:t xml:space="preserve"> byla o 9 procent nižší (87,4 miliardy korun). </w:t>
      </w:r>
      <w:r w:rsidR="00B33367" w:rsidRPr="00B33367">
        <w:rPr>
          <w:rFonts w:ascii="Arial" w:hAnsi="Arial" w:cs="Arial"/>
          <w:i/>
          <w:color w:val="000000" w:themeColor="text1"/>
        </w:rPr>
        <w:t>„</w:t>
      </w:r>
      <w:r w:rsidR="00CC15D8" w:rsidRPr="00B33367">
        <w:rPr>
          <w:rFonts w:ascii="Arial" w:hAnsi="Arial" w:cs="Arial"/>
          <w:i/>
          <w:color w:val="000000" w:themeColor="text1"/>
        </w:rPr>
        <w:t xml:space="preserve">Z celkového objemu oznámených zakázek byly později zrušeny zakázky za 26 miliard korun (tedy cca 11 procent z oznámených). Po odečtení zadaných a zrušených zakázek zbývá investorům ještě soutěžit </w:t>
      </w:r>
      <w:r>
        <w:rPr>
          <w:rFonts w:ascii="Arial" w:hAnsi="Arial" w:cs="Arial"/>
          <w:i/>
          <w:color w:val="000000" w:themeColor="text1"/>
        </w:rPr>
        <w:t xml:space="preserve">o </w:t>
      </w:r>
      <w:r w:rsidR="00CC15D8" w:rsidRPr="00B33367">
        <w:rPr>
          <w:rFonts w:ascii="Arial" w:hAnsi="Arial" w:cs="Arial"/>
          <w:i/>
          <w:color w:val="000000" w:themeColor="text1"/>
        </w:rPr>
        <w:t>práce a služby za 104,8 miliard</w:t>
      </w:r>
      <w:r w:rsidR="00B33367" w:rsidRPr="00B33367">
        <w:rPr>
          <w:rFonts w:ascii="Arial" w:hAnsi="Arial" w:cs="Arial"/>
          <w:i/>
          <w:color w:val="000000" w:themeColor="text1"/>
        </w:rPr>
        <w:t>y korun, tedy 47 procent objemu,“</w:t>
      </w:r>
      <w:r w:rsidR="00B33367">
        <w:rPr>
          <w:rFonts w:ascii="Arial" w:hAnsi="Arial" w:cs="Arial"/>
          <w:color w:val="000000" w:themeColor="text1"/>
        </w:rPr>
        <w:t xml:space="preserve"> říká </w:t>
      </w:r>
      <w:r w:rsidR="00B33367" w:rsidRPr="00B33367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773F91" w:rsidRDefault="00773F91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73F91" w:rsidRDefault="00773F91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73F91">
        <w:rPr>
          <w:rFonts w:ascii="Arial" w:hAnsi="Arial" w:cs="Arial"/>
          <w:color w:val="000000" w:themeColor="text1"/>
        </w:rPr>
        <w:t xml:space="preserve">V lednu až říjnu 2015 bylo zatím </w:t>
      </w:r>
      <w:r w:rsidR="007C22B5">
        <w:rPr>
          <w:rFonts w:ascii="Arial" w:hAnsi="Arial" w:cs="Arial"/>
          <w:color w:val="000000" w:themeColor="text1"/>
        </w:rPr>
        <w:t xml:space="preserve">zadáno </w:t>
      </w:r>
      <w:r w:rsidR="00395602">
        <w:rPr>
          <w:rFonts w:ascii="Arial" w:hAnsi="Arial" w:cs="Arial"/>
          <w:color w:val="000000" w:themeColor="text1"/>
        </w:rPr>
        <w:t>konkrétním dodavatelům 12 079 zakázek, což je o 11,5 procenta</w:t>
      </w:r>
      <w:r w:rsidRPr="00773F91">
        <w:rPr>
          <w:rFonts w:ascii="Arial" w:hAnsi="Arial" w:cs="Arial"/>
          <w:color w:val="000000" w:themeColor="text1"/>
        </w:rPr>
        <w:t xml:space="preserve"> více než v</w:t>
      </w:r>
      <w:r w:rsidR="00395602">
        <w:rPr>
          <w:rFonts w:ascii="Arial" w:hAnsi="Arial" w:cs="Arial"/>
          <w:color w:val="000000" w:themeColor="text1"/>
        </w:rPr>
        <w:t> prvních deseti měsících minulého roku</w:t>
      </w:r>
      <w:r w:rsidRPr="00773F91">
        <w:rPr>
          <w:rFonts w:ascii="Arial" w:hAnsi="Arial" w:cs="Arial"/>
          <w:color w:val="000000" w:themeColor="text1"/>
        </w:rPr>
        <w:t xml:space="preserve">. </w:t>
      </w:r>
      <w:r w:rsidR="00395602">
        <w:rPr>
          <w:rFonts w:ascii="Arial" w:hAnsi="Arial" w:cs="Arial"/>
          <w:color w:val="000000" w:themeColor="text1"/>
        </w:rPr>
        <w:t>Jejich celková hodnota se vyšplhala na</w:t>
      </w:r>
      <w:r w:rsidRPr="00773F91">
        <w:rPr>
          <w:rFonts w:ascii="Arial" w:hAnsi="Arial" w:cs="Arial"/>
          <w:color w:val="000000" w:themeColor="text1"/>
        </w:rPr>
        <w:t xml:space="preserve"> 207,6 </w:t>
      </w:r>
      <w:r w:rsidR="00395602">
        <w:rPr>
          <w:rFonts w:ascii="Arial" w:hAnsi="Arial" w:cs="Arial"/>
          <w:color w:val="000000" w:themeColor="text1"/>
        </w:rPr>
        <w:t>miliardy korun a meziročně klesla o 30,5 procenta.</w:t>
      </w:r>
      <w:r w:rsidRPr="00773F91">
        <w:rPr>
          <w:rFonts w:ascii="Arial" w:hAnsi="Arial" w:cs="Arial"/>
          <w:color w:val="000000" w:themeColor="text1"/>
        </w:rPr>
        <w:t xml:space="preserve"> Vývoj ale značně ovlivnily velké zakázky společností ČEPRO, NET4GAS a České dráhy v c</w:t>
      </w:r>
      <w:r w:rsidR="00395602">
        <w:rPr>
          <w:rFonts w:ascii="Arial" w:hAnsi="Arial" w:cs="Arial"/>
          <w:color w:val="000000" w:themeColor="text1"/>
        </w:rPr>
        <w:t>elkové hodnotě téměř 125 miliard korun</w:t>
      </w:r>
      <w:r w:rsidRPr="00773F91">
        <w:rPr>
          <w:rFonts w:ascii="Arial" w:hAnsi="Arial" w:cs="Arial"/>
          <w:color w:val="000000" w:themeColor="text1"/>
        </w:rPr>
        <w:t xml:space="preserve"> pro rok 2014 a 20 </w:t>
      </w:r>
      <w:r w:rsidR="00395602">
        <w:rPr>
          <w:rFonts w:ascii="Arial" w:hAnsi="Arial" w:cs="Arial"/>
          <w:color w:val="000000" w:themeColor="text1"/>
        </w:rPr>
        <w:t>miliard korun</w:t>
      </w:r>
      <w:r w:rsidRPr="00773F91">
        <w:rPr>
          <w:rFonts w:ascii="Arial" w:hAnsi="Arial" w:cs="Arial"/>
          <w:color w:val="000000" w:themeColor="text1"/>
        </w:rPr>
        <w:t xml:space="preserve"> pro rok 2015. Pokud bychom soubor modelově upravili tak, aby byly meziroční základny objektivně porovnatelné (tj. odečetli bychom tyto mimořádné zakázky), </w:t>
      </w:r>
      <w:r w:rsidR="007C22B5">
        <w:rPr>
          <w:rFonts w:ascii="Arial" w:hAnsi="Arial" w:cs="Arial"/>
          <w:color w:val="000000" w:themeColor="text1"/>
        </w:rPr>
        <w:t xml:space="preserve">vzrostl by </w:t>
      </w:r>
      <w:r w:rsidRPr="00773F91">
        <w:rPr>
          <w:rFonts w:ascii="Arial" w:hAnsi="Arial" w:cs="Arial"/>
          <w:color w:val="000000" w:themeColor="text1"/>
        </w:rPr>
        <w:t>objem zadaných veřejných zakázek v lednu až říjnu</w:t>
      </w:r>
      <w:r w:rsidR="00395602">
        <w:rPr>
          <w:rFonts w:ascii="Arial" w:hAnsi="Arial" w:cs="Arial"/>
          <w:color w:val="000000" w:themeColor="text1"/>
        </w:rPr>
        <w:t xml:space="preserve"> 2015 reálně o 7,9 procenta.</w:t>
      </w:r>
      <w:r w:rsidR="00B33367">
        <w:rPr>
          <w:rFonts w:ascii="Arial" w:hAnsi="Arial" w:cs="Arial"/>
          <w:color w:val="000000" w:themeColor="text1"/>
        </w:rPr>
        <w:t xml:space="preserve"> </w:t>
      </w:r>
      <w:r w:rsidR="00B33367" w:rsidRPr="00B33367">
        <w:rPr>
          <w:rFonts w:ascii="Arial" w:hAnsi="Arial" w:cs="Arial"/>
          <w:i/>
          <w:color w:val="000000" w:themeColor="text1"/>
        </w:rPr>
        <w:t>„I přes ne příliš příznivé počty vypsaných výběrových řízení na stavební práce se mezinárodnímu stavebnímu veletrhu FOR ARCH daří. Již v současné době registrujeme zvýšený počet vystavovatelů k účasti pro rok 2016. Zároveň přicházíme s novinkou v podobě specializovaného projektu zaměřeného na stavební chemii,“</w:t>
      </w:r>
      <w:r w:rsidR="00B33367">
        <w:rPr>
          <w:rFonts w:ascii="Arial" w:hAnsi="Arial" w:cs="Arial"/>
          <w:color w:val="000000" w:themeColor="text1"/>
        </w:rPr>
        <w:t xml:space="preserve"> </w:t>
      </w:r>
      <w:r w:rsidR="00AB3A5B">
        <w:rPr>
          <w:rFonts w:ascii="Arial" w:hAnsi="Arial" w:cs="Arial"/>
          <w:color w:val="000000" w:themeColor="text1"/>
        </w:rPr>
        <w:t xml:space="preserve">informuje </w:t>
      </w:r>
      <w:r w:rsidR="00B33367" w:rsidRPr="00B33367">
        <w:rPr>
          <w:rFonts w:ascii="Arial" w:hAnsi="Arial" w:cs="Arial"/>
          <w:b/>
          <w:i/>
          <w:color w:val="000000" w:themeColor="text1"/>
        </w:rPr>
        <w:t xml:space="preserve">Martin František Přívětivý, ředitel mezinárodního stavebního veletrhu FOR ARCH. </w:t>
      </w:r>
      <w:r w:rsidRPr="00773F91">
        <w:rPr>
          <w:rFonts w:ascii="Arial" w:hAnsi="Arial" w:cs="Arial"/>
          <w:color w:val="000000" w:themeColor="text1"/>
        </w:rPr>
        <w:t>Některá zadávací řízení stále</w:t>
      </w:r>
      <w:r w:rsidR="00AB3A5B">
        <w:rPr>
          <w:rFonts w:ascii="Arial" w:hAnsi="Arial" w:cs="Arial"/>
          <w:color w:val="000000" w:themeColor="text1"/>
        </w:rPr>
        <w:t xml:space="preserve"> ještě</w:t>
      </w:r>
      <w:r w:rsidRPr="00773F91">
        <w:rPr>
          <w:rFonts w:ascii="Arial" w:hAnsi="Arial" w:cs="Arial"/>
          <w:color w:val="000000" w:themeColor="text1"/>
        </w:rPr>
        <w:t xml:space="preserve"> </w:t>
      </w:r>
      <w:r w:rsidR="007C22B5">
        <w:rPr>
          <w:rFonts w:ascii="Arial" w:hAnsi="Arial" w:cs="Arial"/>
          <w:color w:val="000000" w:themeColor="text1"/>
        </w:rPr>
        <w:t>probíhají</w:t>
      </w:r>
      <w:r w:rsidR="00395602">
        <w:rPr>
          <w:rFonts w:ascii="Arial" w:hAnsi="Arial" w:cs="Arial"/>
          <w:color w:val="000000" w:themeColor="text1"/>
        </w:rPr>
        <w:t>, a</w:t>
      </w:r>
      <w:r w:rsidRPr="00773F91">
        <w:rPr>
          <w:rFonts w:ascii="Arial" w:hAnsi="Arial" w:cs="Arial"/>
          <w:color w:val="000000" w:themeColor="text1"/>
        </w:rPr>
        <w:t xml:space="preserve"> proto lze očekávat, že v dalších měsících budou </w:t>
      </w:r>
      <w:r w:rsidR="00AB3A5B">
        <w:rPr>
          <w:rFonts w:ascii="Arial" w:hAnsi="Arial" w:cs="Arial"/>
          <w:color w:val="000000" w:themeColor="text1"/>
        </w:rPr>
        <w:t xml:space="preserve">uvedená </w:t>
      </w:r>
      <w:r w:rsidRPr="00773F91">
        <w:rPr>
          <w:rFonts w:ascii="Arial" w:hAnsi="Arial" w:cs="Arial"/>
          <w:color w:val="000000" w:themeColor="text1"/>
        </w:rPr>
        <w:t>data ještě aktualizována.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zadání zakázky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1"/>
        <w:gridCol w:w="1067"/>
        <w:gridCol w:w="1046"/>
        <w:gridCol w:w="1061"/>
        <w:gridCol w:w="1069"/>
        <w:gridCol w:w="1041"/>
        <w:gridCol w:w="1068"/>
      </w:tblGrid>
      <w:tr w:rsidR="00395602" w:rsidRPr="00395602" w:rsidTr="005E1A1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AB3A5B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</w:t>
            </w:r>
            <w:r w:rsidR="00395602"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122 206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+266,6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3 461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-7,3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70 841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3 634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-30,8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87 453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+53,1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3 896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69 752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+15,3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13 629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-17,3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350 252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+39,4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-60,9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-19,5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říjen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12 079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+11,5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207 560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-30,5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8E" w:rsidRDefault="007A708E" w:rsidP="00A76E50">
      <w:pPr>
        <w:spacing w:after="0" w:line="240" w:lineRule="auto"/>
      </w:pPr>
      <w:r>
        <w:separator/>
      </w:r>
    </w:p>
  </w:endnote>
  <w:endnote w:type="continuationSeparator" w:id="0">
    <w:p w:rsidR="007A708E" w:rsidRDefault="007A708E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8E" w:rsidRDefault="007A708E" w:rsidP="00A76E50">
      <w:pPr>
        <w:spacing w:after="0" w:line="240" w:lineRule="auto"/>
      </w:pPr>
      <w:r>
        <w:separator/>
      </w:r>
    </w:p>
  </w:footnote>
  <w:footnote w:type="continuationSeparator" w:id="0">
    <w:p w:rsidR="007A708E" w:rsidRDefault="007A708E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110D5"/>
    <w:rsid w:val="00012CB9"/>
    <w:rsid w:val="00016986"/>
    <w:rsid w:val="0002357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3FDE"/>
    <w:rsid w:val="00116FFB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47F5"/>
    <w:rsid w:val="003756AA"/>
    <w:rsid w:val="00376974"/>
    <w:rsid w:val="00376E15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795B"/>
    <w:rsid w:val="003D47EA"/>
    <w:rsid w:val="003D48F8"/>
    <w:rsid w:val="003D630D"/>
    <w:rsid w:val="003E3DE2"/>
    <w:rsid w:val="003E3F4A"/>
    <w:rsid w:val="003E40D1"/>
    <w:rsid w:val="003E77A1"/>
    <w:rsid w:val="003F1964"/>
    <w:rsid w:val="003F203A"/>
    <w:rsid w:val="00402D9F"/>
    <w:rsid w:val="0041515B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C14E3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5634"/>
    <w:rsid w:val="005677BC"/>
    <w:rsid w:val="0057102C"/>
    <w:rsid w:val="0057145D"/>
    <w:rsid w:val="0057268D"/>
    <w:rsid w:val="005733C7"/>
    <w:rsid w:val="005826BC"/>
    <w:rsid w:val="00584A1E"/>
    <w:rsid w:val="0058771B"/>
    <w:rsid w:val="005912D0"/>
    <w:rsid w:val="005912F8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E20F2"/>
    <w:rsid w:val="006E4E8A"/>
    <w:rsid w:val="006F0F71"/>
    <w:rsid w:val="006F29EF"/>
    <w:rsid w:val="006F2C05"/>
    <w:rsid w:val="006F5538"/>
    <w:rsid w:val="00702F17"/>
    <w:rsid w:val="00703F7F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30372"/>
    <w:rsid w:val="00733E20"/>
    <w:rsid w:val="00737158"/>
    <w:rsid w:val="00737E6F"/>
    <w:rsid w:val="0074021E"/>
    <w:rsid w:val="00741C6E"/>
    <w:rsid w:val="007430B7"/>
    <w:rsid w:val="00744A97"/>
    <w:rsid w:val="00751610"/>
    <w:rsid w:val="00752F10"/>
    <w:rsid w:val="007547AB"/>
    <w:rsid w:val="00756A20"/>
    <w:rsid w:val="00757E18"/>
    <w:rsid w:val="007603AB"/>
    <w:rsid w:val="00760BCE"/>
    <w:rsid w:val="0076181F"/>
    <w:rsid w:val="00763269"/>
    <w:rsid w:val="0076588A"/>
    <w:rsid w:val="00766B88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B2BC0"/>
    <w:rsid w:val="007B4F0F"/>
    <w:rsid w:val="007B67E8"/>
    <w:rsid w:val="007C22B5"/>
    <w:rsid w:val="007C55A2"/>
    <w:rsid w:val="007C6D41"/>
    <w:rsid w:val="007C7D83"/>
    <w:rsid w:val="007D01D4"/>
    <w:rsid w:val="007D51D0"/>
    <w:rsid w:val="007D73AB"/>
    <w:rsid w:val="007E2491"/>
    <w:rsid w:val="007E36FA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D58"/>
    <w:rsid w:val="008E4090"/>
    <w:rsid w:val="008E51E4"/>
    <w:rsid w:val="008E70F3"/>
    <w:rsid w:val="008F20F7"/>
    <w:rsid w:val="008F3AEB"/>
    <w:rsid w:val="008F4D01"/>
    <w:rsid w:val="00902A00"/>
    <w:rsid w:val="00906B01"/>
    <w:rsid w:val="00914FF6"/>
    <w:rsid w:val="00916FD0"/>
    <w:rsid w:val="00917465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5F68"/>
    <w:rsid w:val="00AC6AD5"/>
    <w:rsid w:val="00AC77CF"/>
    <w:rsid w:val="00AD0157"/>
    <w:rsid w:val="00AD247B"/>
    <w:rsid w:val="00AD4919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33367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7C83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11DB"/>
    <w:rsid w:val="00D61585"/>
    <w:rsid w:val="00D64833"/>
    <w:rsid w:val="00D6525A"/>
    <w:rsid w:val="00D6587A"/>
    <w:rsid w:val="00D66843"/>
    <w:rsid w:val="00D74B72"/>
    <w:rsid w:val="00D81054"/>
    <w:rsid w:val="00D82AEE"/>
    <w:rsid w:val="00D8719A"/>
    <w:rsid w:val="00D87C81"/>
    <w:rsid w:val="00D91433"/>
    <w:rsid w:val="00D948F5"/>
    <w:rsid w:val="00DB07A6"/>
    <w:rsid w:val="00DB21E5"/>
    <w:rsid w:val="00DB34B3"/>
    <w:rsid w:val="00DB5326"/>
    <w:rsid w:val="00DC4B47"/>
    <w:rsid w:val="00DC6643"/>
    <w:rsid w:val="00DD367E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2B32"/>
    <w:rsid w:val="00E250FF"/>
    <w:rsid w:val="00E25CA4"/>
    <w:rsid w:val="00E27F64"/>
    <w:rsid w:val="00E32B62"/>
    <w:rsid w:val="00E35919"/>
    <w:rsid w:val="00E367CE"/>
    <w:rsid w:val="00E43A88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F2E"/>
    <w:rsid w:val="00EA4F78"/>
    <w:rsid w:val="00EB37E6"/>
    <w:rsid w:val="00EB6829"/>
    <w:rsid w:val="00EB6ACF"/>
    <w:rsid w:val="00EC008B"/>
    <w:rsid w:val="00EC17F7"/>
    <w:rsid w:val="00EC548D"/>
    <w:rsid w:val="00EC5FD4"/>
    <w:rsid w:val="00EC5FE5"/>
    <w:rsid w:val="00EC6620"/>
    <w:rsid w:val="00EC72CC"/>
    <w:rsid w:val="00ED749E"/>
    <w:rsid w:val="00ED76BA"/>
    <w:rsid w:val="00EE0F00"/>
    <w:rsid w:val="00EF0B88"/>
    <w:rsid w:val="00EF25C5"/>
    <w:rsid w:val="00EF37DB"/>
    <w:rsid w:val="00EF6BE0"/>
    <w:rsid w:val="00EF7BB3"/>
    <w:rsid w:val="00F01CB3"/>
    <w:rsid w:val="00F15EB5"/>
    <w:rsid w:val="00F17FD0"/>
    <w:rsid w:val="00F20E32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615CB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E940E-AD7F-4882-87D1-AB468BB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8E29-0B17-4EC1-9A40-A7647CD1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5</cp:revision>
  <dcterms:created xsi:type="dcterms:W3CDTF">2015-12-16T14:45:00Z</dcterms:created>
  <dcterms:modified xsi:type="dcterms:W3CDTF">2015-12-17T07:33:00Z</dcterms:modified>
</cp:coreProperties>
</file>