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72CC" w:rsidRDefault="00793431" w:rsidP="00EC72CC">
      <w:pPr>
        <w:spacing w:after="0" w:line="360" w:lineRule="auto"/>
        <w:jc w:val="center"/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</w:pPr>
      <w:r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>Stát vypsal v lednu až květnu zakázky na projektové práce v celkové hodnotě 851 mil</w:t>
      </w:r>
      <w:r w:rsidR="00A83FA5"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 xml:space="preserve">ionů </w:t>
      </w:r>
      <w:r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>Kč</w:t>
      </w:r>
    </w:p>
    <w:p w:rsidR="00C63502" w:rsidRDefault="00C63502" w:rsidP="00EC72CC">
      <w:pPr>
        <w:spacing w:after="0" w:line="360" w:lineRule="auto"/>
        <w:jc w:val="center"/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</w:pPr>
    </w:p>
    <w:p w:rsidR="00B64398" w:rsidRPr="002603EC" w:rsidRDefault="00B718C2" w:rsidP="00030F20">
      <w:pPr>
        <w:spacing w:after="0" w:line="360" w:lineRule="auto"/>
        <w:jc w:val="both"/>
        <w:rPr>
          <w:rFonts w:ascii="Arial" w:eastAsia="SimSun" w:hAnsi="Arial" w:cs="Arial"/>
          <w:b/>
          <w:color w:val="000000" w:themeColor="text1"/>
          <w:kern w:val="1"/>
        </w:rPr>
      </w:pPr>
      <w:r w:rsidRPr="002603EC">
        <w:rPr>
          <w:rFonts w:ascii="Arial" w:eastAsia="SimSun" w:hAnsi="Arial" w:cs="Arial"/>
          <w:b/>
          <w:color w:val="000000" w:themeColor="text1"/>
          <w:kern w:val="1"/>
        </w:rPr>
        <w:t xml:space="preserve">Praha </w:t>
      </w:r>
      <w:r w:rsidR="00A84086">
        <w:rPr>
          <w:rFonts w:ascii="Arial" w:eastAsia="SimSun" w:hAnsi="Arial" w:cs="Arial"/>
          <w:b/>
          <w:color w:val="000000" w:themeColor="text1"/>
          <w:kern w:val="1"/>
        </w:rPr>
        <w:t>9</w:t>
      </w:r>
      <w:r w:rsidR="00C16CC9">
        <w:rPr>
          <w:rFonts w:ascii="Arial" w:eastAsia="SimSun" w:hAnsi="Arial" w:cs="Arial"/>
          <w:b/>
          <w:color w:val="000000" w:themeColor="text1"/>
          <w:kern w:val="1"/>
        </w:rPr>
        <w:t>. červ</w:t>
      </w:r>
      <w:r w:rsidR="00A84086">
        <w:rPr>
          <w:rFonts w:ascii="Arial" w:eastAsia="SimSun" w:hAnsi="Arial" w:cs="Arial"/>
          <w:b/>
          <w:color w:val="000000" w:themeColor="text1"/>
          <w:kern w:val="1"/>
        </w:rPr>
        <w:t>ence</w:t>
      </w:r>
      <w:r w:rsidR="001D7988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627790">
        <w:rPr>
          <w:rFonts w:ascii="Arial" w:eastAsia="SimSun" w:hAnsi="Arial" w:cs="Arial"/>
          <w:b/>
          <w:color w:val="000000" w:themeColor="text1"/>
          <w:kern w:val="1"/>
        </w:rPr>
        <w:t>–</w:t>
      </w:r>
      <w:r w:rsidR="00730372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913F9F">
        <w:rPr>
          <w:rFonts w:ascii="Arial" w:eastAsia="SimSun" w:hAnsi="Arial" w:cs="Arial"/>
          <w:b/>
          <w:color w:val="000000" w:themeColor="text1"/>
          <w:kern w:val="1"/>
        </w:rPr>
        <w:t xml:space="preserve">Zakázky za </w:t>
      </w:r>
      <w:r w:rsidR="0090609F">
        <w:rPr>
          <w:rFonts w:ascii="Arial" w:eastAsia="SimSun" w:hAnsi="Arial" w:cs="Arial"/>
          <w:b/>
          <w:color w:val="000000" w:themeColor="text1"/>
          <w:kern w:val="1"/>
        </w:rPr>
        <w:t xml:space="preserve">téměř </w:t>
      </w:r>
      <w:r w:rsidR="00913F9F">
        <w:rPr>
          <w:rFonts w:ascii="Arial" w:eastAsia="SimSun" w:hAnsi="Arial" w:cs="Arial"/>
          <w:b/>
          <w:color w:val="000000" w:themeColor="text1"/>
          <w:kern w:val="1"/>
        </w:rPr>
        <w:t xml:space="preserve">miliardu korun vypsali veřejní investoři v prvních pěti měsících letošního roku. Oproti loňsku je </w:t>
      </w:r>
      <w:r w:rsidR="0090609F">
        <w:rPr>
          <w:rFonts w:ascii="Arial" w:eastAsia="SimSun" w:hAnsi="Arial" w:cs="Arial"/>
          <w:b/>
          <w:color w:val="000000" w:themeColor="text1"/>
          <w:kern w:val="1"/>
        </w:rPr>
        <w:t xml:space="preserve">však </w:t>
      </w:r>
      <w:r w:rsidR="00913F9F">
        <w:rPr>
          <w:rFonts w:ascii="Arial" w:eastAsia="SimSun" w:hAnsi="Arial" w:cs="Arial"/>
          <w:b/>
          <w:color w:val="000000" w:themeColor="text1"/>
          <w:kern w:val="1"/>
        </w:rPr>
        <w:t>připravená částka o 21,5 % nižší.</w:t>
      </w:r>
      <w:r w:rsidR="00FC14E1">
        <w:rPr>
          <w:rFonts w:ascii="Arial" w:eastAsia="SimSun" w:hAnsi="Arial" w:cs="Arial"/>
          <w:b/>
          <w:color w:val="000000" w:themeColor="text1"/>
          <w:kern w:val="1"/>
        </w:rPr>
        <w:t xml:space="preserve"> Od ledna do května byly</w:t>
      </w:r>
      <w:r w:rsidR="00F12209">
        <w:rPr>
          <w:rFonts w:ascii="Arial" w:eastAsia="SimSun" w:hAnsi="Arial" w:cs="Arial"/>
          <w:b/>
          <w:color w:val="000000" w:themeColor="text1"/>
          <w:kern w:val="1"/>
        </w:rPr>
        <w:t xml:space="preserve"> projektovým firmám zadány zakázky za </w:t>
      </w:r>
      <w:r w:rsidR="00F12209" w:rsidRPr="00F12209">
        <w:rPr>
          <w:rFonts w:ascii="Arial" w:eastAsia="SimSun" w:hAnsi="Arial" w:cs="Arial"/>
          <w:b/>
          <w:color w:val="000000" w:themeColor="text1"/>
          <w:kern w:val="1"/>
        </w:rPr>
        <w:t>1,2 miliardy korun</w:t>
      </w:r>
      <w:r w:rsidR="00913F9F">
        <w:rPr>
          <w:rFonts w:ascii="Arial" w:eastAsia="SimSun" w:hAnsi="Arial" w:cs="Arial"/>
          <w:b/>
          <w:color w:val="000000" w:themeColor="text1"/>
          <w:kern w:val="1"/>
        </w:rPr>
        <w:t xml:space="preserve">. </w:t>
      </w:r>
      <w:r w:rsidR="00DC6643" w:rsidRPr="00DC6643">
        <w:rPr>
          <w:rFonts w:ascii="Arial" w:eastAsia="SimSun" w:hAnsi="Arial" w:cs="Arial"/>
          <w:b/>
          <w:color w:val="000000" w:themeColor="text1"/>
          <w:kern w:val="1"/>
        </w:rPr>
        <w:t xml:space="preserve">Vyplývá to z nejnovější analýzy zpracované analytickou společností CEEC Research na základě dat uveřejněných na konci </w:t>
      </w:r>
      <w:r w:rsidR="00DC6643">
        <w:rPr>
          <w:rFonts w:ascii="Arial" w:eastAsia="SimSun" w:hAnsi="Arial" w:cs="Arial"/>
          <w:b/>
          <w:color w:val="000000" w:themeColor="text1"/>
          <w:kern w:val="1"/>
        </w:rPr>
        <w:t xml:space="preserve">měsíce </w:t>
      </w:r>
      <w:r w:rsidR="00CF768F">
        <w:rPr>
          <w:rFonts w:ascii="Arial" w:eastAsia="SimSun" w:hAnsi="Arial" w:cs="Arial"/>
          <w:b/>
          <w:color w:val="000000" w:themeColor="text1"/>
          <w:kern w:val="1"/>
        </w:rPr>
        <w:t>května</w:t>
      </w:r>
      <w:r w:rsidR="00DC6643" w:rsidRPr="00DC6643">
        <w:rPr>
          <w:rFonts w:ascii="Arial" w:eastAsia="SimSun" w:hAnsi="Arial" w:cs="Arial"/>
          <w:b/>
          <w:color w:val="000000" w:themeColor="text1"/>
          <w:kern w:val="1"/>
        </w:rPr>
        <w:t xml:space="preserve"> 2015 ve Věstníku veřejných zakázek.</w:t>
      </w:r>
    </w:p>
    <w:p w:rsidR="009522FC" w:rsidRPr="002603EC" w:rsidRDefault="009522FC" w:rsidP="0054748B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B978D3" w:rsidRDefault="00A84086" w:rsidP="00C63502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V prvních pěti měsících letošního roku vypsali veřejní investoři zakázky na projektovou přípravu v celkové hodnotě 851 milionů korun. </w:t>
      </w:r>
      <w:r w:rsidR="00AA07E2" w:rsidRPr="00AA07E2">
        <w:rPr>
          <w:rFonts w:ascii="Arial" w:hAnsi="Arial" w:cs="Arial"/>
          <w:i/>
          <w:color w:val="000000" w:themeColor="text1"/>
        </w:rPr>
        <w:t>„</w:t>
      </w:r>
      <w:r w:rsidRPr="00AA07E2">
        <w:rPr>
          <w:rFonts w:ascii="Arial" w:hAnsi="Arial" w:cs="Arial"/>
          <w:i/>
          <w:color w:val="000000" w:themeColor="text1"/>
        </w:rPr>
        <w:t xml:space="preserve">V porovnání se stejným obdobím loňského roku jde o pětinový propad (-21,5 procenta). Z těchto zakázek jich bylo zatím </w:t>
      </w:r>
      <w:r w:rsidR="00A83FA5" w:rsidRPr="00AA07E2">
        <w:rPr>
          <w:rFonts w:ascii="Arial" w:hAnsi="Arial" w:cs="Arial"/>
          <w:i/>
          <w:color w:val="000000" w:themeColor="text1"/>
        </w:rPr>
        <w:t>zrušeno</w:t>
      </w:r>
      <w:r w:rsidR="00A83FA5">
        <w:rPr>
          <w:rFonts w:ascii="Arial" w:hAnsi="Arial" w:cs="Arial"/>
          <w:i/>
          <w:color w:val="000000" w:themeColor="text1"/>
        </w:rPr>
        <w:t xml:space="preserve"> </w:t>
      </w:r>
      <w:r w:rsidRPr="00AA07E2">
        <w:rPr>
          <w:rFonts w:ascii="Arial" w:hAnsi="Arial" w:cs="Arial"/>
          <w:i/>
          <w:color w:val="000000" w:themeColor="text1"/>
        </w:rPr>
        <w:t xml:space="preserve">jen </w:t>
      </w:r>
      <w:r w:rsidR="00A83FA5">
        <w:rPr>
          <w:rFonts w:ascii="Arial" w:hAnsi="Arial" w:cs="Arial"/>
          <w:i/>
          <w:color w:val="000000" w:themeColor="text1"/>
        </w:rPr>
        <w:t>malé množství.</w:t>
      </w:r>
      <w:r w:rsidRPr="00AA07E2">
        <w:rPr>
          <w:rFonts w:ascii="Arial" w:hAnsi="Arial" w:cs="Arial"/>
          <w:i/>
          <w:color w:val="000000" w:themeColor="text1"/>
        </w:rPr>
        <w:t xml:space="preserve"> Investoři </w:t>
      </w:r>
      <w:r w:rsidR="00A83FA5">
        <w:rPr>
          <w:rFonts w:ascii="Arial" w:hAnsi="Arial" w:cs="Arial"/>
          <w:i/>
          <w:color w:val="000000" w:themeColor="text1"/>
        </w:rPr>
        <w:t xml:space="preserve">už </w:t>
      </w:r>
      <w:r w:rsidRPr="00AA07E2">
        <w:rPr>
          <w:rFonts w:ascii="Arial" w:hAnsi="Arial" w:cs="Arial"/>
          <w:i/>
          <w:color w:val="000000" w:themeColor="text1"/>
        </w:rPr>
        <w:t xml:space="preserve">vybrali dodavatele na 16 procent výše uvedených výběrových řízení </w:t>
      </w:r>
      <w:r w:rsidR="00A83FA5">
        <w:rPr>
          <w:rFonts w:ascii="Arial" w:hAnsi="Arial" w:cs="Arial"/>
          <w:i/>
          <w:color w:val="000000" w:themeColor="text1"/>
        </w:rPr>
        <w:t>(</w:t>
      </w:r>
      <w:r w:rsidRPr="00AA07E2">
        <w:rPr>
          <w:rFonts w:ascii="Arial" w:hAnsi="Arial" w:cs="Arial"/>
          <w:i/>
          <w:color w:val="000000" w:themeColor="text1"/>
        </w:rPr>
        <w:t>5 procent z ce</w:t>
      </w:r>
      <w:r w:rsidR="00AA07E2" w:rsidRPr="00AA07E2">
        <w:rPr>
          <w:rFonts w:ascii="Arial" w:hAnsi="Arial" w:cs="Arial"/>
          <w:i/>
          <w:color w:val="000000" w:themeColor="text1"/>
        </w:rPr>
        <w:t xml:space="preserve">lkové hodnoty zakázek),“ </w:t>
      </w:r>
      <w:r>
        <w:rPr>
          <w:rFonts w:ascii="Arial" w:hAnsi="Arial" w:cs="Arial"/>
          <w:color w:val="000000" w:themeColor="text1"/>
        </w:rPr>
        <w:t xml:space="preserve">říká </w:t>
      </w:r>
      <w:r w:rsidRPr="00A84086">
        <w:rPr>
          <w:rFonts w:ascii="Arial" w:hAnsi="Arial" w:cs="Arial"/>
          <w:b/>
          <w:i/>
          <w:color w:val="000000" w:themeColor="text1"/>
        </w:rPr>
        <w:t>Jiří Vacek, ředitel analytické společnosti CEEC Research.</w:t>
      </w:r>
    </w:p>
    <w:p w:rsidR="00A84086" w:rsidRDefault="00A84086" w:rsidP="00C63502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A84086" w:rsidRDefault="00A84086" w:rsidP="00C63502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A84086" w:rsidRPr="00A84086" w:rsidRDefault="00A84086" w:rsidP="00A84086">
      <w:pPr>
        <w:spacing w:after="0" w:line="240" w:lineRule="auto"/>
        <w:jc w:val="both"/>
        <w:rPr>
          <w:rFonts w:ascii="Arial" w:eastAsia="Times New Roman" w:hAnsi="Arial" w:cs="Times New Roman"/>
          <w:bCs/>
          <w:sz w:val="20"/>
          <w:szCs w:val="24"/>
          <w:lang w:eastAsia="cs-CZ"/>
        </w:rPr>
      </w:pPr>
      <w:r w:rsidRPr="00A84086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Meziroční změny oznámení o zakázce v letech 2014 až 2015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34"/>
        <w:gridCol w:w="1985"/>
        <w:gridCol w:w="1505"/>
        <w:gridCol w:w="1505"/>
        <w:gridCol w:w="1505"/>
        <w:gridCol w:w="1506"/>
      </w:tblGrid>
      <w:tr w:rsidR="00A84086" w:rsidRPr="00A84086" w:rsidTr="00713FD1">
        <w:trPr>
          <w:cantSplit/>
          <w:trHeight w:val="284"/>
        </w:trPr>
        <w:tc>
          <w:tcPr>
            <w:tcW w:w="3119" w:type="dxa"/>
            <w:gridSpan w:val="2"/>
            <w:vMerge w:val="restart"/>
            <w:tcBorders>
              <w:top w:val="nil"/>
              <w:left w:val="nil"/>
            </w:tcBorders>
            <w:vAlign w:val="center"/>
          </w:tcPr>
          <w:p w:rsidR="00A84086" w:rsidRPr="00A84086" w:rsidRDefault="00A84086" w:rsidP="00A84086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A84086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Projektové zakázky</w:t>
            </w:r>
          </w:p>
        </w:tc>
        <w:tc>
          <w:tcPr>
            <w:tcW w:w="6021" w:type="dxa"/>
            <w:gridSpan w:val="4"/>
            <w:vAlign w:val="center"/>
          </w:tcPr>
          <w:p w:rsidR="00A84086" w:rsidRPr="00A84086" w:rsidRDefault="00A84086" w:rsidP="00A84086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A84086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Meziroční změna v %</w:t>
            </w:r>
          </w:p>
        </w:tc>
      </w:tr>
      <w:tr w:rsidR="00A84086" w:rsidRPr="00A84086" w:rsidTr="00713FD1">
        <w:trPr>
          <w:cantSplit/>
          <w:trHeight w:val="284"/>
        </w:trPr>
        <w:tc>
          <w:tcPr>
            <w:tcW w:w="3119" w:type="dxa"/>
            <w:gridSpan w:val="2"/>
            <w:vMerge/>
            <w:tcBorders>
              <w:left w:val="nil"/>
              <w:bottom w:val="single" w:sz="4" w:space="0" w:color="auto"/>
            </w:tcBorders>
          </w:tcPr>
          <w:p w:rsidR="00A84086" w:rsidRPr="00A84086" w:rsidRDefault="00A84086" w:rsidP="00A84086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</w:p>
        </w:tc>
        <w:tc>
          <w:tcPr>
            <w:tcW w:w="3010" w:type="dxa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A84086" w:rsidRPr="00A84086" w:rsidRDefault="00A84086" w:rsidP="00A84086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A84086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Počet</w:t>
            </w:r>
          </w:p>
        </w:tc>
        <w:tc>
          <w:tcPr>
            <w:tcW w:w="3011" w:type="dxa"/>
            <w:gridSpan w:val="2"/>
            <w:tcBorders>
              <w:left w:val="double" w:sz="4" w:space="0" w:color="auto"/>
              <w:bottom w:val="single" w:sz="4" w:space="0" w:color="auto"/>
            </w:tcBorders>
            <w:vAlign w:val="center"/>
          </w:tcPr>
          <w:p w:rsidR="00A84086" w:rsidRPr="00A84086" w:rsidRDefault="00A84086" w:rsidP="00A84086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A84086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Hodnota</w:t>
            </w:r>
          </w:p>
        </w:tc>
      </w:tr>
      <w:tr w:rsidR="00A84086" w:rsidRPr="00A84086" w:rsidTr="00713FD1">
        <w:trPr>
          <w:cantSplit/>
          <w:trHeight w:val="284"/>
        </w:trPr>
        <w:tc>
          <w:tcPr>
            <w:tcW w:w="1134" w:type="dxa"/>
            <w:vMerge w:val="restart"/>
            <w:tcBorders>
              <w:top w:val="double" w:sz="4" w:space="0" w:color="auto"/>
            </w:tcBorders>
            <w:vAlign w:val="center"/>
          </w:tcPr>
          <w:p w:rsidR="00A84086" w:rsidRPr="00A84086" w:rsidRDefault="00A84086" w:rsidP="00A8408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A84086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2014</w:t>
            </w:r>
          </w:p>
        </w:tc>
        <w:tc>
          <w:tcPr>
            <w:tcW w:w="1985" w:type="dxa"/>
            <w:tcBorders>
              <w:top w:val="double" w:sz="4" w:space="0" w:color="auto"/>
              <w:bottom w:val="nil"/>
            </w:tcBorders>
            <w:vAlign w:val="center"/>
          </w:tcPr>
          <w:p w:rsidR="00A84086" w:rsidRPr="00A84086" w:rsidRDefault="00A84086" w:rsidP="00A84086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A84086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1. čtvrtletí</w:t>
            </w:r>
          </w:p>
        </w:tc>
        <w:tc>
          <w:tcPr>
            <w:tcW w:w="1505" w:type="dxa"/>
            <w:tcBorders>
              <w:top w:val="double" w:sz="4" w:space="0" w:color="auto"/>
              <w:bottom w:val="nil"/>
              <w:right w:val="nil"/>
            </w:tcBorders>
            <w:vAlign w:val="center"/>
          </w:tcPr>
          <w:p w:rsidR="00A84086" w:rsidRPr="00A84086" w:rsidRDefault="00A84086" w:rsidP="00A84086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A84086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505" w:type="dxa"/>
            <w:tcBorders>
              <w:top w:val="double" w:sz="4" w:space="0" w:color="auto"/>
              <w:left w:val="nil"/>
              <w:bottom w:val="nil"/>
              <w:right w:val="double" w:sz="4" w:space="0" w:color="auto"/>
            </w:tcBorders>
            <w:tcMar>
              <w:right w:w="567" w:type="dxa"/>
            </w:tcMar>
            <w:vAlign w:val="center"/>
          </w:tcPr>
          <w:p w:rsidR="00A84086" w:rsidRPr="00A84086" w:rsidRDefault="00A84086" w:rsidP="00A84086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A84086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-10,5</w:t>
            </w:r>
          </w:p>
        </w:tc>
        <w:tc>
          <w:tcPr>
            <w:tcW w:w="1505" w:type="dxa"/>
            <w:tcBorders>
              <w:top w:val="double" w:sz="4" w:space="0" w:color="auto"/>
              <w:left w:val="double" w:sz="4" w:space="0" w:color="auto"/>
              <w:bottom w:val="nil"/>
              <w:right w:val="nil"/>
            </w:tcBorders>
            <w:vAlign w:val="center"/>
          </w:tcPr>
          <w:p w:rsidR="00A84086" w:rsidRPr="00A84086" w:rsidRDefault="00A84086" w:rsidP="00A84086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</w:pPr>
            <w:r w:rsidRPr="00A84086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506" w:type="dxa"/>
            <w:tcBorders>
              <w:top w:val="double" w:sz="4" w:space="0" w:color="auto"/>
              <w:left w:val="nil"/>
              <w:bottom w:val="nil"/>
            </w:tcBorders>
            <w:tcMar>
              <w:right w:w="567" w:type="dxa"/>
            </w:tcMar>
            <w:vAlign w:val="center"/>
          </w:tcPr>
          <w:p w:rsidR="00A84086" w:rsidRPr="00A84086" w:rsidRDefault="00A84086" w:rsidP="00A84086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A84086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+184,7</w:t>
            </w:r>
          </w:p>
        </w:tc>
      </w:tr>
      <w:tr w:rsidR="00A84086" w:rsidRPr="00A84086" w:rsidTr="00713FD1">
        <w:trPr>
          <w:cantSplit/>
          <w:trHeight w:val="284"/>
        </w:trPr>
        <w:tc>
          <w:tcPr>
            <w:tcW w:w="1134" w:type="dxa"/>
            <w:vMerge/>
            <w:vAlign w:val="center"/>
          </w:tcPr>
          <w:p w:rsidR="00A84086" w:rsidRPr="00A84086" w:rsidRDefault="00A84086" w:rsidP="00A8408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  <w:vAlign w:val="center"/>
          </w:tcPr>
          <w:p w:rsidR="00A84086" w:rsidRPr="00A84086" w:rsidRDefault="00A84086" w:rsidP="00A84086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A84086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2. čtvrtletí</w:t>
            </w:r>
          </w:p>
        </w:tc>
        <w:tc>
          <w:tcPr>
            <w:tcW w:w="1505" w:type="dxa"/>
            <w:tcBorders>
              <w:top w:val="nil"/>
              <w:bottom w:val="nil"/>
              <w:right w:val="nil"/>
            </w:tcBorders>
            <w:vAlign w:val="center"/>
          </w:tcPr>
          <w:p w:rsidR="00A84086" w:rsidRPr="00A84086" w:rsidRDefault="00A84086" w:rsidP="00A84086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</w:pPr>
            <w:r w:rsidRPr="00A84086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double" w:sz="4" w:space="0" w:color="auto"/>
            </w:tcBorders>
            <w:tcMar>
              <w:right w:w="567" w:type="dxa"/>
            </w:tcMar>
            <w:vAlign w:val="center"/>
          </w:tcPr>
          <w:p w:rsidR="00A84086" w:rsidRPr="00A84086" w:rsidRDefault="00A84086" w:rsidP="00A84086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A84086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+124,1</w:t>
            </w:r>
          </w:p>
        </w:tc>
        <w:tc>
          <w:tcPr>
            <w:tcW w:w="1505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:rsidR="00A84086" w:rsidRPr="00A84086" w:rsidRDefault="00A84086" w:rsidP="00A84086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</w:pPr>
            <w:r w:rsidRPr="00A84086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506" w:type="dxa"/>
            <w:tcBorders>
              <w:top w:val="nil"/>
              <w:left w:val="nil"/>
              <w:bottom w:val="nil"/>
            </w:tcBorders>
            <w:tcMar>
              <w:right w:w="567" w:type="dxa"/>
            </w:tcMar>
            <w:vAlign w:val="center"/>
          </w:tcPr>
          <w:p w:rsidR="00A84086" w:rsidRPr="00A84086" w:rsidRDefault="00A84086" w:rsidP="00A84086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A84086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+243,3</w:t>
            </w:r>
          </w:p>
        </w:tc>
      </w:tr>
      <w:tr w:rsidR="00A84086" w:rsidRPr="00A84086" w:rsidTr="00713FD1">
        <w:trPr>
          <w:cantSplit/>
          <w:trHeight w:val="284"/>
        </w:trPr>
        <w:tc>
          <w:tcPr>
            <w:tcW w:w="1134" w:type="dxa"/>
            <w:vMerge/>
            <w:vAlign w:val="center"/>
          </w:tcPr>
          <w:p w:rsidR="00A84086" w:rsidRPr="00A84086" w:rsidRDefault="00A84086" w:rsidP="00A8408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  <w:vAlign w:val="center"/>
          </w:tcPr>
          <w:p w:rsidR="00A84086" w:rsidRPr="00A84086" w:rsidRDefault="00A84086" w:rsidP="00A84086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A84086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3. čtvrtletí</w:t>
            </w:r>
          </w:p>
        </w:tc>
        <w:tc>
          <w:tcPr>
            <w:tcW w:w="1505" w:type="dxa"/>
            <w:tcBorders>
              <w:top w:val="nil"/>
              <w:bottom w:val="nil"/>
              <w:right w:val="nil"/>
            </w:tcBorders>
            <w:vAlign w:val="center"/>
          </w:tcPr>
          <w:p w:rsidR="00A84086" w:rsidRPr="00A84086" w:rsidRDefault="00A84086" w:rsidP="00A84086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</w:pPr>
            <w:r w:rsidRPr="00A84086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double" w:sz="4" w:space="0" w:color="auto"/>
            </w:tcBorders>
            <w:tcMar>
              <w:right w:w="567" w:type="dxa"/>
            </w:tcMar>
            <w:vAlign w:val="center"/>
          </w:tcPr>
          <w:p w:rsidR="00A84086" w:rsidRPr="00A84086" w:rsidRDefault="00A84086" w:rsidP="00A84086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A84086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+10,3</w:t>
            </w:r>
          </w:p>
        </w:tc>
        <w:tc>
          <w:tcPr>
            <w:tcW w:w="1505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:rsidR="00A84086" w:rsidRPr="00A84086" w:rsidRDefault="00A84086" w:rsidP="00A84086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</w:pPr>
            <w:r w:rsidRPr="00A84086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506" w:type="dxa"/>
            <w:tcBorders>
              <w:top w:val="nil"/>
              <w:left w:val="nil"/>
              <w:bottom w:val="nil"/>
            </w:tcBorders>
            <w:tcMar>
              <w:right w:w="567" w:type="dxa"/>
            </w:tcMar>
            <w:vAlign w:val="center"/>
          </w:tcPr>
          <w:p w:rsidR="00A84086" w:rsidRPr="00A84086" w:rsidRDefault="00A84086" w:rsidP="00A84086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A84086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+54,4</w:t>
            </w:r>
          </w:p>
        </w:tc>
      </w:tr>
      <w:tr w:rsidR="00A84086" w:rsidRPr="00A84086" w:rsidTr="00713FD1">
        <w:trPr>
          <w:cantSplit/>
          <w:trHeight w:val="284"/>
        </w:trPr>
        <w:tc>
          <w:tcPr>
            <w:tcW w:w="1134" w:type="dxa"/>
            <w:vMerge/>
            <w:vAlign w:val="center"/>
          </w:tcPr>
          <w:p w:rsidR="00A84086" w:rsidRPr="00A84086" w:rsidRDefault="00A84086" w:rsidP="00A8408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985" w:type="dxa"/>
            <w:tcBorders>
              <w:top w:val="nil"/>
              <w:bottom w:val="single" w:sz="4" w:space="0" w:color="auto"/>
            </w:tcBorders>
            <w:vAlign w:val="center"/>
          </w:tcPr>
          <w:p w:rsidR="00A84086" w:rsidRPr="00A84086" w:rsidRDefault="00A84086" w:rsidP="00A84086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A84086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4. čtvrtletí</w:t>
            </w:r>
          </w:p>
        </w:tc>
        <w:tc>
          <w:tcPr>
            <w:tcW w:w="1505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:rsidR="00A84086" w:rsidRPr="00A84086" w:rsidRDefault="00A84086" w:rsidP="00A84086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</w:pPr>
            <w:r w:rsidRPr="00A84086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tcMar>
              <w:right w:w="567" w:type="dxa"/>
            </w:tcMar>
            <w:vAlign w:val="center"/>
          </w:tcPr>
          <w:p w:rsidR="00A84086" w:rsidRPr="00A84086" w:rsidRDefault="00A84086" w:rsidP="00A84086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A84086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+12,3</w:t>
            </w:r>
          </w:p>
        </w:tc>
        <w:tc>
          <w:tcPr>
            <w:tcW w:w="1505" w:type="dxa"/>
            <w:tcBorders>
              <w:top w:val="nil"/>
              <w:left w:val="double" w:sz="4" w:space="0" w:color="auto"/>
              <w:bottom w:val="single" w:sz="4" w:space="0" w:color="auto"/>
              <w:right w:val="nil"/>
            </w:tcBorders>
            <w:vAlign w:val="center"/>
          </w:tcPr>
          <w:p w:rsidR="00A84086" w:rsidRPr="00A84086" w:rsidRDefault="00A84086" w:rsidP="00A84086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</w:pPr>
            <w:r w:rsidRPr="00A84086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</w:tcBorders>
            <w:tcMar>
              <w:right w:w="567" w:type="dxa"/>
            </w:tcMar>
            <w:vAlign w:val="center"/>
          </w:tcPr>
          <w:p w:rsidR="00A84086" w:rsidRPr="00A84086" w:rsidRDefault="00A84086" w:rsidP="00A84086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A84086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+60,6</w:t>
            </w:r>
          </w:p>
        </w:tc>
      </w:tr>
      <w:tr w:rsidR="00A84086" w:rsidRPr="00A84086" w:rsidTr="00713FD1">
        <w:trPr>
          <w:cantSplit/>
          <w:trHeight w:val="284"/>
        </w:trPr>
        <w:tc>
          <w:tcPr>
            <w:tcW w:w="1134" w:type="dxa"/>
            <w:vMerge/>
            <w:vAlign w:val="center"/>
          </w:tcPr>
          <w:p w:rsidR="00A84086" w:rsidRPr="00A84086" w:rsidRDefault="00A84086" w:rsidP="00A8408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84086" w:rsidRPr="00A84086" w:rsidRDefault="00A84086" w:rsidP="00A84086">
            <w:pPr>
              <w:spacing w:after="0" w:line="240" w:lineRule="auto"/>
              <w:rPr>
                <w:rFonts w:ascii="Arial" w:eastAsia="Times New Roman" w:hAnsi="Arial" w:cs="Times New Roman"/>
                <w:b/>
                <w:bCs/>
                <w:sz w:val="18"/>
                <w:szCs w:val="24"/>
                <w:lang w:eastAsia="cs-CZ"/>
              </w:rPr>
            </w:pPr>
            <w:r w:rsidRPr="00A84086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Rok</w:t>
            </w:r>
          </w:p>
        </w:tc>
        <w:tc>
          <w:tcPr>
            <w:tcW w:w="1505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84086" w:rsidRPr="00A84086" w:rsidRDefault="00A84086" w:rsidP="00A84086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A84086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505" w:type="dxa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tcMar>
              <w:right w:w="567" w:type="dxa"/>
            </w:tcMar>
            <w:vAlign w:val="center"/>
          </w:tcPr>
          <w:p w:rsidR="00A84086" w:rsidRPr="00A84086" w:rsidRDefault="00A84086" w:rsidP="00A84086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/>
                <w:bCs/>
                <w:sz w:val="18"/>
                <w:szCs w:val="24"/>
                <w:lang w:eastAsia="cs-CZ"/>
              </w:rPr>
            </w:pPr>
            <w:r w:rsidRPr="00A84086">
              <w:rPr>
                <w:rFonts w:ascii="Arial" w:eastAsia="Times New Roman" w:hAnsi="Arial" w:cs="Times New Roman"/>
                <w:b/>
                <w:bCs/>
                <w:sz w:val="18"/>
                <w:szCs w:val="24"/>
                <w:lang w:eastAsia="cs-CZ"/>
              </w:rPr>
              <w:t>+27,1</w:t>
            </w:r>
          </w:p>
        </w:tc>
        <w:tc>
          <w:tcPr>
            <w:tcW w:w="150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nil"/>
            </w:tcBorders>
            <w:vAlign w:val="center"/>
          </w:tcPr>
          <w:p w:rsidR="00A84086" w:rsidRPr="00A84086" w:rsidRDefault="00A84086" w:rsidP="00A84086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A84086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506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567" w:type="dxa"/>
            </w:tcMar>
            <w:vAlign w:val="center"/>
          </w:tcPr>
          <w:p w:rsidR="00A84086" w:rsidRPr="00A84086" w:rsidRDefault="00A84086" w:rsidP="00A84086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/>
                <w:bCs/>
                <w:sz w:val="18"/>
                <w:szCs w:val="24"/>
                <w:lang w:eastAsia="cs-CZ"/>
              </w:rPr>
            </w:pPr>
            <w:r w:rsidRPr="00A84086">
              <w:rPr>
                <w:rFonts w:ascii="Arial" w:eastAsia="Times New Roman" w:hAnsi="Arial" w:cs="Times New Roman"/>
                <w:b/>
                <w:bCs/>
                <w:sz w:val="18"/>
                <w:szCs w:val="24"/>
                <w:lang w:eastAsia="cs-CZ"/>
              </w:rPr>
              <w:t>+91,7</w:t>
            </w:r>
          </w:p>
        </w:tc>
      </w:tr>
      <w:tr w:rsidR="00A84086" w:rsidRPr="00A84086" w:rsidTr="00713FD1">
        <w:trPr>
          <w:cantSplit/>
          <w:trHeight w:val="284"/>
        </w:trPr>
        <w:tc>
          <w:tcPr>
            <w:tcW w:w="1134" w:type="dxa"/>
            <w:vMerge w:val="restart"/>
            <w:vAlign w:val="center"/>
          </w:tcPr>
          <w:p w:rsidR="00A84086" w:rsidRPr="00A84086" w:rsidRDefault="00A84086" w:rsidP="00A8408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A84086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2015</w:t>
            </w:r>
          </w:p>
        </w:tc>
        <w:tc>
          <w:tcPr>
            <w:tcW w:w="1985" w:type="dxa"/>
            <w:tcBorders>
              <w:top w:val="single" w:sz="4" w:space="0" w:color="auto"/>
              <w:bottom w:val="nil"/>
            </w:tcBorders>
            <w:vAlign w:val="center"/>
          </w:tcPr>
          <w:p w:rsidR="00A84086" w:rsidRPr="00A84086" w:rsidRDefault="00A84086" w:rsidP="00A84086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A84086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1. čtvrtletí</w:t>
            </w:r>
          </w:p>
        </w:tc>
        <w:tc>
          <w:tcPr>
            <w:tcW w:w="1505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:rsidR="00A84086" w:rsidRPr="00A84086" w:rsidRDefault="00A84086" w:rsidP="00A84086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A84086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505" w:type="dxa"/>
            <w:tcBorders>
              <w:top w:val="single" w:sz="4" w:space="0" w:color="auto"/>
              <w:left w:val="nil"/>
              <w:bottom w:val="nil"/>
              <w:right w:val="double" w:sz="4" w:space="0" w:color="auto"/>
            </w:tcBorders>
            <w:tcMar>
              <w:right w:w="567" w:type="dxa"/>
            </w:tcMar>
            <w:vAlign w:val="center"/>
          </w:tcPr>
          <w:p w:rsidR="00A84086" w:rsidRPr="00A84086" w:rsidRDefault="00A84086" w:rsidP="00A84086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A84086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+217,6</w:t>
            </w:r>
          </w:p>
        </w:tc>
        <w:tc>
          <w:tcPr>
            <w:tcW w:w="1505" w:type="dxa"/>
            <w:tcBorders>
              <w:top w:val="single" w:sz="4" w:space="0" w:color="auto"/>
              <w:left w:val="double" w:sz="4" w:space="0" w:color="auto"/>
              <w:bottom w:val="nil"/>
              <w:right w:val="nil"/>
            </w:tcBorders>
            <w:vAlign w:val="center"/>
          </w:tcPr>
          <w:p w:rsidR="00A84086" w:rsidRPr="00A84086" w:rsidRDefault="00A84086" w:rsidP="00A84086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A84086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506" w:type="dxa"/>
            <w:tcBorders>
              <w:top w:val="single" w:sz="4" w:space="0" w:color="auto"/>
              <w:left w:val="nil"/>
              <w:bottom w:val="nil"/>
            </w:tcBorders>
            <w:tcMar>
              <w:right w:w="567" w:type="dxa"/>
            </w:tcMar>
            <w:vAlign w:val="center"/>
          </w:tcPr>
          <w:p w:rsidR="00A84086" w:rsidRPr="00A84086" w:rsidRDefault="00A84086" w:rsidP="00A84086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A84086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+62,5</w:t>
            </w:r>
          </w:p>
        </w:tc>
      </w:tr>
      <w:tr w:rsidR="00A84086" w:rsidRPr="00A84086" w:rsidTr="00713FD1">
        <w:trPr>
          <w:cantSplit/>
          <w:trHeight w:val="284"/>
        </w:trPr>
        <w:tc>
          <w:tcPr>
            <w:tcW w:w="1134" w:type="dxa"/>
            <w:vMerge/>
            <w:vAlign w:val="center"/>
          </w:tcPr>
          <w:p w:rsidR="00A84086" w:rsidRPr="00A84086" w:rsidRDefault="00A84086" w:rsidP="00A8408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84086" w:rsidRPr="00A84086" w:rsidRDefault="00A84086" w:rsidP="00A84086">
            <w:pPr>
              <w:spacing w:after="0" w:line="240" w:lineRule="auto"/>
              <w:rPr>
                <w:rFonts w:ascii="Arial" w:eastAsia="Times New Roman" w:hAnsi="Arial" w:cs="Times New Roman"/>
                <w:b/>
                <w:bCs/>
                <w:sz w:val="18"/>
                <w:szCs w:val="24"/>
                <w:lang w:eastAsia="cs-CZ"/>
              </w:rPr>
            </w:pPr>
            <w:r w:rsidRPr="00A84086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Leden až květen</w:t>
            </w:r>
          </w:p>
        </w:tc>
        <w:tc>
          <w:tcPr>
            <w:tcW w:w="1505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84086" w:rsidRPr="00A84086" w:rsidRDefault="00A84086" w:rsidP="00A84086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A84086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505" w:type="dxa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tcMar>
              <w:right w:w="567" w:type="dxa"/>
            </w:tcMar>
            <w:vAlign w:val="center"/>
          </w:tcPr>
          <w:p w:rsidR="00A84086" w:rsidRPr="00A84086" w:rsidRDefault="00A84086" w:rsidP="00A84086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A84086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+49,2</w:t>
            </w:r>
          </w:p>
        </w:tc>
        <w:tc>
          <w:tcPr>
            <w:tcW w:w="150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nil"/>
            </w:tcBorders>
            <w:vAlign w:val="center"/>
          </w:tcPr>
          <w:p w:rsidR="00A84086" w:rsidRPr="00A84086" w:rsidRDefault="00A84086" w:rsidP="00A84086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A84086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506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567" w:type="dxa"/>
            </w:tcMar>
            <w:vAlign w:val="center"/>
          </w:tcPr>
          <w:p w:rsidR="00A84086" w:rsidRPr="00A84086" w:rsidRDefault="00A84086" w:rsidP="00A84086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A84086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-21,5</w:t>
            </w:r>
          </w:p>
        </w:tc>
      </w:tr>
    </w:tbl>
    <w:p w:rsidR="00A84086" w:rsidRPr="00A84086" w:rsidRDefault="00A84086" w:rsidP="00A84086">
      <w:pPr>
        <w:spacing w:after="0" w:line="240" w:lineRule="auto"/>
        <w:jc w:val="both"/>
        <w:rPr>
          <w:rFonts w:ascii="Arial" w:eastAsia="Times New Roman" w:hAnsi="Arial" w:cs="Times New Roman"/>
          <w:bCs/>
          <w:sz w:val="20"/>
          <w:szCs w:val="24"/>
          <w:lang w:eastAsia="cs-CZ"/>
        </w:rPr>
      </w:pPr>
      <w:r w:rsidRPr="00A84086">
        <w:rPr>
          <w:rFonts w:ascii="Arial" w:eastAsia="Times New Roman" w:hAnsi="Arial" w:cs="Times New Roman"/>
          <w:bCs/>
          <w:sz w:val="16"/>
          <w:szCs w:val="16"/>
          <w:lang w:eastAsia="cs-CZ"/>
        </w:rPr>
        <w:t>Zdroj: Věstník veřejných zakázek, výpočty CEEC Research</w:t>
      </w:r>
    </w:p>
    <w:p w:rsidR="00A84086" w:rsidRPr="00A84086" w:rsidRDefault="00A84086" w:rsidP="00A84086">
      <w:pPr>
        <w:spacing w:after="0" w:line="240" w:lineRule="auto"/>
        <w:jc w:val="both"/>
        <w:rPr>
          <w:rFonts w:ascii="Arial" w:eastAsia="Times New Roman" w:hAnsi="Arial" w:cs="Times New Roman"/>
          <w:bCs/>
          <w:sz w:val="20"/>
          <w:szCs w:val="24"/>
          <w:u w:val="single"/>
          <w:lang w:eastAsia="cs-CZ"/>
        </w:rPr>
      </w:pPr>
    </w:p>
    <w:p w:rsidR="00C07137" w:rsidRPr="00262FCA" w:rsidRDefault="00CF768F" w:rsidP="00C63502">
      <w:pPr>
        <w:spacing w:after="0" w:line="360" w:lineRule="auto"/>
        <w:jc w:val="both"/>
        <w:rPr>
          <w:rFonts w:ascii="Arial" w:hAnsi="Arial" w:cs="Arial"/>
          <w:b/>
          <w:i/>
          <w:color w:val="000000" w:themeColor="text1"/>
        </w:rPr>
      </w:pPr>
      <w:r>
        <w:rPr>
          <w:rFonts w:ascii="Arial" w:hAnsi="Arial" w:cs="Arial"/>
          <w:color w:val="000000" w:themeColor="text1"/>
        </w:rPr>
        <w:t>Oproti loňskému období led</w:t>
      </w:r>
      <w:r w:rsidR="00BA50EE">
        <w:rPr>
          <w:rFonts w:ascii="Arial" w:hAnsi="Arial" w:cs="Arial"/>
          <w:color w:val="000000" w:themeColor="text1"/>
        </w:rPr>
        <w:t>en</w:t>
      </w:r>
      <w:r>
        <w:rPr>
          <w:rFonts w:ascii="Arial" w:hAnsi="Arial" w:cs="Arial"/>
          <w:color w:val="000000" w:themeColor="text1"/>
        </w:rPr>
        <w:t xml:space="preserve"> až květ</w:t>
      </w:r>
      <w:r w:rsidR="00BA50EE">
        <w:rPr>
          <w:rFonts w:ascii="Arial" w:hAnsi="Arial" w:cs="Arial"/>
          <w:color w:val="000000" w:themeColor="text1"/>
        </w:rPr>
        <w:t>e</w:t>
      </w:r>
      <w:r>
        <w:rPr>
          <w:rFonts w:ascii="Arial" w:hAnsi="Arial" w:cs="Arial"/>
          <w:color w:val="000000" w:themeColor="text1"/>
        </w:rPr>
        <w:t>n vzrostl jak počet, tak i objem ukončených výběrových řízení. V prvních pěti měsících letošního roku vybrali zástupci veřejných institucí dodavatele na 193 projektových zakázek v celkové hodnotě 1,2 miliardy korun. Konkrétně v květnu ukončilo také Ředitelství silnic a dálnic ČR</w:t>
      </w:r>
      <w:r w:rsidR="00BA50EE">
        <w:rPr>
          <w:rFonts w:ascii="Arial" w:hAnsi="Arial" w:cs="Arial"/>
          <w:color w:val="000000" w:themeColor="text1"/>
        </w:rPr>
        <w:t xml:space="preserve"> pět velkých výběrových řízení</w:t>
      </w:r>
      <w:r>
        <w:rPr>
          <w:rFonts w:ascii="Arial" w:hAnsi="Arial" w:cs="Arial"/>
          <w:color w:val="000000" w:themeColor="text1"/>
        </w:rPr>
        <w:t xml:space="preserve">. Jednalo se například o soutěž na </w:t>
      </w:r>
      <w:r w:rsidR="00793431">
        <w:rPr>
          <w:rFonts w:ascii="Arial" w:hAnsi="Arial" w:cs="Arial"/>
          <w:color w:val="000000" w:themeColor="text1"/>
        </w:rPr>
        <w:t>dokumentaci</w:t>
      </w:r>
      <w:r w:rsidR="00793431" w:rsidRPr="00793431">
        <w:rPr>
          <w:rFonts w:ascii="Arial" w:hAnsi="Arial" w:cs="Arial"/>
          <w:color w:val="000000" w:themeColor="text1"/>
        </w:rPr>
        <w:t xml:space="preserve"> k územnímu rozhodnutí </w:t>
      </w:r>
      <w:r>
        <w:rPr>
          <w:rFonts w:ascii="Arial" w:hAnsi="Arial" w:cs="Arial"/>
          <w:color w:val="000000" w:themeColor="text1"/>
        </w:rPr>
        <w:t xml:space="preserve">na stavbu rychlostní silnice </w:t>
      </w:r>
      <w:r>
        <w:rPr>
          <w:rFonts w:ascii="Arial" w:hAnsi="Arial" w:cs="Arial"/>
          <w:color w:val="000000" w:themeColor="text1"/>
        </w:rPr>
        <w:lastRenderedPageBreak/>
        <w:t xml:space="preserve">R11 z Jaroměře do Trutnova a z Trutnova dále </w:t>
      </w:r>
      <w:r w:rsidR="00793431">
        <w:rPr>
          <w:rFonts w:ascii="Arial" w:hAnsi="Arial" w:cs="Arial"/>
          <w:color w:val="000000" w:themeColor="text1"/>
        </w:rPr>
        <w:t>na hranice</w:t>
      </w:r>
      <w:r w:rsidR="00BA50EE">
        <w:rPr>
          <w:rFonts w:ascii="Arial" w:hAnsi="Arial" w:cs="Arial"/>
          <w:color w:val="000000" w:themeColor="text1"/>
        </w:rPr>
        <w:t>,</w:t>
      </w:r>
      <w:r w:rsidR="00793431">
        <w:rPr>
          <w:rFonts w:ascii="Arial" w:hAnsi="Arial" w:cs="Arial"/>
          <w:color w:val="000000" w:themeColor="text1"/>
        </w:rPr>
        <w:t xml:space="preserve"> nebo na stavbu obchvatu </w:t>
      </w:r>
      <w:r w:rsidR="00793431" w:rsidRPr="00793431">
        <w:rPr>
          <w:rFonts w:ascii="Arial" w:hAnsi="Arial" w:cs="Arial"/>
          <w:color w:val="000000" w:themeColor="text1"/>
        </w:rPr>
        <w:t>Frýdk</w:t>
      </w:r>
      <w:r w:rsidR="00793431">
        <w:rPr>
          <w:rFonts w:ascii="Arial" w:hAnsi="Arial" w:cs="Arial"/>
          <w:color w:val="000000" w:themeColor="text1"/>
        </w:rPr>
        <w:t>u</w:t>
      </w:r>
      <w:r w:rsidR="00BA50EE">
        <w:rPr>
          <w:rFonts w:ascii="Arial" w:hAnsi="Arial" w:cs="Arial"/>
          <w:color w:val="000000" w:themeColor="text1"/>
        </w:rPr>
        <w:t>-</w:t>
      </w:r>
      <w:r w:rsidR="00793431">
        <w:rPr>
          <w:rFonts w:ascii="Arial" w:hAnsi="Arial" w:cs="Arial"/>
          <w:color w:val="000000" w:themeColor="text1"/>
        </w:rPr>
        <w:t>Míst</w:t>
      </w:r>
      <w:r w:rsidR="00793431" w:rsidRPr="00793431">
        <w:rPr>
          <w:rFonts w:ascii="Arial" w:hAnsi="Arial" w:cs="Arial"/>
          <w:color w:val="000000" w:themeColor="text1"/>
        </w:rPr>
        <w:t>k</w:t>
      </w:r>
      <w:r w:rsidR="00793431">
        <w:rPr>
          <w:rFonts w:ascii="Arial" w:hAnsi="Arial" w:cs="Arial"/>
          <w:color w:val="000000" w:themeColor="text1"/>
        </w:rPr>
        <w:t>u na R48.</w:t>
      </w:r>
      <w:r w:rsidR="00C07137">
        <w:rPr>
          <w:rFonts w:ascii="Arial" w:hAnsi="Arial" w:cs="Arial"/>
          <w:color w:val="000000" w:themeColor="text1"/>
        </w:rPr>
        <w:t xml:space="preserve"> </w:t>
      </w:r>
      <w:r w:rsidR="00C07137" w:rsidRPr="00C07137">
        <w:rPr>
          <w:rFonts w:ascii="Arial" w:hAnsi="Arial" w:cs="Arial"/>
          <w:i/>
          <w:color w:val="000000" w:themeColor="text1"/>
        </w:rPr>
        <w:t xml:space="preserve">„Navzdory proklamacím o nutnosti rozšiřovat dopravní infrastrukturu a využít maximálně evropské dotace vypsali veřejní investoři v prvních pěti měsících letošního roku o více než pětinu nižší počet zakázek na projektovou přípravu dopravních staveb. Když si uvědomíme, jak dlouhá cesta ještě </w:t>
      </w:r>
      <w:bookmarkStart w:id="0" w:name="_GoBack"/>
      <w:bookmarkEnd w:id="0"/>
      <w:r w:rsidR="00C07137" w:rsidRPr="00C07137">
        <w:rPr>
          <w:rFonts w:ascii="Arial" w:hAnsi="Arial" w:cs="Arial"/>
          <w:i/>
          <w:color w:val="000000" w:themeColor="text1"/>
        </w:rPr>
        <w:t>vede od projektu k realizaci stavby, obávám se, že zlepšení silniční d</w:t>
      </w:r>
      <w:r w:rsidR="00C07137">
        <w:rPr>
          <w:rFonts w:ascii="Arial" w:hAnsi="Arial" w:cs="Arial"/>
          <w:i/>
          <w:color w:val="000000" w:themeColor="text1"/>
        </w:rPr>
        <w:t>opravy se nám neustále vzdaluje,“</w:t>
      </w:r>
      <w:r w:rsidR="00C07137">
        <w:rPr>
          <w:rFonts w:ascii="Arial" w:hAnsi="Arial" w:cs="Arial"/>
          <w:color w:val="000000" w:themeColor="text1"/>
        </w:rPr>
        <w:t xml:space="preserve"> komentuje </w:t>
      </w:r>
      <w:r w:rsidR="00BA50EE">
        <w:rPr>
          <w:rFonts w:ascii="Arial" w:hAnsi="Arial" w:cs="Arial"/>
          <w:color w:val="000000" w:themeColor="text1"/>
        </w:rPr>
        <w:t xml:space="preserve">tento </w:t>
      </w:r>
      <w:r w:rsidR="00C07137">
        <w:rPr>
          <w:rFonts w:ascii="Arial" w:hAnsi="Arial" w:cs="Arial"/>
          <w:color w:val="000000" w:themeColor="text1"/>
        </w:rPr>
        <w:t xml:space="preserve">vývoj </w:t>
      </w:r>
      <w:r w:rsidR="00BA50EE" w:rsidRPr="00C07137">
        <w:rPr>
          <w:rFonts w:ascii="Arial" w:hAnsi="Arial" w:cs="Arial"/>
          <w:b/>
          <w:i/>
          <w:color w:val="000000" w:themeColor="text1"/>
        </w:rPr>
        <w:t>Pavel Pilát</w:t>
      </w:r>
      <w:r w:rsidR="00BA50EE">
        <w:rPr>
          <w:rFonts w:ascii="Arial" w:hAnsi="Arial" w:cs="Arial"/>
          <w:b/>
          <w:color w:val="000000" w:themeColor="text1"/>
        </w:rPr>
        <w:t xml:space="preserve">, </w:t>
      </w:r>
      <w:r w:rsidR="00C07137" w:rsidRPr="00C07137">
        <w:rPr>
          <w:rFonts w:ascii="Arial" w:hAnsi="Arial" w:cs="Arial"/>
          <w:b/>
          <w:i/>
          <w:color w:val="000000" w:themeColor="text1"/>
        </w:rPr>
        <w:t>generální ředitel společnosti Metrostav</w:t>
      </w:r>
      <w:r w:rsidR="00BA50EE" w:rsidRPr="00DD5D13">
        <w:rPr>
          <w:rFonts w:ascii="Arial" w:hAnsi="Arial" w:cs="Arial"/>
          <w:i/>
          <w:color w:val="000000" w:themeColor="text1"/>
        </w:rPr>
        <w:t>.</w:t>
      </w:r>
      <w:r w:rsidR="00262FCA" w:rsidRPr="00DD5D13">
        <w:rPr>
          <w:rFonts w:ascii="Arial" w:hAnsi="Arial" w:cs="Arial"/>
          <w:i/>
          <w:color w:val="000000" w:themeColor="text1"/>
        </w:rPr>
        <w:t xml:space="preserve"> „Objem vypsaných </w:t>
      </w:r>
      <w:r w:rsidR="00BA50EE" w:rsidRPr="00DD5D13">
        <w:rPr>
          <w:rFonts w:ascii="Arial" w:hAnsi="Arial" w:cs="Arial"/>
          <w:i/>
          <w:color w:val="000000" w:themeColor="text1"/>
        </w:rPr>
        <w:t xml:space="preserve">či </w:t>
      </w:r>
      <w:r w:rsidR="00262FCA" w:rsidRPr="00DD5D13">
        <w:rPr>
          <w:rFonts w:ascii="Arial" w:hAnsi="Arial" w:cs="Arial"/>
          <w:i/>
          <w:color w:val="000000" w:themeColor="text1"/>
        </w:rPr>
        <w:t xml:space="preserve">zadaných výběrových řízení neodpovídá finančním prostředkům alokovaným z evropských zdrojů. Pokud se rychlost </w:t>
      </w:r>
      <w:r w:rsidR="00BA50EE" w:rsidRPr="00DD5D13">
        <w:rPr>
          <w:rFonts w:ascii="Arial" w:hAnsi="Arial" w:cs="Arial"/>
          <w:i/>
          <w:color w:val="000000" w:themeColor="text1"/>
        </w:rPr>
        <w:t xml:space="preserve">výběrových řízení </w:t>
      </w:r>
      <w:r w:rsidR="00262FCA" w:rsidRPr="00DD5D13">
        <w:rPr>
          <w:rFonts w:ascii="Arial" w:hAnsi="Arial" w:cs="Arial"/>
          <w:i/>
          <w:color w:val="000000" w:themeColor="text1"/>
        </w:rPr>
        <w:t>nezvýší, hrozí nevyčerpání těchto peněz,“</w:t>
      </w:r>
      <w:r w:rsidR="00262FCA" w:rsidRPr="00DD5D13">
        <w:rPr>
          <w:rFonts w:ascii="Arial" w:hAnsi="Arial" w:cs="Arial"/>
          <w:b/>
          <w:color w:val="000000" w:themeColor="text1"/>
        </w:rPr>
        <w:t xml:space="preserve"> </w:t>
      </w:r>
      <w:r w:rsidR="00BA50EE" w:rsidRPr="00DD5D13">
        <w:rPr>
          <w:rFonts w:ascii="Arial" w:hAnsi="Arial" w:cs="Arial"/>
          <w:color w:val="000000" w:themeColor="text1"/>
        </w:rPr>
        <w:t xml:space="preserve">upozorňuje </w:t>
      </w:r>
      <w:r w:rsidR="00BA50EE" w:rsidRPr="00DD5D13">
        <w:rPr>
          <w:rFonts w:ascii="Arial" w:hAnsi="Arial" w:cs="Arial"/>
          <w:b/>
          <w:i/>
          <w:color w:val="000000" w:themeColor="text1"/>
        </w:rPr>
        <w:t xml:space="preserve">Mário Červenka, </w:t>
      </w:r>
      <w:r w:rsidR="00262FCA" w:rsidRPr="00DD5D13">
        <w:rPr>
          <w:rFonts w:ascii="Arial" w:hAnsi="Arial" w:cs="Arial"/>
          <w:b/>
          <w:i/>
          <w:color w:val="000000" w:themeColor="text1"/>
        </w:rPr>
        <w:t xml:space="preserve">ředitel developerské společnosti </w:t>
      </w:r>
      <w:proofErr w:type="spellStart"/>
      <w:proofErr w:type="gramStart"/>
      <w:r w:rsidR="00262FCA" w:rsidRPr="00DD5D13">
        <w:rPr>
          <w:rFonts w:ascii="Arial" w:hAnsi="Arial" w:cs="Arial"/>
          <w:b/>
          <w:i/>
          <w:color w:val="000000" w:themeColor="text1"/>
        </w:rPr>
        <w:t>O.M.</w:t>
      </w:r>
      <w:proofErr w:type="gramEnd"/>
      <w:r w:rsidR="00262FCA" w:rsidRPr="00DD5D13">
        <w:rPr>
          <w:rFonts w:ascii="Arial" w:hAnsi="Arial" w:cs="Arial"/>
          <w:b/>
          <w:i/>
          <w:color w:val="000000" w:themeColor="text1"/>
        </w:rPr>
        <w:t>C.Invest</w:t>
      </w:r>
      <w:proofErr w:type="spellEnd"/>
      <w:r w:rsidR="00BA50EE" w:rsidRPr="00DD5D13">
        <w:rPr>
          <w:rFonts w:ascii="Arial" w:hAnsi="Arial" w:cs="Arial"/>
          <w:b/>
          <w:i/>
          <w:color w:val="000000" w:themeColor="text1"/>
        </w:rPr>
        <w:t>.</w:t>
      </w:r>
    </w:p>
    <w:p w:rsidR="00A84086" w:rsidRDefault="00A84086" w:rsidP="00C63502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CF768F" w:rsidRPr="00CF768F" w:rsidRDefault="00CF768F" w:rsidP="00CF768F">
      <w:pPr>
        <w:spacing w:after="0" w:line="240" w:lineRule="auto"/>
        <w:jc w:val="both"/>
        <w:rPr>
          <w:rFonts w:ascii="Arial" w:eastAsia="Times New Roman" w:hAnsi="Arial" w:cs="Times New Roman"/>
          <w:bCs/>
          <w:sz w:val="20"/>
          <w:szCs w:val="24"/>
          <w:lang w:eastAsia="cs-CZ"/>
        </w:rPr>
      </w:pPr>
      <w:r w:rsidRPr="00CF768F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Meziroční změny oznámení o zadání zakázky v letech 2014 až 2015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34"/>
        <w:gridCol w:w="1985"/>
        <w:gridCol w:w="1505"/>
        <w:gridCol w:w="1505"/>
        <w:gridCol w:w="1505"/>
        <w:gridCol w:w="1506"/>
      </w:tblGrid>
      <w:tr w:rsidR="00CF768F" w:rsidRPr="00CF768F" w:rsidTr="00713FD1">
        <w:trPr>
          <w:cantSplit/>
          <w:trHeight w:val="284"/>
        </w:trPr>
        <w:tc>
          <w:tcPr>
            <w:tcW w:w="3119" w:type="dxa"/>
            <w:gridSpan w:val="2"/>
            <w:vMerge w:val="restart"/>
            <w:tcBorders>
              <w:top w:val="nil"/>
              <w:left w:val="nil"/>
            </w:tcBorders>
            <w:vAlign w:val="center"/>
          </w:tcPr>
          <w:p w:rsidR="00CF768F" w:rsidRPr="00CF768F" w:rsidRDefault="00CF768F" w:rsidP="00CF768F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CF768F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Projektové zakázky</w:t>
            </w:r>
          </w:p>
        </w:tc>
        <w:tc>
          <w:tcPr>
            <w:tcW w:w="6021" w:type="dxa"/>
            <w:gridSpan w:val="4"/>
            <w:vAlign w:val="center"/>
          </w:tcPr>
          <w:p w:rsidR="00CF768F" w:rsidRPr="00CF768F" w:rsidRDefault="00CF768F" w:rsidP="00CF768F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CF768F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Meziroční změna v %</w:t>
            </w:r>
          </w:p>
        </w:tc>
      </w:tr>
      <w:tr w:rsidR="00CF768F" w:rsidRPr="00CF768F" w:rsidTr="00713FD1">
        <w:trPr>
          <w:cantSplit/>
          <w:trHeight w:val="284"/>
        </w:trPr>
        <w:tc>
          <w:tcPr>
            <w:tcW w:w="3119" w:type="dxa"/>
            <w:gridSpan w:val="2"/>
            <w:vMerge/>
            <w:tcBorders>
              <w:left w:val="nil"/>
              <w:bottom w:val="single" w:sz="4" w:space="0" w:color="auto"/>
            </w:tcBorders>
          </w:tcPr>
          <w:p w:rsidR="00CF768F" w:rsidRPr="00CF768F" w:rsidRDefault="00CF768F" w:rsidP="00CF768F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</w:p>
        </w:tc>
        <w:tc>
          <w:tcPr>
            <w:tcW w:w="3010" w:type="dxa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CF768F" w:rsidRPr="00CF768F" w:rsidRDefault="00CF768F" w:rsidP="00CF768F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CF768F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Počet</w:t>
            </w:r>
          </w:p>
        </w:tc>
        <w:tc>
          <w:tcPr>
            <w:tcW w:w="3011" w:type="dxa"/>
            <w:gridSpan w:val="2"/>
            <w:tcBorders>
              <w:left w:val="double" w:sz="4" w:space="0" w:color="auto"/>
              <w:bottom w:val="single" w:sz="4" w:space="0" w:color="auto"/>
            </w:tcBorders>
            <w:vAlign w:val="center"/>
          </w:tcPr>
          <w:p w:rsidR="00CF768F" w:rsidRPr="00CF768F" w:rsidRDefault="00CF768F" w:rsidP="00CF768F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CF768F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Hodnota</w:t>
            </w:r>
          </w:p>
        </w:tc>
      </w:tr>
      <w:tr w:rsidR="00CF768F" w:rsidRPr="00CF768F" w:rsidTr="00713FD1">
        <w:trPr>
          <w:cantSplit/>
          <w:trHeight w:val="284"/>
        </w:trPr>
        <w:tc>
          <w:tcPr>
            <w:tcW w:w="1134" w:type="dxa"/>
            <w:vMerge w:val="restart"/>
            <w:tcBorders>
              <w:top w:val="double" w:sz="4" w:space="0" w:color="auto"/>
            </w:tcBorders>
            <w:vAlign w:val="center"/>
          </w:tcPr>
          <w:p w:rsidR="00CF768F" w:rsidRPr="00CF768F" w:rsidRDefault="00CF768F" w:rsidP="00CF76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CF768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2014</w:t>
            </w:r>
          </w:p>
        </w:tc>
        <w:tc>
          <w:tcPr>
            <w:tcW w:w="1985" w:type="dxa"/>
            <w:tcBorders>
              <w:top w:val="double" w:sz="4" w:space="0" w:color="auto"/>
              <w:bottom w:val="nil"/>
            </w:tcBorders>
            <w:vAlign w:val="center"/>
          </w:tcPr>
          <w:p w:rsidR="00CF768F" w:rsidRPr="00CF768F" w:rsidRDefault="00CF768F" w:rsidP="00CF768F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CF768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1. čtvrtletí</w:t>
            </w:r>
          </w:p>
        </w:tc>
        <w:tc>
          <w:tcPr>
            <w:tcW w:w="1505" w:type="dxa"/>
            <w:tcBorders>
              <w:top w:val="double" w:sz="4" w:space="0" w:color="auto"/>
              <w:bottom w:val="nil"/>
              <w:right w:val="nil"/>
            </w:tcBorders>
            <w:vAlign w:val="center"/>
          </w:tcPr>
          <w:p w:rsidR="00CF768F" w:rsidRPr="00CF768F" w:rsidRDefault="00CF768F" w:rsidP="00CF768F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</w:pPr>
            <w:r w:rsidRPr="00CF768F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505" w:type="dxa"/>
            <w:tcBorders>
              <w:top w:val="double" w:sz="4" w:space="0" w:color="auto"/>
              <w:left w:val="nil"/>
              <w:bottom w:val="nil"/>
              <w:right w:val="double" w:sz="4" w:space="0" w:color="auto"/>
            </w:tcBorders>
            <w:tcMar>
              <w:right w:w="567" w:type="dxa"/>
            </w:tcMar>
            <w:vAlign w:val="center"/>
          </w:tcPr>
          <w:p w:rsidR="00CF768F" w:rsidRPr="00CF768F" w:rsidRDefault="00CF768F" w:rsidP="00CF768F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CF768F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+31,5</w:t>
            </w:r>
          </w:p>
        </w:tc>
        <w:tc>
          <w:tcPr>
            <w:tcW w:w="1505" w:type="dxa"/>
            <w:tcBorders>
              <w:top w:val="double" w:sz="4" w:space="0" w:color="auto"/>
              <w:left w:val="double" w:sz="4" w:space="0" w:color="auto"/>
              <w:bottom w:val="nil"/>
              <w:right w:val="nil"/>
            </w:tcBorders>
            <w:vAlign w:val="center"/>
          </w:tcPr>
          <w:p w:rsidR="00CF768F" w:rsidRPr="00CF768F" w:rsidRDefault="00CF768F" w:rsidP="00CF768F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</w:pPr>
            <w:r w:rsidRPr="00CF768F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506" w:type="dxa"/>
            <w:tcBorders>
              <w:top w:val="double" w:sz="4" w:space="0" w:color="auto"/>
              <w:left w:val="nil"/>
              <w:bottom w:val="nil"/>
            </w:tcBorders>
            <w:tcMar>
              <w:right w:w="567" w:type="dxa"/>
            </w:tcMar>
            <w:vAlign w:val="center"/>
          </w:tcPr>
          <w:p w:rsidR="00CF768F" w:rsidRPr="00CF768F" w:rsidRDefault="00CF768F" w:rsidP="00CF768F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CF768F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+24,6</w:t>
            </w:r>
          </w:p>
        </w:tc>
      </w:tr>
      <w:tr w:rsidR="00CF768F" w:rsidRPr="00CF768F" w:rsidTr="00713FD1">
        <w:trPr>
          <w:cantSplit/>
          <w:trHeight w:val="284"/>
        </w:trPr>
        <w:tc>
          <w:tcPr>
            <w:tcW w:w="1134" w:type="dxa"/>
            <w:vMerge/>
            <w:vAlign w:val="center"/>
          </w:tcPr>
          <w:p w:rsidR="00CF768F" w:rsidRPr="00CF768F" w:rsidRDefault="00CF768F" w:rsidP="00CF76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  <w:vAlign w:val="center"/>
          </w:tcPr>
          <w:p w:rsidR="00CF768F" w:rsidRPr="00CF768F" w:rsidRDefault="00CF768F" w:rsidP="00CF768F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CF768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2. čtvrtletí</w:t>
            </w:r>
          </w:p>
        </w:tc>
        <w:tc>
          <w:tcPr>
            <w:tcW w:w="1505" w:type="dxa"/>
            <w:tcBorders>
              <w:top w:val="nil"/>
              <w:bottom w:val="nil"/>
              <w:right w:val="nil"/>
            </w:tcBorders>
            <w:vAlign w:val="center"/>
          </w:tcPr>
          <w:p w:rsidR="00CF768F" w:rsidRPr="00CF768F" w:rsidRDefault="00CF768F" w:rsidP="00CF768F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CF768F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double" w:sz="4" w:space="0" w:color="auto"/>
            </w:tcBorders>
            <w:tcMar>
              <w:right w:w="567" w:type="dxa"/>
            </w:tcMar>
            <w:vAlign w:val="center"/>
          </w:tcPr>
          <w:p w:rsidR="00CF768F" w:rsidRPr="00CF768F" w:rsidRDefault="00CF768F" w:rsidP="00CF768F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CF768F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-39,0</w:t>
            </w:r>
          </w:p>
        </w:tc>
        <w:tc>
          <w:tcPr>
            <w:tcW w:w="1505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:rsidR="00CF768F" w:rsidRPr="00CF768F" w:rsidRDefault="00CF768F" w:rsidP="00CF768F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CF768F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506" w:type="dxa"/>
            <w:tcBorders>
              <w:top w:val="nil"/>
              <w:left w:val="nil"/>
              <w:bottom w:val="nil"/>
            </w:tcBorders>
            <w:tcMar>
              <w:right w:w="567" w:type="dxa"/>
            </w:tcMar>
            <w:vAlign w:val="center"/>
          </w:tcPr>
          <w:p w:rsidR="00CF768F" w:rsidRPr="00CF768F" w:rsidRDefault="00CF768F" w:rsidP="00CF768F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CF768F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-68,2</w:t>
            </w:r>
          </w:p>
        </w:tc>
      </w:tr>
      <w:tr w:rsidR="00CF768F" w:rsidRPr="00CF768F" w:rsidTr="00713FD1">
        <w:trPr>
          <w:cantSplit/>
          <w:trHeight w:val="284"/>
        </w:trPr>
        <w:tc>
          <w:tcPr>
            <w:tcW w:w="1134" w:type="dxa"/>
            <w:vMerge/>
            <w:vAlign w:val="center"/>
          </w:tcPr>
          <w:p w:rsidR="00CF768F" w:rsidRPr="00CF768F" w:rsidRDefault="00CF768F" w:rsidP="00CF76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  <w:vAlign w:val="center"/>
          </w:tcPr>
          <w:p w:rsidR="00CF768F" w:rsidRPr="00CF768F" w:rsidRDefault="00CF768F" w:rsidP="00CF768F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CF768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3. čtvrtletí</w:t>
            </w:r>
          </w:p>
        </w:tc>
        <w:tc>
          <w:tcPr>
            <w:tcW w:w="1505" w:type="dxa"/>
            <w:tcBorders>
              <w:top w:val="nil"/>
              <w:bottom w:val="nil"/>
              <w:right w:val="nil"/>
            </w:tcBorders>
            <w:vAlign w:val="center"/>
          </w:tcPr>
          <w:p w:rsidR="00CF768F" w:rsidRPr="00CF768F" w:rsidRDefault="00CF768F" w:rsidP="00CF768F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CF768F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double" w:sz="4" w:space="0" w:color="auto"/>
            </w:tcBorders>
            <w:tcMar>
              <w:right w:w="567" w:type="dxa"/>
            </w:tcMar>
            <w:vAlign w:val="center"/>
          </w:tcPr>
          <w:p w:rsidR="00CF768F" w:rsidRPr="00CF768F" w:rsidRDefault="00CF768F" w:rsidP="00CF768F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CF768F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-31,2</w:t>
            </w:r>
          </w:p>
        </w:tc>
        <w:tc>
          <w:tcPr>
            <w:tcW w:w="1505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:rsidR="00CF768F" w:rsidRPr="00CF768F" w:rsidRDefault="00CF768F" w:rsidP="00CF768F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CF768F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506" w:type="dxa"/>
            <w:tcBorders>
              <w:top w:val="nil"/>
              <w:left w:val="nil"/>
              <w:bottom w:val="nil"/>
            </w:tcBorders>
            <w:tcMar>
              <w:right w:w="567" w:type="dxa"/>
            </w:tcMar>
            <w:vAlign w:val="center"/>
          </w:tcPr>
          <w:p w:rsidR="00CF768F" w:rsidRPr="00CF768F" w:rsidRDefault="00CF768F" w:rsidP="00CF768F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CF768F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-27,5</w:t>
            </w:r>
          </w:p>
        </w:tc>
      </w:tr>
      <w:tr w:rsidR="00CF768F" w:rsidRPr="00CF768F" w:rsidTr="00713FD1">
        <w:trPr>
          <w:cantSplit/>
          <w:trHeight w:val="284"/>
        </w:trPr>
        <w:tc>
          <w:tcPr>
            <w:tcW w:w="1134" w:type="dxa"/>
            <w:vMerge/>
            <w:vAlign w:val="center"/>
          </w:tcPr>
          <w:p w:rsidR="00CF768F" w:rsidRPr="00CF768F" w:rsidRDefault="00CF768F" w:rsidP="00CF76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985" w:type="dxa"/>
            <w:tcBorders>
              <w:top w:val="nil"/>
              <w:bottom w:val="single" w:sz="4" w:space="0" w:color="auto"/>
            </w:tcBorders>
            <w:vAlign w:val="center"/>
          </w:tcPr>
          <w:p w:rsidR="00CF768F" w:rsidRPr="00CF768F" w:rsidRDefault="00CF768F" w:rsidP="00CF768F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CF768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4. čtvrtletí</w:t>
            </w:r>
          </w:p>
        </w:tc>
        <w:tc>
          <w:tcPr>
            <w:tcW w:w="1505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:rsidR="00CF768F" w:rsidRPr="00CF768F" w:rsidRDefault="00CF768F" w:rsidP="00CF768F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CF768F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tcMar>
              <w:right w:w="567" w:type="dxa"/>
            </w:tcMar>
            <w:vAlign w:val="center"/>
          </w:tcPr>
          <w:p w:rsidR="00CF768F" w:rsidRPr="00CF768F" w:rsidRDefault="00CF768F" w:rsidP="00CF768F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CF768F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-30,7</w:t>
            </w:r>
          </w:p>
        </w:tc>
        <w:tc>
          <w:tcPr>
            <w:tcW w:w="1505" w:type="dxa"/>
            <w:tcBorders>
              <w:top w:val="nil"/>
              <w:left w:val="double" w:sz="4" w:space="0" w:color="auto"/>
              <w:bottom w:val="single" w:sz="4" w:space="0" w:color="auto"/>
              <w:right w:val="nil"/>
            </w:tcBorders>
            <w:vAlign w:val="center"/>
          </w:tcPr>
          <w:p w:rsidR="00CF768F" w:rsidRPr="00CF768F" w:rsidRDefault="00CF768F" w:rsidP="00CF768F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CF768F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</w:tcBorders>
            <w:tcMar>
              <w:right w:w="567" w:type="dxa"/>
            </w:tcMar>
            <w:vAlign w:val="center"/>
          </w:tcPr>
          <w:p w:rsidR="00CF768F" w:rsidRPr="00CF768F" w:rsidRDefault="00CF768F" w:rsidP="00CF768F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CF768F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-14,6</w:t>
            </w:r>
          </w:p>
        </w:tc>
      </w:tr>
      <w:tr w:rsidR="00CF768F" w:rsidRPr="00CF768F" w:rsidTr="00713FD1">
        <w:trPr>
          <w:cantSplit/>
          <w:trHeight w:val="284"/>
        </w:trPr>
        <w:tc>
          <w:tcPr>
            <w:tcW w:w="1134" w:type="dxa"/>
            <w:vMerge/>
            <w:vAlign w:val="center"/>
          </w:tcPr>
          <w:p w:rsidR="00CF768F" w:rsidRPr="00CF768F" w:rsidRDefault="00CF768F" w:rsidP="00CF76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F768F" w:rsidRPr="00CF768F" w:rsidRDefault="00CF768F" w:rsidP="00CF768F">
            <w:pPr>
              <w:spacing w:after="0" w:line="240" w:lineRule="auto"/>
              <w:rPr>
                <w:rFonts w:ascii="Arial" w:eastAsia="Times New Roman" w:hAnsi="Arial" w:cs="Times New Roman"/>
                <w:b/>
                <w:bCs/>
                <w:sz w:val="18"/>
                <w:szCs w:val="24"/>
                <w:lang w:eastAsia="cs-CZ"/>
              </w:rPr>
            </w:pPr>
            <w:r w:rsidRPr="00CF768F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Rok</w:t>
            </w:r>
          </w:p>
        </w:tc>
        <w:tc>
          <w:tcPr>
            <w:tcW w:w="1505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CF768F" w:rsidRPr="00CF768F" w:rsidRDefault="00CF768F" w:rsidP="00CF768F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sz w:val="28"/>
                <w:szCs w:val="28"/>
                <w:lang w:eastAsia="cs-CZ"/>
              </w:rPr>
            </w:pPr>
            <w:r w:rsidRPr="00CF768F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505" w:type="dxa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tcMar>
              <w:right w:w="567" w:type="dxa"/>
            </w:tcMar>
            <w:vAlign w:val="center"/>
          </w:tcPr>
          <w:p w:rsidR="00CF768F" w:rsidRPr="00CF768F" w:rsidRDefault="00CF768F" w:rsidP="00CF768F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/>
                <w:bCs/>
                <w:sz w:val="18"/>
                <w:szCs w:val="24"/>
                <w:lang w:eastAsia="cs-CZ"/>
              </w:rPr>
            </w:pPr>
            <w:r w:rsidRPr="00CF768F">
              <w:rPr>
                <w:rFonts w:ascii="Arial" w:eastAsia="Times New Roman" w:hAnsi="Arial" w:cs="Times New Roman"/>
                <w:b/>
                <w:bCs/>
                <w:sz w:val="18"/>
                <w:szCs w:val="24"/>
                <w:lang w:eastAsia="cs-CZ"/>
              </w:rPr>
              <w:t>-24,1</w:t>
            </w:r>
          </w:p>
        </w:tc>
        <w:tc>
          <w:tcPr>
            <w:tcW w:w="150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nil"/>
            </w:tcBorders>
            <w:vAlign w:val="center"/>
          </w:tcPr>
          <w:p w:rsidR="00CF768F" w:rsidRPr="00CF768F" w:rsidRDefault="00CF768F" w:rsidP="00CF768F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sz w:val="28"/>
                <w:szCs w:val="28"/>
                <w:lang w:eastAsia="cs-CZ"/>
              </w:rPr>
            </w:pPr>
            <w:r w:rsidRPr="00CF768F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506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567" w:type="dxa"/>
            </w:tcMar>
            <w:vAlign w:val="center"/>
          </w:tcPr>
          <w:p w:rsidR="00CF768F" w:rsidRPr="00CF768F" w:rsidRDefault="00CF768F" w:rsidP="00CF768F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/>
                <w:bCs/>
                <w:sz w:val="18"/>
                <w:szCs w:val="24"/>
                <w:lang w:eastAsia="cs-CZ"/>
              </w:rPr>
            </w:pPr>
            <w:r w:rsidRPr="00CF768F">
              <w:rPr>
                <w:rFonts w:ascii="Arial" w:eastAsia="Times New Roman" w:hAnsi="Arial" w:cs="Times New Roman"/>
                <w:b/>
                <w:bCs/>
                <w:sz w:val="18"/>
                <w:szCs w:val="24"/>
                <w:lang w:eastAsia="cs-CZ"/>
              </w:rPr>
              <w:t>-19,6</w:t>
            </w:r>
          </w:p>
        </w:tc>
      </w:tr>
      <w:tr w:rsidR="00CF768F" w:rsidRPr="00CF768F" w:rsidTr="00713FD1">
        <w:trPr>
          <w:cantSplit/>
          <w:trHeight w:val="284"/>
        </w:trPr>
        <w:tc>
          <w:tcPr>
            <w:tcW w:w="1134" w:type="dxa"/>
            <w:vMerge w:val="restart"/>
            <w:vAlign w:val="center"/>
          </w:tcPr>
          <w:p w:rsidR="00CF768F" w:rsidRPr="00CF768F" w:rsidRDefault="00CF768F" w:rsidP="00CF76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CF768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2015</w:t>
            </w:r>
          </w:p>
        </w:tc>
        <w:tc>
          <w:tcPr>
            <w:tcW w:w="1985" w:type="dxa"/>
            <w:tcBorders>
              <w:top w:val="single" w:sz="4" w:space="0" w:color="auto"/>
              <w:bottom w:val="nil"/>
            </w:tcBorders>
            <w:vAlign w:val="center"/>
          </w:tcPr>
          <w:p w:rsidR="00CF768F" w:rsidRPr="00CF768F" w:rsidRDefault="00CF768F" w:rsidP="00CF768F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CF768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1. čtvrtletí</w:t>
            </w:r>
          </w:p>
        </w:tc>
        <w:tc>
          <w:tcPr>
            <w:tcW w:w="1505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:rsidR="00CF768F" w:rsidRPr="00CF768F" w:rsidRDefault="00CF768F" w:rsidP="00CF768F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CF768F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505" w:type="dxa"/>
            <w:tcBorders>
              <w:top w:val="single" w:sz="4" w:space="0" w:color="auto"/>
              <w:left w:val="nil"/>
              <w:bottom w:val="nil"/>
              <w:right w:val="double" w:sz="4" w:space="0" w:color="auto"/>
            </w:tcBorders>
            <w:tcMar>
              <w:right w:w="567" w:type="dxa"/>
            </w:tcMar>
            <w:vAlign w:val="center"/>
          </w:tcPr>
          <w:p w:rsidR="00CF768F" w:rsidRPr="00CF768F" w:rsidRDefault="00CF768F" w:rsidP="00CF768F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CF768F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+16,7</w:t>
            </w:r>
          </w:p>
        </w:tc>
        <w:tc>
          <w:tcPr>
            <w:tcW w:w="1505" w:type="dxa"/>
            <w:tcBorders>
              <w:top w:val="single" w:sz="4" w:space="0" w:color="auto"/>
              <w:left w:val="double" w:sz="4" w:space="0" w:color="auto"/>
              <w:bottom w:val="nil"/>
              <w:right w:val="nil"/>
            </w:tcBorders>
            <w:vAlign w:val="center"/>
          </w:tcPr>
          <w:p w:rsidR="00CF768F" w:rsidRPr="00CF768F" w:rsidRDefault="00CF768F" w:rsidP="00CF768F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CF768F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506" w:type="dxa"/>
            <w:tcBorders>
              <w:top w:val="single" w:sz="4" w:space="0" w:color="auto"/>
              <w:left w:val="nil"/>
              <w:bottom w:val="nil"/>
            </w:tcBorders>
            <w:tcMar>
              <w:right w:w="567" w:type="dxa"/>
            </w:tcMar>
            <w:vAlign w:val="center"/>
          </w:tcPr>
          <w:p w:rsidR="00CF768F" w:rsidRPr="00CF768F" w:rsidRDefault="00CF768F" w:rsidP="00CF768F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CF768F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-3,0</w:t>
            </w:r>
          </w:p>
        </w:tc>
      </w:tr>
      <w:tr w:rsidR="00CF768F" w:rsidRPr="00CF768F" w:rsidTr="00713FD1">
        <w:trPr>
          <w:cantSplit/>
          <w:trHeight w:val="284"/>
        </w:trPr>
        <w:tc>
          <w:tcPr>
            <w:tcW w:w="1134" w:type="dxa"/>
            <w:vMerge/>
            <w:tcBorders>
              <w:bottom w:val="single" w:sz="4" w:space="0" w:color="auto"/>
            </w:tcBorders>
            <w:vAlign w:val="center"/>
          </w:tcPr>
          <w:p w:rsidR="00CF768F" w:rsidRPr="00CF768F" w:rsidRDefault="00CF768F" w:rsidP="00CF76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F768F" w:rsidRPr="00CF768F" w:rsidRDefault="00CF768F" w:rsidP="00CF768F">
            <w:pPr>
              <w:spacing w:after="0" w:line="240" w:lineRule="auto"/>
              <w:rPr>
                <w:rFonts w:ascii="Arial" w:eastAsia="Times New Roman" w:hAnsi="Arial" w:cs="Times New Roman"/>
                <w:b/>
                <w:bCs/>
                <w:sz w:val="18"/>
                <w:szCs w:val="24"/>
                <w:lang w:eastAsia="cs-CZ"/>
              </w:rPr>
            </w:pPr>
            <w:r w:rsidRPr="00CF768F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Leden až duben</w:t>
            </w:r>
          </w:p>
        </w:tc>
        <w:tc>
          <w:tcPr>
            <w:tcW w:w="1505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CF768F" w:rsidRPr="00CF768F" w:rsidRDefault="00CF768F" w:rsidP="00CF768F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sz w:val="28"/>
                <w:szCs w:val="28"/>
                <w:lang w:eastAsia="cs-CZ"/>
              </w:rPr>
            </w:pPr>
            <w:r w:rsidRPr="00CF768F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505" w:type="dxa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tcMar>
              <w:right w:w="567" w:type="dxa"/>
            </w:tcMar>
            <w:vAlign w:val="center"/>
          </w:tcPr>
          <w:p w:rsidR="00CF768F" w:rsidRPr="00CF768F" w:rsidRDefault="00CF768F" w:rsidP="00CF768F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CF768F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+27,0</w:t>
            </w:r>
          </w:p>
        </w:tc>
        <w:tc>
          <w:tcPr>
            <w:tcW w:w="150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nil"/>
            </w:tcBorders>
            <w:vAlign w:val="center"/>
          </w:tcPr>
          <w:p w:rsidR="00CF768F" w:rsidRPr="00CF768F" w:rsidRDefault="00CF768F" w:rsidP="00CF768F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CF768F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506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567" w:type="dxa"/>
            </w:tcMar>
            <w:vAlign w:val="center"/>
          </w:tcPr>
          <w:p w:rsidR="00CF768F" w:rsidRPr="00CF768F" w:rsidRDefault="00CF768F" w:rsidP="00CF768F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CF768F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+92,9</w:t>
            </w:r>
          </w:p>
        </w:tc>
      </w:tr>
    </w:tbl>
    <w:p w:rsidR="00CF768F" w:rsidRPr="00A84086" w:rsidRDefault="00CF768F" w:rsidP="00CF768F">
      <w:pPr>
        <w:spacing w:after="0" w:line="240" w:lineRule="auto"/>
        <w:jc w:val="both"/>
        <w:rPr>
          <w:rFonts w:ascii="Arial" w:eastAsia="Times New Roman" w:hAnsi="Arial" w:cs="Times New Roman"/>
          <w:bCs/>
          <w:sz w:val="20"/>
          <w:szCs w:val="24"/>
          <w:lang w:eastAsia="cs-CZ"/>
        </w:rPr>
      </w:pPr>
      <w:r w:rsidRPr="00A84086">
        <w:rPr>
          <w:rFonts w:ascii="Arial" w:eastAsia="Times New Roman" w:hAnsi="Arial" w:cs="Times New Roman"/>
          <w:bCs/>
          <w:sz w:val="16"/>
          <w:szCs w:val="16"/>
          <w:lang w:eastAsia="cs-CZ"/>
        </w:rPr>
        <w:t>Zdroj: Věstník veřejných zakázek, výpočty CEEC Research</w:t>
      </w:r>
    </w:p>
    <w:p w:rsidR="00CF768F" w:rsidRDefault="00CF768F" w:rsidP="00C63502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6C7464" w:rsidRDefault="00DC4B47" w:rsidP="00DC4B47">
      <w:pPr>
        <w:spacing w:after="0" w:line="360" w:lineRule="auto"/>
        <w:jc w:val="center"/>
        <w:rPr>
          <w:rFonts w:ascii="Arial" w:hAnsi="Arial" w:cs="Arial"/>
          <w:b/>
          <w:color w:val="000000" w:themeColor="text1"/>
        </w:rPr>
      </w:pPr>
      <w:r w:rsidRPr="00DC4B47">
        <w:rPr>
          <w:rFonts w:ascii="Arial" w:hAnsi="Arial" w:cs="Arial"/>
          <w:b/>
          <w:color w:val="000000" w:themeColor="text1"/>
        </w:rPr>
        <w:t xml:space="preserve">Více na </w:t>
      </w:r>
      <w:hyperlink r:id="rId7" w:history="1">
        <w:r w:rsidRPr="00FD72F5">
          <w:rPr>
            <w:rStyle w:val="Hypertextovodkaz"/>
            <w:rFonts w:ascii="Arial" w:hAnsi="Arial" w:cs="Arial"/>
            <w:b/>
          </w:rPr>
          <w:t>www.ceec.eu</w:t>
        </w:r>
      </w:hyperlink>
    </w:p>
    <w:p w:rsidR="00DC4B47" w:rsidRPr="00DC4B47" w:rsidRDefault="00DC4B47" w:rsidP="00DC4B47">
      <w:pPr>
        <w:spacing w:after="0" w:line="360" w:lineRule="auto"/>
        <w:jc w:val="center"/>
        <w:rPr>
          <w:rFonts w:ascii="Arial" w:hAnsi="Arial" w:cs="Arial"/>
          <w:b/>
          <w:color w:val="000000" w:themeColor="text1"/>
        </w:rPr>
      </w:pPr>
    </w:p>
    <w:p w:rsidR="006C7464" w:rsidRDefault="006C7464" w:rsidP="006A6C4A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C968F2" w:rsidRPr="002603EC" w:rsidRDefault="00C968F2" w:rsidP="00C45298">
      <w:pPr>
        <w:spacing w:after="0" w:line="240" w:lineRule="auto"/>
        <w:rPr>
          <w:rFonts w:ascii="Arial" w:hAnsi="Arial" w:cs="Arial"/>
          <w:b/>
          <w:color w:val="000000" w:themeColor="text1"/>
          <w:lang w:val="sk-SK"/>
        </w:rPr>
      </w:pPr>
      <w:r w:rsidRPr="002603EC">
        <w:rPr>
          <w:rFonts w:ascii="Arial" w:hAnsi="Arial" w:cs="Arial"/>
          <w:b/>
          <w:color w:val="000000" w:themeColor="text1"/>
          <w:lang w:val="sk-SK"/>
        </w:rPr>
        <w:t>Kontakt pro média:</w:t>
      </w:r>
    </w:p>
    <w:p w:rsidR="00C968F2" w:rsidRPr="002603EC" w:rsidRDefault="00C968F2" w:rsidP="00C45298">
      <w:pPr>
        <w:spacing w:after="0" w:line="240" w:lineRule="auto"/>
        <w:rPr>
          <w:rFonts w:ascii="Arial" w:hAnsi="Arial" w:cs="Arial"/>
          <w:color w:val="000000" w:themeColor="text1"/>
          <w:lang w:val="sk-SK"/>
        </w:rPr>
      </w:pPr>
      <w:r w:rsidRPr="002603EC">
        <w:rPr>
          <w:rFonts w:ascii="Arial" w:hAnsi="Arial" w:cs="Arial"/>
          <w:b/>
          <w:color w:val="000000" w:themeColor="text1"/>
          <w:lang w:val="sk-SK"/>
        </w:rPr>
        <w:br/>
      </w:r>
      <w:r w:rsidRPr="002603EC">
        <w:rPr>
          <w:rFonts w:ascii="Arial" w:hAnsi="Arial" w:cs="Arial"/>
          <w:color w:val="000000" w:themeColor="text1"/>
          <w:lang w:val="sk-SK"/>
        </w:rPr>
        <w:t xml:space="preserve">Alena </w:t>
      </w:r>
      <w:proofErr w:type="spellStart"/>
      <w:r w:rsidR="00B718C2" w:rsidRPr="002603EC">
        <w:rPr>
          <w:rFonts w:ascii="Arial" w:hAnsi="Arial" w:cs="Arial"/>
          <w:color w:val="000000" w:themeColor="text1"/>
          <w:lang w:val="sk-SK"/>
        </w:rPr>
        <w:t>Bradáčová</w:t>
      </w:r>
      <w:proofErr w:type="spellEnd"/>
      <w:r w:rsidRPr="002603EC">
        <w:rPr>
          <w:rFonts w:ascii="Arial" w:hAnsi="Arial" w:cs="Arial"/>
          <w:color w:val="000000" w:themeColor="text1"/>
          <w:lang w:val="sk-SK"/>
        </w:rPr>
        <w:br/>
        <w:t xml:space="preserve">PR &amp; </w:t>
      </w:r>
      <w:proofErr w:type="spellStart"/>
      <w:r w:rsidRPr="002603EC">
        <w:rPr>
          <w:rFonts w:ascii="Arial" w:hAnsi="Arial" w:cs="Arial"/>
          <w:color w:val="000000" w:themeColor="text1"/>
          <w:lang w:val="sk-SK"/>
        </w:rPr>
        <w:t>Communication</w:t>
      </w:r>
      <w:proofErr w:type="spellEnd"/>
      <w:r w:rsidRPr="002603EC">
        <w:rPr>
          <w:rFonts w:ascii="Arial" w:hAnsi="Arial" w:cs="Arial"/>
          <w:color w:val="000000" w:themeColor="text1"/>
          <w:lang w:val="sk-SK"/>
        </w:rPr>
        <w:t xml:space="preserve"> </w:t>
      </w:r>
      <w:proofErr w:type="spellStart"/>
      <w:r w:rsidRPr="002603EC">
        <w:rPr>
          <w:rFonts w:ascii="Arial" w:hAnsi="Arial" w:cs="Arial"/>
          <w:color w:val="000000" w:themeColor="text1"/>
          <w:lang w:val="sk-SK"/>
        </w:rPr>
        <w:t>Director</w:t>
      </w:r>
      <w:proofErr w:type="spellEnd"/>
      <w:r w:rsidRPr="002603EC">
        <w:rPr>
          <w:rFonts w:ascii="Arial" w:hAnsi="Arial" w:cs="Arial"/>
          <w:color w:val="000000" w:themeColor="text1"/>
          <w:lang w:val="sk-SK"/>
        </w:rPr>
        <w:br/>
      </w:r>
      <w:r w:rsidR="00B718C2" w:rsidRPr="002603EC">
        <w:rPr>
          <w:rFonts w:ascii="Arial" w:hAnsi="Arial" w:cs="Arial"/>
          <w:color w:val="000000" w:themeColor="text1"/>
          <w:lang w:val="sk-SK"/>
        </w:rPr>
        <w:t>CEEC Research</w:t>
      </w:r>
      <w:r w:rsidR="00B718C2" w:rsidRPr="002603EC">
        <w:rPr>
          <w:rFonts w:ascii="Arial" w:hAnsi="Arial" w:cs="Arial"/>
          <w:color w:val="000000" w:themeColor="text1"/>
          <w:lang w:val="sk-SK"/>
        </w:rPr>
        <w:br/>
        <w:t>E-mail: bradacova</w:t>
      </w:r>
      <w:r w:rsidRPr="002603EC">
        <w:rPr>
          <w:rFonts w:ascii="Arial" w:hAnsi="Arial" w:cs="Arial"/>
          <w:color w:val="000000" w:themeColor="text1"/>
          <w:lang w:val="sk-SK"/>
        </w:rPr>
        <w:t>@ceec.eu</w:t>
      </w:r>
      <w:r w:rsidRPr="002603EC">
        <w:rPr>
          <w:rFonts w:ascii="Arial" w:hAnsi="Arial" w:cs="Arial"/>
          <w:color w:val="000000" w:themeColor="text1"/>
          <w:lang w:val="sk-SK"/>
        </w:rPr>
        <w:br/>
        <w:t>Tel.: +420 777 299</w:t>
      </w:r>
      <w:r w:rsidR="005F0F7B" w:rsidRPr="002603EC">
        <w:rPr>
          <w:rFonts w:ascii="Arial" w:hAnsi="Arial" w:cs="Arial"/>
          <w:color w:val="000000" w:themeColor="text1"/>
          <w:lang w:val="sk-SK"/>
        </w:rPr>
        <w:t> </w:t>
      </w:r>
      <w:r w:rsidRPr="002603EC">
        <w:rPr>
          <w:rFonts w:ascii="Arial" w:hAnsi="Arial" w:cs="Arial"/>
          <w:color w:val="000000" w:themeColor="text1"/>
          <w:lang w:val="sk-SK"/>
        </w:rPr>
        <w:t>790</w:t>
      </w:r>
    </w:p>
    <w:p w:rsidR="007C55A2" w:rsidRPr="002603EC" w:rsidRDefault="007C55A2" w:rsidP="00D6684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:rsidR="005F0F7B" w:rsidRPr="002603EC" w:rsidRDefault="005F0F7B" w:rsidP="00D6684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:rsidR="005F0F7B" w:rsidRPr="002603EC" w:rsidRDefault="005F0F7B" w:rsidP="005F0F7B">
      <w:pPr>
        <w:spacing w:after="0" w:line="240" w:lineRule="auto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  <w:r w:rsidRPr="002603EC">
        <w:rPr>
          <w:rFonts w:ascii="Arial" w:hAnsi="Arial" w:cs="Arial"/>
          <w:b/>
          <w:i/>
          <w:color w:val="000000" w:themeColor="text1"/>
          <w:sz w:val="16"/>
          <w:szCs w:val="16"/>
        </w:rPr>
        <w:t>CEEC Research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je největší analytickou společností specializující se na stavebnictví, projektový a developerský sektor, strojírenství a oblast veřejných zakázek v zemích střední a východní Evropy. Byla založena v roce 2005 a od té doby bezplatně poskytuje studie o aktuálním stavu a očekávaném vývoji v těchto segmentech v deseti zemích střední a východní Evropy. Všechny studie a analýzy CEEC Research jsou založen</w:t>
      </w:r>
      <w:r w:rsidR="007977DF">
        <w:rPr>
          <w:rFonts w:ascii="Arial" w:hAnsi="Arial" w:cs="Arial"/>
          <w:i/>
          <w:color w:val="000000" w:themeColor="text1"/>
          <w:sz w:val="16"/>
          <w:szCs w:val="16"/>
        </w:rPr>
        <w:t>é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výhradně na údajích získaných z pravidelných strukturovaných interview s klíčovými představiteli vybraných největších, středních i malých společností. </w:t>
      </w:r>
    </w:p>
    <w:p w:rsidR="005F0F7B" w:rsidRPr="002603EC" w:rsidRDefault="005F0F7B" w:rsidP="005F0F7B">
      <w:pPr>
        <w:spacing w:after="0" w:line="240" w:lineRule="auto"/>
        <w:jc w:val="both"/>
        <w:rPr>
          <w:rFonts w:ascii="Arial" w:hAnsi="Arial" w:cs="Arial"/>
          <w:b/>
          <w:i/>
          <w:color w:val="000000" w:themeColor="text1"/>
          <w:sz w:val="16"/>
          <w:szCs w:val="16"/>
        </w:rPr>
      </w:pPr>
    </w:p>
    <w:p w:rsidR="005F0F7B" w:rsidRPr="002603EC" w:rsidRDefault="005F0F7B" w:rsidP="005F0F7B">
      <w:pPr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  <w:r w:rsidRPr="002603EC">
        <w:rPr>
          <w:rFonts w:ascii="Arial" w:hAnsi="Arial" w:cs="Arial"/>
          <w:b/>
          <w:i/>
          <w:color w:val="000000" w:themeColor="text1"/>
          <w:sz w:val="16"/>
          <w:szCs w:val="16"/>
        </w:rPr>
        <w:t xml:space="preserve">CEEC Research 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>navíc k pravidelným a bezplatným analýzám stavebního, projektového, d</w:t>
      </w:r>
      <w:r w:rsidR="00A906AF">
        <w:rPr>
          <w:rFonts w:ascii="Arial" w:hAnsi="Arial" w:cs="Arial"/>
          <w:i/>
          <w:color w:val="000000" w:themeColor="text1"/>
          <w:sz w:val="16"/>
          <w:szCs w:val="16"/>
        </w:rPr>
        <w:t>eveloperského, strojírenského a 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veřejného sektoru také organizuje </w:t>
      </w:r>
      <w:r w:rsidR="00A87DB5"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specializovaně 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zaměřené konference, kterých se účastní generální ředitelé 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lastRenderedPageBreak/>
        <w:t>nejvýznamnějš</w:t>
      </w:r>
      <w:r w:rsidR="006A23EE" w:rsidRPr="002603EC">
        <w:rPr>
          <w:rFonts w:ascii="Arial" w:hAnsi="Arial" w:cs="Arial"/>
          <w:i/>
          <w:color w:val="000000" w:themeColor="text1"/>
          <w:sz w:val="16"/>
          <w:szCs w:val="16"/>
        </w:rPr>
        <w:t>ích stavebních, developerských,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projektových a strojírenských společností, prezidenti svazů,</w:t>
      </w:r>
      <w:r w:rsidR="00F546D9"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cechů a komor z těchto oblastí</w:t>
      </w:r>
      <w:r w:rsidR="00A87DB5" w:rsidRPr="002603EC">
        <w:rPr>
          <w:rFonts w:ascii="Arial" w:hAnsi="Arial" w:cs="Arial"/>
          <w:i/>
          <w:color w:val="000000" w:themeColor="text1"/>
          <w:sz w:val="16"/>
          <w:szCs w:val="16"/>
        </w:rPr>
        <w:t>,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aby diskutovali s nejvyššími představiteli státu vybraných zemí. </w:t>
      </w:r>
    </w:p>
    <w:p w:rsidR="005F0F7B" w:rsidRPr="002603EC" w:rsidRDefault="005F0F7B" w:rsidP="00D66843">
      <w:pPr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</w:p>
    <w:sectPr w:rsidR="005F0F7B" w:rsidRPr="002603EC" w:rsidSect="00CB19AF">
      <w:headerReference w:type="default" r:id="rId8"/>
      <w:type w:val="continuous"/>
      <w:pgSz w:w="11906" w:h="16838"/>
      <w:pgMar w:top="1417" w:right="1417" w:bottom="1417" w:left="1417" w:header="708" w:footer="708" w:gutter="0"/>
      <w:cols w:space="709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61FE" w:rsidRDefault="00B461FE" w:rsidP="00A76E50">
      <w:pPr>
        <w:spacing w:after="0" w:line="240" w:lineRule="auto"/>
      </w:pPr>
      <w:r>
        <w:separator/>
      </w:r>
    </w:p>
  </w:endnote>
  <w:endnote w:type="continuationSeparator" w:id="0">
    <w:p w:rsidR="00B461FE" w:rsidRDefault="00B461FE" w:rsidP="00A76E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yanmar Text">
    <w:altName w:val="Times New Roman"/>
    <w:charset w:val="00"/>
    <w:family w:val="swiss"/>
    <w:pitch w:val="variable"/>
    <w:sig w:usb0="00000003" w:usb1="00000000" w:usb2="00000400" w:usb3="00000000" w:csb0="00000001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61FE" w:rsidRDefault="00B461FE" w:rsidP="00A76E50">
      <w:pPr>
        <w:spacing w:after="0" w:line="240" w:lineRule="auto"/>
      </w:pPr>
      <w:r>
        <w:separator/>
      </w:r>
    </w:p>
  </w:footnote>
  <w:footnote w:type="continuationSeparator" w:id="0">
    <w:p w:rsidR="00B461FE" w:rsidRDefault="00B461FE" w:rsidP="00A76E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7B77" w:rsidRDefault="00E47B77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noProof/>
        <w:color w:val="808080" w:themeColor="background1" w:themeShade="80"/>
        <w:sz w:val="60"/>
        <w:szCs w:val="60"/>
        <w:lang w:eastAsia="cs-CZ"/>
      </w:rPr>
    </w:pPr>
    <w:r>
      <w:rPr>
        <w:b/>
        <w:noProof/>
        <w:color w:val="808080" w:themeColor="background1" w:themeShade="80"/>
        <w:sz w:val="60"/>
        <w:szCs w:val="60"/>
        <w:lang w:eastAsia="cs-CZ"/>
      </w:rPr>
      <w:t xml:space="preserve">                                                       </w:t>
    </w: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758FCA44" wp14:editId="284F8259">
          <wp:simplePos x="0" y="0"/>
          <wp:positionH relativeFrom="column">
            <wp:posOffset>-238760</wp:posOffset>
          </wp:positionH>
          <wp:positionV relativeFrom="paragraph">
            <wp:posOffset>-199390</wp:posOffset>
          </wp:positionV>
          <wp:extent cx="1285240" cy="758825"/>
          <wp:effectExtent l="0" t="0" r="0" b="3175"/>
          <wp:wrapSquare wrapText="bothSides"/>
          <wp:docPr id="19" name="obrázek 6" descr="Popis: Popis: Popis: Popis: Popis: Popis: Popis: logo CEEC Resear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6" descr="Popis: Popis: Popis: Popis: Popis: Popis: Popis: logo CEEC Resear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240" cy="758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E47B77" w:rsidRDefault="00E47B77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noProof/>
        <w:color w:val="808080" w:themeColor="background1" w:themeShade="80"/>
        <w:sz w:val="60"/>
        <w:szCs w:val="60"/>
        <w:lang w:eastAsia="cs-CZ"/>
      </w:rPr>
    </w:pPr>
    <w:r w:rsidRPr="00484806">
      <w:rPr>
        <w:b/>
        <w:noProof/>
        <w:color w:val="808080" w:themeColor="background1" w:themeShade="80"/>
        <w:sz w:val="60"/>
        <w:szCs w:val="60"/>
        <w:lang w:eastAsia="cs-CZ"/>
      </w:rPr>
      <w:t>Tisková zpráva</w:t>
    </w:r>
  </w:p>
  <w:p w:rsidR="00AC2D6D" w:rsidRPr="00AC2D6D" w:rsidRDefault="00AC2D6D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color w:val="808080" w:themeColor="background1" w:themeShade="80"/>
        <w:sz w:val="18"/>
        <w:szCs w:val="18"/>
      </w:rPr>
    </w:pPr>
  </w:p>
  <w:p w:rsidR="00E47B77" w:rsidRDefault="00E47B77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trackRevision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55A2"/>
    <w:rsid w:val="00001257"/>
    <w:rsid w:val="00002781"/>
    <w:rsid w:val="00003552"/>
    <w:rsid w:val="000039CF"/>
    <w:rsid w:val="00003FE0"/>
    <w:rsid w:val="000110D5"/>
    <w:rsid w:val="00012CB9"/>
    <w:rsid w:val="00016986"/>
    <w:rsid w:val="00027656"/>
    <w:rsid w:val="00030F20"/>
    <w:rsid w:val="0003155E"/>
    <w:rsid w:val="00034237"/>
    <w:rsid w:val="00040AF2"/>
    <w:rsid w:val="0004318D"/>
    <w:rsid w:val="000431B3"/>
    <w:rsid w:val="00052956"/>
    <w:rsid w:val="00053DE6"/>
    <w:rsid w:val="00055D25"/>
    <w:rsid w:val="00055FC7"/>
    <w:rsid w:val="000601B9"/>
    <w:rsid w:val="000633FF"/>
    <w:rsid w:val="00064569"/>
    <w:rsid w:val="0006538F"/>
    <w:rsid w:val="00067C5F"/>
    <w:rsid w:val="00072FDF"/>
    <w:rsid w:val="00072FE8"/>
    <w:rsid w:val="00073FC5"/>
    <w:rsid w:val="00076EE1"/>
    <w:rsid w:val="000803AD"/>
    <w:rsid w:val="00080FA0"/>
    <w:rsid w:val="000853CA"/>
    <w:rsid w:val="00092923"/>
    <w:rsid w:val="00093D49"/>
    <w:rsid w:val="000957C6"/>
    <w:rsid w:val="000A03AB"/>
    <w:rsid w:val="000A0C73"/>
    <w:rsid w:val="000A2E0E"/>
    <w:rsid w:val="000A593D"/>
    <w:rsid w:val="000B0EFB"/>
    <w:rsid w:val="000B2314"/>
    <w:rsid w:val="000B3A8B"/>
    <w:rsid w:val="000C0093"/>
    <w:rsid w:val="000C079A"/>
    <w:rsid w:val="000C2893"/>
    <w:rsid w:val="000C2B3C"/>
    <w:rsid w:val="000C4278"/>
    <w:rsid w:val="000C5911"/>
    <w:rsid w:val="000D031A"/>
    <w:rsid w:val="000D3395"/>
    <w:rsid w:val="000D45D3"/>
    <w:rsid w:val="000D5EC9"/>
    <w:rsid w:val="000E0FE0"/>
    <w:rsid w:val="000E13CB"/>
    <w:rsid w:val="000E18ED"/>
    <w:rsid w:val="000E620E"/>
    <w:rsid w:val="000E71B9"/>
    <w:rsid w:val="000F4820"/>
    <w:rsid w:val="000F58C9"/>
    <w:rsid w:val="000F5D71"/>
    <w:rsid w:val="001037D9"/>
    <w:rsid w:val="00104FFE"/>
    <w:rsid w:val="00106389"/>
    <w:rsid w:val="00110295"/>
    <w:rsid w:val="001111BA"/>
    <w:rsid w:val="001131DD"/>
    <w:rsid w:val="00116FFB"/>
    <w:rsid w:val="00121151"/>
    <w:rsid w:val="00125253"/>
    <w:rsid w:val="0012555E"/>
    <w:rsid w:val="00127951"/>
    <w:rsid w:val="00130900"/>
    <w:rsid w:val="001346AF"/>
    <w:rsid w:val="001350E0"/>
    <w:rsid w:val="00140F9C"/>
    <w:rsid w:val="00143695"/>
    <w:rsid w:val="001536EE"/>
    <w:rsid w:val="001566B9"/>
    <w:rsid w:val="00166DEA"/>
    <w:rsid w:val="00172C66"/>
    <w:rsid w:val="00180560"/>
    <w:rsid w:val="001854A9"/>
    <w:rsid w:val="0018743F"/>
    <w:rsid w:val="00196346"/>
    <w:rsid w:val="0019645D"/>
    <w:rsid w:val="001A281A"/>
    <w:rsid w:val="001A6A6E"/>
    <w:rsid w:val="001B76D5"/>
    <w:rsid w:val="001C453E"/>
    <w:rsid w:val="001C6F33"/>
    <w:rsid w:val="001C7E05"/>
    <w:rsid w:val="001D014A"/>
    <w:rsid w:val="001D0C46"/>
    <w:rsid w:val="001D23E3"/>
    <w:rsid w:val="001D36EB"/>
    <w:rsid w:val="001D5798"/>
    <w:rsid w:val="001D649E"/>
    <w:rsid w:val="001D7988"/>
    <w:rsid w:val="001D7AEC"/>
    <w:rsid w:val="001E446E"/>
    <w:rsid w:val="001E715E"/>
    <w:rsid w:val="001F128B"/>
    <w:rsid w:val="001F22BC"/>
    <w:rsid w:val="00200D14"/>
    <w:rsid w:val="002021AC"/>
    <w:rsid w:val="00211533"/>
    <w:rsid w:val="00212725"/>
    <w:rsid w:val="00223578"/>
    <w:rsid w:val="002262A5"/>
    <w:rsid w:val="0023367D"/>
    <w:rsid w:val="00233D6F"/>
    <w:rsid w:val="002353AC"/>
    <w:rsid w:val="00237274"/>
    <w:rsid w:val="002560EF"/>
    <w:rsid w:val="00257FF1"/>
    <w:rsid w:val="002603EC"/>
    <w:rsid w:val="00260DD4"/>
    <w:rsid w:val="00262FCA"/>
    <w:rsid w:val="00263565"/>
    <w:rsid w:val="0026597A"/>
    <w:rsid w:val="002678EB"/>
    <w:rsid w:val="00271171"/>
    <w:rsid w:val="00275AD4"/>
    <w:rsid w:val="002818F3"/>
    <w:rsid w:val="00286E6D"/>
    <w:rsid w:val="00286ECC"/>
    <w:rsid w:val="0029141A"/>
    <w:rsid w:val="0029157C"/>
    <w:rsid w:val="00291BA0"/>
    <w:rsid w:val="00293553"/>
    <w:rsid w:val="00294841"/>
    <w:rsid w:val="002A05C0"/>
    <w:rsid w:val="002A0D8C"/>
    <w:rsid w:val="002A2466"/>
    <w:rsid w:val="002A6CC8"/>
    <w:rsid w:val="002A7D2C"/>
    <w:rsid w:val="002B1925"/>
    <w:rsid w:val="002B69EB"/>
    <w:rsid w:val="002B7003"/>
    <w:rsid w:val="002C2C67"/>
    <w:rsid w:val="002C376E"/>
    <w:rsid w:val="002C5F1D"/>
    <w:rsid w:val="002C6870"/>
    <w:rsid w:val="002D00D5"/>
    <w:rsid w:val="002D1D8C"/>
    <w:rsid w:val="002E1B68"/>
    <w:rsid w:val="002E1CCD"/>
    <w:rsid w:val="002F3CFF"/>
    <w:rsid w:val="002F4916"/>
    <w:rsid w:val="002F5151"/>
    <w:rsid w:val="002F5850"/>
    <w:rsid w:val="002F7E3F"/>
    <w:rsid w:val="003008A7"/>
    <w:rsid w:val="003014FD"/>
    <w:rsid w:val="003016AD"/>
    <w:rsid w:val="00311898"/>
    <w:rsid w:val="00311BF9"/>
    <w:rsid w:val="00315AA1"/>
    <w:rsid w:val="00317CBD"/>
    <w:rsid w:val="00320FF8"/>
    <w:rsid w:val="00324918"/>
    <w:rsid w:val="00325137"/>
    <w:rsid w:val="003267D4"/>
    <w:rsid w:val="00326977"/>
    <w:rsid w:val="00327098"/>
    <w:rsid w:val="00332EC1"/>
    <w:rsid w:val="00336791"/>
    <w:rsid w:val="003409B3"/>
    <w:rsid w:val="00341337"/>
    <w:rsid w:val="00343FE1"/>
    <w:rsid w:val="00345FAA"/>
    <w:rsid w:val="0034764A"/>
    <w:rsid w:val="00350B86"/>
    <w:rsid w:val="00355142"/>
    <w:rsid w:val="003567AD"/>
    <w:rsid w:val="00357CBB"/>
    <w:rsid w:val="00367B43"/>
    <w:rsid w:val="00370B08"/>
    <w:rsid w:val="003747F5"/>
    <w:rsid w:val="00376974"/>
    <w:rsid w:val="00376E15"/>
    <w:rsid w:val="00383358"/>
    <w:rsid w:val="00387314"/>
    <w:rsid w:val="00387937"/>
    <w:rsid w:val="00390E15"/>
    <w:rsid w:val="003953D3"/>
    <w:rsid w:val="003964E1"/>
    <w:rsid w:val="003A14B6"/>
    <w:rsid w:val="003A181B"/>
    <w:rsid w:val="003A3434"/>
    <w:rsid w:val="003A4732"/>
    <w:rsid w:val="003A4FD1"/>
    <w:rsid w:val="003A6F3A"/>
    <w:rsid w:val="003A7A48"/>
    <w:rsid w:val="003A7E88"/>
    <w:rsid w:val="003B2226"/>
    <w:rsid w:val="003B24B6"/>
    <w:rsid w:val="003B2E18"/>
    <w:rsid w:val="003C3BC4"/>
    <w:rsid w:val="003D48F8"/>
    <w:rsid w:val="003E3DE2"/>
    <w:rsid w:val="003E3F4A"/>
    <w:rsid w:val="003E40D1"/>
    <w:rsid w:val="003E77A1"/>
    <w:rsid w:val="003F1964"/>
    <w:rsid w:val="00402D9F"/>
    <w:rsid w:val="00426A92"/>
    <w:rsid w:val="004316C7"/>
    <w:rsid w:val="00433364"/>
    <w:rsid w:val="0043543D"/>
    <w:rsid w:val="004370C0"/>
    <w:rsid w:val="00437237"/>
    <w:rsid w:val="00437D6C"/>
    <w:rsid w:val="00441736"/>
    <w:rsid w:val="0044390B"/>
    <w:rsid w:val="0044519F"/>
    <w:rsid w:val="004462F7"/>
    <w:rsid w:val="00446BD0"/>
    <w:rsid w:val="004503E6"/>
    <w:rsid w:val="00454A85"/>
    <w:rsid w:val="00460C42"/>
    <w:rsid w:val="0046114D"/>
    <w:rsid w:val="00461766"/>
    <w:rsid w:val="00466AB9"/>
    <w:rsid w:val="00471F4D"/>
    <w:rsid w:val="00475411"/>
    <w:rsid w:val="00476370"/>
    <w:rsid w:val="00476F5C"/>
    <w:rsid w:val="00477E8F"/>
    <w:rsid w:val="00481DB4"/>
    <w:rsid w:val="004861FD"/>
    <w:rsid w:val="00490688"/>
    <w:rsid w:val="004907FF"/>
    <w:rsid w:val="00492AE9"/>
    <w:rsid w:val="00493E4C"/>
    <w:rsid w:val="00497993"/>
    <w:rsid w:val="004A1A95"/>
    <w:rsid w:val="004A5258"/>
    <w:rsid w:val="004A559E"/>
    <w:rsid w:val="004A714A"/>
    <w:rsid w:val="004B21C6"/>
    <w:rsid w:val="004B2FEB"/>
    <w:rsid w:val="004C14E3"/>
    <w:rsid w:val="004C778E"/>
    <w:rsid w:val="004D3CE0"/>
    <w:rsid w:val="004D75BF"/>
    <w:rsid w:val="004E474E"/>
    <w:rsid w:val="004F1468"/>
    <w:rsid w:val="004F4146"/>
    <w:rsid w:val="004F5B25"/>
    <w:rsid w:val="004F5B5A"/>
    <w:rsid w:val="00504492"/>
    <w:rsid w:val="005073A6"/>
    <w:rsid w:val="0051183B"/>
    <w:rsid w:val="00511B85"/>
    <w:rsid w:val="005171E3"/>
    <w:rsid w:val="00517883"/>
    <w:rsid w:val="0052175E"/>
    <w:rsid w:val="00524ADB"/>
    <w:rsid w:val="00530B9B"/>
    <w:rsid w:val="00530C65"/>
    <w:rsid w:val="00532BE3"/>
    <w:rsid w:val="00540E43"/>
    <w:rsid w:val="00542D5D"/>
    <w:rsid w:val="00545502"/>
    <w:rsid w:val="0054668A"/>
    <w:rsid w:val="0054748B"/>
    <w:rsid w:val="0055065F"/>
    <w:rsid w:val="00551A6D"/>
    <w:rsid w:val="005556C1"/>
    <w:rsid w:val="00555D33"/>
    <w:rsid w:val="00565634"/>
    <w:rsid w:val="005677BC"/>
    <w:rsid w:val="0057268D"/>
    <w:rsid w:val="005733C7"/>
    <w:rsid w:val="005826BC"/>
    <w:rsid w:val="0058771B"/>
    <w:rsid w:val="005912D0"/>
    <w:rsid w:val="005912F8"/>
    <w:rsid w:val="005A262C"/>
    <w:rsid w:val="005A4048"/>
    <w:rsid w:val="005A498E"/>
    <w:rsid w:val="005B03B8"/>
    <w:rsid w:val="005B4980"/>
    <w:rsid w:val="005C03A3"/>
    <w:rsid w:val="005C0FA8"/>
    <w:rsid w:val="005C7342"/>
    <w:rsid w:val="005D15C7"/>
    <w:rsid w:val="005D32BF"/>
    <w:rsid w:val="005D3E08"/>
    <w:rsid w:val="005D6391"/>
    <w:rsid w:val="005E2954"/>
    <w:rsid w:val="005E295F"/>
    <w:rsid w:val="005E30D6"/>
    <w:rsid w:val="005E76DC"/>
    <w:rsid w:val="005E7D50"/>
    <w:rsid w:val="005F0F7B"/>
    <w:rsid w:val="005F436D"/>
    <w:rsid w:val="005F49DC"/>
    <w:rsid w:val="00602EB8"/>
    <w:rsid w:val="0060359F"/>
    <w:rsid w:val="00605FD4"/>
    <w:rsid w:val="006134B4"/>
    <w:rsid w:val="006154D2"/>
    <w:rsid w:val="00625010"/>
    <w:rsid w:val="00627790"/>
    <w:rsid w:val="00631B69"/>
    <w:rsid w:val="00635232"/>
    <w:rsid w:val="0063643D"/>
    <w:rsid w:val="0063751A"/>
    <w:rsid w:val="00637A4B"/>
    <w:rsid w:val="006438A3"/>
    <w:rsid w:val="0065684B"/>
    <w:rsid w:val="00656C38"/>
    <w:rsid w:val="0066111C"/>
    <w:rsid w:val="00661312"/>
    <w:rsid w:val="00665412"/>
    <w:rsid w:val="00665B5E"/>
    <w:rsid w:val="006702E4"/>
    <w:rsid w:val="006718DD"/>
    <w:rsid w:val="00672B58"/>
    <w:rsid w:val="00672B96"/>
    <w:rsid w:val="00672BB7"/>
    <w:rsid w:val="00673835"/>
    <w:rsid w:val="006744DE"/>
    <w:rsid w:val="00677213"/>
    <w:rsid w:val="006801BB"/>
    <w:rsid w:val="00684B67"/>
    <w:rsid w:val="00693299"/>
    <w:rsid w:val="00693E78"/>
    <w:rsid w:val="006953F2"/>
    <w:rsid w:val="00696322"/>
    <w:rsid w:val="00697385"/>
    <w:rsid w:val="006A13CF"/>
    <w:rsid w:val="006A231E"/>
    <w:rsid w:val="006A23EE"/>
    <w:rsid w:val="006A528C"/>
    <w:rsid w:val="006A594B"/>
    <w:rsid w:val="006A6C4A"/>
    <w:rsid w:val="006B193C"/>
    <w:rsid w:val="006B1D88"/>
    <w:rsid w:val="006B5BFA"/>
    <w:rsid w:val="006C5597"/>
    <w:rsid w:val="006C735B"/>
    <w:rsid w:val="006C7464"/>
    <w:rsid w:val="006E20F2"/>
    <w:rsid w:val="006E4E8A"/>
    <w:rsid w:val="006F0F71"/>
    <w:rsid w:val="006F29EF"/>
    <w:rsid w:val="006F2C05"/>
    <w:rsid w:val="006F5538"/>
    <w:rsid w:val="00702F17"/>
    <w:rsid w:val="00703F7F"/>
    <w:rsid w:val="007076E0"/>
    <w:rsid w:val="00710EF9"/>
    <w:rsid w:val="007114F4"/>
    <w:rsid w:val="0071470C"/>
    <w:rsid w:val="007151ED"/>
    <w:rsid w:val="00716B57"/>
    <w:rsid w:val="00716F81"/>
    <w:rsid w:val="00721DB4"/>
    <w:rsid w:val="0072523F"/>
    <w:rsid w:val="00725A3E"/>
    <w:rsid w:val="007262F3"/>
    <w:rsid w:val="00730372"/>
    <w:rsid w:val="00733E20"/>
    <w:rsid w:val="00737158"/>
    <w:rsid w:val="00737E6F"/>
    <w:rsid w:val="0074021E"/>
    <w:rsid w:val="00741C6E"/>
    <w:rsid w:val="007430B7"/>
    <w:rsid w:val="00744A97"/>
    <w:rsid w:val="00752F10"/>
    <w:rsid w:val="007547AB"/>
    <w:rsid w:val="00756A20"/>
    <w:rsid w:val="00757E18"/>
    <w:rsid w:val="007603AB"/>
    <w:rsid w:val="00760BCE"/>
    <w:rsid w:val="00763269"/>
    <w:rsid w:val="00766B88"/>
    <w:rsid w:val="0077594B"/>
    <w:rsid w:val="0077612F"/>
    <w:rsid w:val="007765E8"/>
    <w:rsid w:val="00777A89"/>
    <w:rsid w:val="00782680"/>
    <w:rsid w:val="00785B22"/>
    <w:rsid w:val="00793431"/>
    <w:rsid w:val="00797377"/>
    <w:rsid w:val="007977DF"/>
    <w:rsid w:val="007A4BC1"/>
    <w:rsid w:val="007B2BC0"/>
    <w:rsid w:val="007B4F0F"/>
    <w:rsid w:val="007B67E8"/>
    <w:rsid w:val="007C55A2"/>
    <w:rsid w:val="007C7D83"/>
    <w:rsid w:val="007D01D4"/>
    <w:rsid w:val="007D51D0"/>
    <w:rsid w:val="007D73AB"/>
    <w:rsid w:val="007E2491"/>
    <w:rsid w:val="007E5D4A"/>
    <w:rsid w:val="007F0ADF"/>
    <w:rsid w:val="007F4F3A"/>
    <w:rsid w:val="007F5413"/>
    <w:rsid w:val="007F7BD4"/>
    <w:rsid w:val="00803C16"/>
    <w:rsid w:val="00806718"/>
    <w:rsid w:val="00812D97"/>
    <w:rsid w:val="008220B0"/>
    <w:rsid w:val="00825E03"/>
    <w:rsid w:val="00832635"/>
    <w:rsid w:val="0084004E"/>
    <w:rsid w:val="00841EC8"/>
    <w:rsid w:val="008428C9"/>
    <w:rsid w:val="00855382"/>
    <w:rsid w:val="00862954"/>
    <w:rsid w:val="00871E1E"/>
    <w:rsid w:val="0087210A"/>
    <w:rsid w:val="00872C5B"/>
    <w:rsid w:val="00873C3E"/>
    <w:rsid w:val="00875846"/>
    <w:rsid w:val="00875B48"/>
    <w:rsid w:val="0088009B"/>
    <w:rsid w:val="00882E09"/>
    <w:rsid w:val="0088365C"/>
    <w:rsid w:val="008878D0"/>
    <w:rsid w:val="00890743"/>
    <w:rsid w:val="00892803"/>
    <w:rsid w:val="008A1918"/>
    <w:rsid w:val="008A2D79"/>
    <w:rsid w:val="008A2FB6"/>
    <w:rsid w:val="008B1388"/>
    <w:rsid w:val="008B2FE8"/>
    <w:rsid w:val="008B43D8"/>
    <w:rsid w:val="008B50B9"/>
    <w:rsid w:val="008B7DCF"/>
    <w:rsid w:val="008C50DE"/>
    <w:rsid w:val="008C716E"/>
    <w:rsid w:val="008C72A0"/>
    <w:rsid w:val="008D414B"/>
    <w:rsid w:val="008E4090"/>
    <w:rsid w:val="008E51E4"/>
    <w:rsid w:val="008E70F3"/>
    <w:rsid w:val="008F20F7"/>
    <w:rsid w:val="008F4D01"/>
    <w:rsid w:val="00902A00"/>
    <w:rsid w:val="0090609F"/>
    <w:rsid w:val="00906B01"/>
    <w:rsid w:val="00913F9F"/>
    <w:rsid w:val="00914FF6"/>
    <w:rsid w:val="00916FD0"/>
    <w:rsid w:val="00917465"/>
    <w:rsid w:val="00927E6C"/>
    <w:rsid w:val="00930100"/>
    <w:rsid w:val="00930BEC"/>
    <w:rsid w:val="00930CA6"/>
    <w:rsid w:val="00931E7E"/>
    <w:rsid w:val="00932481"/>
    <w:rsid w:val="009329E4"/>
    <w:rsid w:val="009356AB"/>
    <w:rsid w:val="00935BE4"/>
    <w:rsid w:val="00941616"/>
    <w:rsid w:val="00942613"/>
    <w:rsid w:val="00942706"/>
    <w:rsid w:val="009443F0"/>
    <w:rsid w:val="009452AD"/>
    <w:rsid w:val="0095004C"/>
    <w:rsid w:val="009522FC"/>
    <w:rsid w:val="00955701"/>
    <w:rsid w:val="009564A3"/>
    <w:rsid w:val="00957D0D"/>
    <w:rsid w:val="00962CD2"/>
    <w:rsid w:val="00965531"/>
    <w:rsid w:val="00971EE1"/>
    <w:rsid w:val="0097615D"/>
    <w:rsid w:val="00976DBB"/>
    <w:rsid w:val="009818B0"/>
    <w:rsid w:val="00981E90"/>
    <w:rsid w:val="00984818"/>
    <w:rsid w:val="00984994"/>
    <w:rsid w:val="00985694"/>
    <w:rsid w:val="00985F9A"/>
    <w:rsid w:val="00987D32"/>
    <w:rsid w:val="00990B27"/>
    <w:rsid w:val="00992BC3"/>
    <w:rsid w:val="009A1D73"/>
    <w:rsid w:val="009A38B8"/>
    <w:rsid w:val="009A58B4"/>
    <w:rsid w:val="009A6632"/>
    <w:rsid w:val="009B2A3E"/>
    <w:rsid w:val="009B3A7C"/>
    <w:rsid w:val="009B41D2"/>
    <w:rsid w:val="009B642D"/>
    <w:rsid w:val="009C099A"/>
    <w:rsid w:val="009C246B"/>
    <w:rsid w:val="009C265B"/>
    <w:rsid w:val="009C590D"/>
    <w:rsid w:val="009C7C7E"/>
    <w:rsid w:val="009D01E8"/>
    <w:rsid w:val="009D117F"/>
    <w:rsid w:val="009D125D"/>
    <w:rsid w:val="009E295C"/>
    <w:rsid w:val="009E38E2"/>
    <w:rsid w:val="009E4135"/>
    <w:rsid w:val="009E635F"/>
    <w:rsid w:val="009E663B"/>
    <w:rsid w:val="009E6FA2"/>
    <w:rsid w:val="009E72B1"/>
    <w:rsid w:val="009F1B43"/>
    <w:rsid w:val="009F318A"/>
    <w:rsid w:val="009F5081"/>
    <w:rsid w:val="00A057BE"/>
    <w:rsid w:val="00A12BF5"/>
    <w:rsid w:val="00A13B5D"/>
    <w:rsid w:val="00A13BD2"/>
    <w:rsid w:val="00A26852"/>
    <w:rsid w:val="00A26A00"/>
    <w:rsid w:val="00A274A7"/>
    <w:rsid w:val="00A300A2"/>
    <w:rsid w:val="00A32EEE"/>
    <w:rsid w:val="00A3482C"/>
    <w:rsid w:val="00A45442"/>
    <w:rsid w:val="00A541D4"/>
    <w:rsid w:val="00A5433D"/>
    <w:rsid w:val="00A5482F"/>
    <w:rsid w:val="00A601AE"/>
    <w:rsid w:val="00A60D42"/>
    <w:rsid w:val="00A63FAA"/>
    <w:rsid w:val="00A6782D"/>
    <w:rsid w:val="00A728A3"/>
    <w:rsid w:val="00A7323A"/>
    <w:rsid w:val="00A745C1"/>
    <w:rsid w:val="00A76799"/>
    <w:rsid w:val="00A76E50"/>
    <w:rsid w:val="00A83933"/>
    <w:rsid w:val="00A83FA5"/>
    <w:rsid w:val="00A84086"/>
    <w:rsid w:val="00A84CE9"/>
    <w:rsid w:val="00A87DB5"/>
    <w:rsid w:val="00A906AF"/>
    <w:rsid w:val="00A906B5"/>
    <w:rsid w:val="00A926D4"/>
    <w:rsid w:val="00A94542"/>
    <w:rsid w:val="00AA07E2"/>
    <w:rsid w:val="00AA1387"/>
    <w:rsid w:val="00AA5AD2"/>
    <w:rsid w:val="00AA5E74"/>
    <w:rsid w:val="00AB2DE8"/>
    <w:rsid w:val="00AC0303"/>
    <w:rsid w:val="00AC22A3"/>
    <w:rsid w:val="00AC2395"/>
    <w:rsid w:val="00AC2D6D"/>
    <w:rsid w:val="00AC339F"/>
    <w:rsid w:val="00AC5F68"/>
    <w:rsid w:val="00AC6AD5"/>
    <w:rsid w:val="00AD0157"/>
    <w:rsid w:val="00AD4919"/>
    <w:rsid w:val="00AE0527"/>
    <w:rsid w:val="00AE1035"/>
    <w:rsid w:val="00AE16A4"/>
    <w:rsid w:val="00AE6024"/>
    <w:rsid w:val="00AE6AF6"/>
    <w:rsid w:val="00AE6E31"/>
    <w:rsid w:val="00AF2A07"/>
    <w:rsid w:val="00AF4BFC"/>
    <w:rsid w:val="00B04CD0"/>
    <w:rsid w:val="00B05FEC"/>
    <w:rsid w:val="00B12D93"/>
    <w:rsid w:val="00B12E8C"/>
    <w:rsid w:val="00B172EC"/>
    <w:rsid w:val="00B219DE"/>
    <w:rsid w:val="00B273A5"/>
    <w:rsid w:val="00B30D0D"/>
    <w:rsid w:val="00B313C0"/>
    <w:rsid w:val="00B319B5"/>
    <w:rsid w:val="00B41CB4"/>
    <w:rsid w:val="00B42338"/>
    <w:rsid w:val="00B42D41"/>
    <w:rsid w:val="00B42E63"/>
    <w:rsid w:val="00B461FE"/>
    <w:rsid w:val="00B46243"/>
    <w:rsid w:val="00B47BF2"/>
    <w:rsid w:val="00B544E3"/>
    <w:rsid w:val="00B64398"/>
    <w:rsid w:val="00B652F6"/>
    <w:rsid w:val="00B660F0"/>
    <w:rsid w:val="00B676BD"/>
    <w:rsid w:val="00B7063C"/>
    <w:rsid w:val="00B718C2"/>
    <w:rsid w:val="00B87D38"/>
    <w:rsid w:val="00B978D3"/>
    <w:rsid w:val="00BA0468"/>
    <w:rsid w:val="00BA097C"/>
    <w:rsid w:val="00BA50EE"/>
    <w:rsid w:val="00BA5729"/>
    <w:rsid w:val="00BB3010"/>
    <w:rsid w:val="00BB6FA6"/>
    <w:rsid w:val="00BB7537"/>
    <w:rsid w:val="00BB7792"/>
    <w:rsid w:val="00BC3888"/>
    <w:rsid w:val="00BD3F96"/>
    <w:rsid w:val="00BD65DC"/>
    <w:rsid w:val="00BD6790"/>
    <w:rsid w:val="00BD7803"/>
    <w:rsid w:val="00BE0FB2"/>
    <w:rsid w:val="00BE1FCB"/>
    <w:rsid w:val="00BE4C87"/>
    <w:rsid w:val="00BE50C4"/>
    <w:rsid w:val="00BF14DC"/>
    <w:rsid w:val="00C01ADB"/>
    <w:rsid w:val="00C04049"/>
    <w:rsid w:val="00C07137"/>
    <w:rsid w:val="00C07B25"/>
    <w:rsid w:val="00C1456C"/>
    <w:rsid w:val="00C16CC9"/>
    <w:rsid w:val="00C17127"/>
    <w:rsid w:val="00C17493"/>
    <w:rsid w:val="00C231A7"/>
    <w:rsid w:val="00C231F2"/>
    <w:rsid w:val="00C31C5B"/>
    <w:rsid w:val="00C32127"/>
    <w:rsid w:val="00C33A96"/>
    <w:rsid w:val="00C45298"/>
    <w:rsid w:val="00C456A8"/>
    <w:rsid w:val="00C52010"/>
    <w:rsid w:val="00C57142"/>
    <w:rsid w:val="00C606AD"/>
    <w:rsid w:val="00C61698"/>
    <w:rsid w:val="00C63502"/>
    <w:rsid w:val="00C66B21"/>
    <w:rsid w:val="00C71D8B"/>
    <w:rsid w:val="00C75FBF"/>
    <w:rsid w:val="00C76EFB"/>
    <w:rsid w:val="00C91307"/>
    <w:rsid w:val="00C9176D"/>
    <w:rsid w:val="00C93D89"/>
    <w:rsid w:val="00C93F8A"/>
    <w:rsid w:val="00C94082"/>
    <w:rsid w:val="00C945F2"/>
    <w:rsid w:val="00C95A8C"/>
    <w:rsid w:val="00C968F2"/>
    <w:rsid w:val="00C96933"/>
    <w:rsid w:val="00CA3F6B"/>
    <w:rsid w:val="00CB0D45"/>
    <w:rsid w:val="00CB134A"/>
    <w:rsid w:val="00CB19AF"/>
    <w:rsid w:val="00CB2C3F"/>
    <w:rsid w:val="00CB46BD"/>
    <w:rsid w:val="00CB5E6C"/>
    <w:rsid w:val="00CC1A54"/>
    <w:rsid w:val="00CC3C58"/>
    <w:rsid w:val="00CC7F02"/>
    <w:rsid w:val="00CD001D"/>
    <w:rsid w:val="00CD2EFD"/>
    <w:rsid w:val="00CD6919"/>
    <w:rsid w:val="00CE177F"/>
    <w:rsid w:val="00CE6E9C"/>
    <w:rsid w:val="00CF08E7"/>
    <w:rsid w:val="00CF2F03"/>
    <w:rsid w:val="00CF768F"/>
    <w:rsid w:val="00D01988"/>
    <w:rsid w:val="00D1081C"/>
    <w:rsid w:val="00D11C20"/>
    <w:rsid w:val="00D14C0C"/>
    <w:rsid w:val="00D16BDE"/>
    <w:rsid w:val="00D16C44"/>
    <w:rsid w:val="00D17B2A"/>
    <w:rsid w:val="00D17F2B"/>
    <w:rsid w:val="00D21B76"/>
    <w:rsid w:val="00D262A9"/>
    <w:rsid w:val="00D308FE"/>
    <w:rsid w:val="00D3106C"/>
    <w:rsid w:val="00D31B32"/>
    <w:rsid w:val="00D335C7"/>
    <w:rsid w:val="00D376F8"/>
    <w:rsid w:val="00D46F1D"/>
    <w:rsid w:val="00D50A6E"/>
    <w:rsid w:val="00D52AE5"/>
    <w:rsid w:val="00D601E1"/>
    <w:rsid w:val="00D611DB"/>
    <w:rsid w:val="00D61585"/>
    <w:rsid w:val="00D64833"/>
    <w:rsid w:val="00D6525A"/>
    <w:rsid w:val="00D6587A"/>
    <w:rsid w:val="00D66843"/>
    <w:rsid w:val="00D74B72"/>
    <w:rsid w:val="00D8719A"/>
    <w:rsid w:val="00D87C81"/>
    <w:rsid w:val="00D91433"/>
    <w:rsid w:val="00DB07A6"/>
    <w:rsid w:val="00DB21E5"/>
    <w:rsid w:val="00DB34B3"/>
    <w:rsid w:val="00DC4B47"/>
    <w:rsid w:val="00DC6643"/>
    <w:rsid w:val="00DD367E"/>
    <w:rsid w:val="00DD5D13"/>
    <w:rsid w:val="00DE5DFF"/>
    <w:rsid w:val="00DE6045"/>
    <w:rsid w:val="00DE6B4C"/>
    <w:rsid w:val="00DF10AB"/>
    <w:rsid w:val="00E018DE"/>
    <w:rsid w:val="00E10585"/>
    <w:rsid w:val="00E12712"/>
    <w:rsid w:val="00E128C6"/>
    <w:rsid w:val="00E15271"/>
    <w:rsid w:val="00E1528D"/>
    <w:rsid w:val="00E15E35"/>
    <w:rsid w:val="00E17213"/>
    <w:rsid w:val="00E22B32"/>
    <w:rsid w:val="00E250FF"/>
    <w:rsid w:val="00E25CA4"/>
    <w:rsid w:val="00E27F64"/>
    <w:rsid w:val="00E32B62"/>
    <w:rsid w:val="00E35919"/>
    <w:rsid w:val="00E367CE"/>
    <w:rsid w:val="00E46B3F"/>
    <w:rsid w:val="00E4754E"/>
    <w:rsid w:val="00E47B77"/>
    <w:rsid w:val="00E508E4"/>
    <w:rsid w:val="00E50CC2"/>
    <w:rsid w:val="00E529A9"/>
    <w:rsid w:val="00E56EA4"/>
    <w:rsid w:val="00E6105C"/>
    <w:rsid w:val="00E64F14"/>
    <w:rsid w:val="00E65EA3"/>
    <w:rsid w:val="00E6747F"/>
    <w:rsid w:val="00E758AE"/>
    <w:rsid w:val="00E763DF"/>
    <w:rsid w:val="00E907AC"/>
    <w:rsid w:val="00E9100F"/>
    <w:rsid w:val="00E92382"/>
    <w:rsid w:val="00E9337A"/>
    <w:rsid w:val="00E95B38"/>
    <w:rsid w:val="00E96228"/>
    <w:rsid w:val="00EA3F2E"/>
    <w:rsid w:val="00EA4F78"/>
    <w:rsid w:val="00EB37E6"/>
    <w:rsid w:val="00EB6829"/>
    <w:rsid w:val="00EC008B"/>
    <w:rsid w:val="00EC17F7"/>
    <w:rsid w:val="00EC548D"/>
    <w:rsid w:val="00EC5FD4"/>
    <w:rsid w:val="00EC5FE5"/>
    <w:rsid w:val="00EC6620"/>
    <w:rsid w:val="00EC72CC"/>
    <w:rsid w:val="00ED749E"/>
    <w:rsid w:val="00ED76BA"/>
    <w:rsid w:val="00EE0F00"/>
    <w:rsid w:val="00EF0B88"/>
    <w:rsid w:val="00EF6BE0"/>
    <w:rsid w:val="00EF7BB3"/>
    <w:rsid w:val="00F12209"/>
    <w:rsid w:val="00F15EB5"/>
    <w:rsid w:val="00F17FD0"/>
    <w:rsid w:val="00F20E32"/>
    <w:rsid w:val="00F21FD4"/>
    <w:rsid w:val="00F24528"/>
    <w:rsid w:val="00F3132D"/>
    <w:rsid w:val="00F36129"/>
    <w:rsid w:val="00F5151A"/>
    <w:rsid w:val="00F5346D"/>
    <w:rsid w:val="00F546D9"/>
    <w:rsid w:val="00F72E94"/>
    <w:rsid w:val="00F740B9"/>
    <w:rsid w:val="00F90113"/>
    <w:rsid w:val="00F922F7"/>
    <w:rsid w:val="00F94DB2"/>
    <w:rsid w:val="00F976FB"/>
    <w:rsid w:val="00FA048C"/>
    <w:rsid w:val="00FA3564"/>
    <w:rsid w:val="00FA7065"/>
    <w:rsid w:val="00FA7766"/>
    <w:rsid w:val="00FB282F"/>
    <w:rsid w:val="00FB55E5"/>
    <w:rsid w:val="00FC14E1"/>
    <w:rsid w:val="00FC2A47"/>
    <w:rsid w:val="00FD0C4C"/>
    <w:rsid w:val="00FD1948"/>
    <w:rsid w:val="00FD4B1E"/>
    <w:rsid w:val="00FE1F07"/>
    <w:rsid w:val="00FE32AE"/>
    <w:rsid w:val="00FE4D4F"/>
    <w:rsid w:val="00FF07BB"/>
    <w:rsid w:val="00FF1841"/>
    <w:rsid w:val="00FF1E26"/>
    <w:rsid w:val="00FF4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TW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1E5451B-E0C3-4CAF-8635-C9684ABEA9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C968F2"/>
    <w:rPr>
      <w:color w:val="0000FF"/>
      <w:u w:val="single"/>
    </w:rPr>
  </w:style>
  <w:style w:type="character" w:customStyle="1" w:styleId="hps">
    <w:name w:val="hps"/>
    <w:basedOn w:val="Standardnpsmoodstavce"/>
    <w:rsid w:val="00C968F2"/>
  </w:style>
  <w:style w:type="paragraph" w:styleId="Zhlav">
    <w:name w:val="header"/>
    <w:basedOn w:val="Normln"/>
    <w:link w:val="Zhlav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76E50"/>
  </w:style>
  <w:style w:type="paragraph" w:styleId="Zpat">
    <w:name w:val="footer"/>
    <w:basedOn w:val="Normln"/>
    <w:link w:val="Zpat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76E50"/>
  </w:style>
  <w:style w:type="paragraph" w:styleId="Textbubliny">
    <w:name w:val="Balloon Text"/>
    <w:basedOn w:val="Normln"/>
    <w:link w:val="TextbublinyChar"/>
    <w:uiPriority w:val="99"/>
    <w:semiHidden/>
    <w:unhideWhenUsed/>
    <w:rsid w:val="00FF07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F07BB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F94DB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94DB2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94DB2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94DB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94DB2"/>
    <w:rPr>
      <w:b/>
      <w:bCs/>
      <w:sz w:val="20"/>
      <w:szCs w:val="20"/>
    </w:rPr>
  </w:style>
  <w:style w:type="paragraph" w:styleId="Prosttext">
    <w:name w:val="Plain Text"/>
    <w:basedOn w:val="Normln"/>
    <w:link w:val="ProsttextChar"/>
    <w:uiPriority w:val="99"/>
    <w:semiHidden/>
    <w:unhideWhenUsed/>
    <w:rsid w:val="00A84CE9"/>
    <w:pPr>
      <w:spacing w:after="0" w:line="240" w:lineRule="auto"/>
    </w:pPr>
    <w:rPr>
      <w:rFonts w:ascii="Calibri" w:hAnsi="Calibri"/>
      <w:szCs w:val="21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A84CE9"/>
    <w:rPr>
      <w:rFonts w:ascii="Calibri" w:hAnsi="Calibri"/>
      <w:szCs w:val="21"/>
    </w:rPr>
  </w:style>
  <w:style w:type="paragraph" w:styleId="Odstavecseseznamem">
    <w:name w:val="List Paragraph"/>
    <w:basedOn w:val="Normln"/>
    <w:uiPriority w:val="34"/>
    <w:qFormat/>
    <w:rsid w:val="005171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65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4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45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2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4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1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8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0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9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3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8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2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0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54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6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ceec.e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42FFA8-866F-4357-BD28-1865F688E9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3</Pages>
  <Words>613</Words>
  <Characters>3620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ČSÚ</Company>
  <LinksUpToDate>false</LinksUpToDate>
  <CharactersWithSpaces>4225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CEEC</dc:creator>
  <cp:lastModifiedBy>CEEC Research</cp:lastModifiedBy>
  <cp:revision>13</cp:revision>
  <dcterms:created xsi:type="dcterms:W3CDTF">2015-06-09T13:21:00Z</dcterms:created>
  <dcterms:modified xsi:type="dcterms:W3CDTF">2015-07-09T16:18:00Z</dcterms:modified>
</cp:coreProperties>
</file>