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9" w:rsidRPr="009068BB" w:rsidRDefault="0057080F" w:rsidP="00832635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Objem </w:t>
      </w:r>
      <w:r w:rsidR="00655B6D"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tendrů na stavební</w:t>
      </w:r>
      <w:r w:rsidR="008C311A"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zakázky </w:t>
      </w:r>
      <w:r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vzrostl o 14,1%</w:t>
      </w:r>
      <w:r w:rsidR="00F20E5A"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, z minulého roku</w:t>
      </w:r>
      <w:r w:rsidR="008C311A"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ale stále</w:t>
      </w:r>
      <w:r w:rsidR="004F0029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</w:t>
      </w:r>
      <w:r w:rsidR="004F0029"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až třetina výběrových řízení</w:t>
      </w:r>
      <w:r w:rsidR="004F0029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</w:t>
      </w:r>
      <w:r w:rsidR="008C311A" w:rsidRPr="009068BB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není dokončena</w:t>
      </w:r>
    </w:p>
    <w:p w:rsidR="00F36129" w:rsidRPr="009068BB" w:rsidRDefault="00F36129" w:rsidP="00030F20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9068BB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Praha </w:t>
      </w:r>
      <w:r w:rsidR="00A306B0">
        <w:rPr>
          <w:rFonts w:ascii="Arial" w:eastAsia="SimSun" w:hAnsi="Arial" w:cs="Arial"/>
          <w:b/>
          <w:color w:val="000000" w:themeColor="text1"/>
          <w:kern w:val="1"/>
        </w:rPr>
        <w:t>26</w:t>
      </w:r>
      <w:r w:rsidR="006718DD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0C4278" w:rsidRPr="009068BB">
        <w:rPr>
          <w:rFonts w:ascii="Arial" w:eastAsia="SimSun" w:hAnsi="Arial" w:cs="Arial"/>
          <w:b/>
          <w:color w:val="000000" w:themeColor="text1"/>
          <w:kern w:val="1"/>
        </w:rPr>
        <w:t>března</w:t>
      </w:r>
      <w:r w:rsidR="00C968F2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2A7D2C" w:rsidRPr="009068BB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E13EB0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Celkem 410 výběrových řízení </w:t>
      </w:r>
      <w:r w:rsidR="00A306B0">
        <w:rPr>
          <w:rFonts w:ascii="Arial" w:eastAsia="SimSun" w:hAnsi="Arial" w:cs="Arial"/>
          <w:b/>
          <w:color w:val="000000" w:themeColor="text1"/>
          <w:kern w:val="1"/>
        </w:rPr>
        <w:t xml:space="preserve">na stavební zakázky </w:t>
      </w:r>
      <w:r w:rsidR="00E13EB0" w:rsidRPr="009068BB">
        <w:rPr>
          <w:rFonts w:ascii="Arial" w:eastAsia="SimSun" w:hAnsi="Arial" w:cs="Arial"/>
          <w:b/>
          <w:color w:val="000000" w:themeColor="text1"/>
          <w:kern w:val="1"/>
        </w:rPr>
        <w:t>vypsali veřejní investoři v prvních dvou měsících letošního roku</w:t>
      </w:r>
      <w:r w:rsidR="005344F1" w:rsidRPr="009068BB">
        <w:rPr>
          <w:rFonts w:ascii="Arial" w:eastAsia="SimSun" w:hAnsi="Arial" w:cs="Arial"/>
          <w:b/>
          <w:color w:val="000000" w:themeColor="text1"/>
          <w:kern w:val="1"/>
        </w:rPr>
        <w:t>. Celková částka, kterou plánují státní investoři za stavební práce utratit</w:t>
      </w:r>
      <w:r w:rsidR="009068BB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5344F1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je o 14,1 procenta </w:t>
      </w:r>
      <w:r w:rsidR="00D84A33">
        <w:rPr>
          <w:rFonts w:ascii="Arial" w:eastAsia="SimSun" w:hAnsi="Arial" w:cs="Arial"/>
          <w:b/>
          <w:color w:val="000000" w:themeColor="text1"/>
          <w:kern w:val="1"/>
        </w:rPr>
        <w:t>vyšší</w:t>
      </w:r>
      <w:r w:rsidR="00D84A33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5344F1" w:rsidRPr="009068BB">
        <w:rPr>
          <w:rFonts w:ascii="Arial" w:eastAsia="SimSun" w:hAnsi="Arial" w:cs="Arial"/>
          <w:b/>
          <w:color w:val="000000" w:themeColor="text1"/>
          <w:kern w:val="1"/>
        </w:rPr>
        <w:t>než před rokem (17,6 miliardy).</w:t>
      </w:r>
      <w:r w:rsidR="00E13EB0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83133E" w:rsidRPr="009068BB">
        <w:rPr>
          <w:rFonts w:ascii="Arial" w:eastAsia="SimSun" w:hAnsi="Arial" w:cs="Arial"/>
          <w:b/>
          <w:color w:val="000000" w:themeColor="text1"/>
          <w:kern w:val="1"/>
        </w:rPr>
        <w:t>Z loňského roku ale stále zůstávají nedokončená výběrová řízení v </w:t>
      </w:r>
      <w:r w:rsidR="008C311A" w:rsidRPr="009068BB">
        <w:rPr>
          <w:rFonts w:ascii="Arial" w:eastAsia="SimSun" w:hAnsi="Arial" w:cs="Arial"/>
          <w:b/>
          <w:color w:val="000000" w:themeColor="text1"/>
          <w:kern w:val="1"/>
        </w:rPr>
        <w:t>hodnotě</w:t>
      </w:r>
      <w:r w:rsidR="0083133E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46,3 mld. Kč, což je </w:t>
      </w:r>
      <w:r w:rsidR="008C311A" w:rsidRPr="009068BB">
        <w:rPr>
          <w:rFonts w:ascii="Arial" w:eastAsia="SimSun" w:hAnsi="Arial" w:cs="Arial"/>
          <w:b/>
          <w:color w:val="000000" w:themeColor="text1"/>
          <w:kern w:val="1"/>
        </w:rPr>
        <w:t>třetina objemu (34 %) všech výběrových řízení vyhlášených v roce</w:t>
      </w:r>
      <w:r w:rsidR="009068BB">
        <w:rPr>
          <w:rFonts w:ascii="Arial" w:eastAsia="SimSun" w:hAnsi="Arial" w:cs="Arial"/>
          <w:b/>
          <w:color w:val="000000" w:themeColor="text1"/>
          <w:kern w:val="1"/>
        </w:rPr>
        <w:t xml:space="preserve"> 2014</w:t>
      </w:r>
      <w:r w:rsidR="008C311A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E15ED7" w:rsidRPr="009068BB">
        <w:rPr>
          <w:rFonts w:ascii="Arial" w:eastAsia="SimSun" w:hAnsi="Arial" w:cs="Arial"/>
          <w:b/>
          <w:color w:val="000000" w:themeColor="text1"/>
          <w:kern w:val="1"/>
        </w:rPr>
        <w:t>Vyplývá to z nejnovější</w:t>
      </w:r>
      <w:r w:rsidR="00437237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analýzy </w:t>
      </w:r>
      <w:r w:rsidR="00F20E32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zpracované </w:t>
      </w:r>
      <w:r w:rsidR="005A4048" w:rsidRPr="009068BB">
        <w:rPr>
          <w:rFonts w:ascii="Arial" w:eastAsia="SimSun" w:hAnsi="Arial" w:cs="Arial"/>
          <w:b/>
          <w:color w:val="000000" w:themeColor="text1"/>
          <w:kern w:val="1"/>
        </w:rPr>
        <w:t>analytick</w:t>
      </w:r>
      <w:r w:rsidR="00F20E32" w:rsidRPr="009068BB">
        <w:rPr>
          <w:rFonts w:ascii="Arial" w:eastAsia="SimSun" w:hAnsi="Arial" w:cs="Arial"/>
          <w:b/>
          <w:color w:val="000000" w:themeColor="text1"/>
          <w:kern w:val="1"/>
        </w:rPr>
        <w:t>ou</w:t>
      </w:r>
      <w:r w:rsidR="005A4048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společnost</w:t>
      </w:r>
      <w:r w:rsidR="00F20E32" w:rsidRPr="009068BB">
        <w:rPr>
          <w:rFonts w:ascii="Arial" w:eastAsia="SimSun" w:hAnsi="Arial" w:cs="Arial"/>
          <w:b/>
          <w:color w:val="000000" w:themeColor="text1"/>
          <w:kern w:val="1"/>
        </w:rPr>
        <w:t>í</w:t>
      </w:r>
      <w:r w:rsidR="005A4048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7A4BC1" w:rsidRPr="009068BB">
        <w:rPr>
          <w:rFonts w:ascii="Arial" w:eastAsia="SimSun" w:hAnsi="Arial" w:cs="Arial"/>
          <w:b/>
          <w:color w:val="000000" w:themeColor="text1"/>
          <w:kern w:val="1"/>
        </w:rPr>
        <w:t>CEEC Research</w:t>
      </w:r>
      <w:r w:rsidR="008C716E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5A4048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na základě dat uveřejněných </w:t>
      </w:r>
      <w:r w:rsidR="003A6F3A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na </w:t>
      </w:r>
      <w:r w:rsidR="00D11C20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konci </w:t>
      </w:r>
      <w:r w:rsidR="000C4278" w:rsidRPr="009068BB">
        <w:rPr>
          <w:rFonts w:ascii="Arial" w:eastAsia="SimSun" w:hAnsi="Arial" w:cs="Arial"/>
          <w:b/>
          <w:color w:val="000000" w:themeColor="text1"/>
          <w:kern w:val="1"/>
        </w:rPr>
        <w:t>února</w:t>
      </w:r>
      <w:r w:rsidR="00D11C20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8C311A" w:rsidRPr="009068BB">
        <w:rPr>
          <w:rFonts w:ascii="Arial" w:eastAsia="SimSun" w:hAnsi="Arial" w:cs="Arial"/>
          <w:b/>
          <w:color w:val="000000" w:themeColor="text1"/>
          <w:kern w:val="1"/>
        </w:rPr>
        <w:t>2015</w:t>
      </w:r>
      <w:r w:rsidR="00F20E32" w:rsidRPr="009068BB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5A4048" w:rsidRPr="009068BB">
        <w:rPr>
          <w:rFonts w:ascii="Arial" w:eastAsia="SimSun" w:hAnsi="Arial" w:cs="Arial"/>
          <w:b/>
          <w:color w:val="000000" w:themeColor="text1"/>
          <w:kern w:val="1"/>
        </w:rPr>
        <w:t>ve Věstníku veřejných zakázek</w:t>
      </w:r>
      <w:r w:rsidR="00E15ED7" w:rsidRPr="009068BB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9522FC" w:rsidRPr="009068BB" w:rsidRDefault="009522FC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C22EA" w:rsidRPr="009068BB" w:rsidRDefault="000D6BB3" w:rsidP="00F546D9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9068BB">
        <w:rPr>
          <w:rFonts w:ascii="Arial" w:hAnsi="Arial" w:cs="Arial"/>
          <w:color w:val="000000" w:themeColor="text1"/>
        </w:rPr>
        <w:t xml:space="preserve">Avizovaná proinvestiční politika současné vlády se začíná projevovat na výsledcích vypsaných výběrových řízení. </w:t>
      </w:r>
      <w:r w:rsidR="00E15B7C" w:rsidRPr="009068BB">
        <w:rPr>
          <w:rFonts w:ascii="Arial" w:hAnsi="Arial" w:cs="Arial"/>
          <w:color w:val="000000" w:themeColor="text1"/>
        </w:rPr>
        <w:t xml:space="preserve">Veřejné instituce </w:t>
      </w:r>
      <w:r w:rsidR="009068BB" w:rsidRPr="009068BB">
        <w:rPr>
          <w:rFonts w:ascii="Arial" w:hAnsi="Arial" w:cs="Arial"/>
          <w:color w:val="000000" w:themeColor="text1"/>
        </w:rPr>
        <w:t xml:space="preserve">vypsaly </w:t>
      </w:r>
      <w:r w:rsidR="00E15B7C" w:rsidRPr="009068BB">
        <w:rPr>
          <w:rFonts w:ascii="Arial" w:hAnsi="Arial" w:cs="Arial"/>
          <w:color w:val="000000" w:themeColor="text1"/>
        </w:rPr>
        <w:t xml:space="preserve">v prvních dvou měsících </w:t>
      </w:r>
      <w:r w:rsidR="009068BB">
        <w:rPr>
          <w:rFonts w:ascii="Arial" w:hAnsi="Arial" w:cs="Arial"/>
          <w:color w:val="000000" w:themeColor="text1"/>
        </w:rPr>
        <w:t xml:space="preserve">roku 2015 </w:t>
      </w:r>
      <w:r w:rsidR="00E15B7C" w:rsidRPr="009068BB">
        <w:rPr>
          <w:rFonts w:ascii="Arial" w:hAnsi="Arial" w:cs="Arial"/>
          <w:color w:val="000000" w:themeColor="text1"/>
        </w:rPr>
        <w:t xml:space="preserve">stavební zakázky za 17,6 miliardy korun. </w:t>
      </w:r>
      <w:r w:rsidR="009824F7" w:rsidRPr="009068BB">
        <w:rPr>
          <w:rFonts w:ascii="Arial" w:hAnsi="Arial" w:cs="Arial"/>
          <w:color w:val="000000" w:themeColor="text1"/>
        </w:rPr>
        <w:t>To představuje me</w:t>
      </w:r>
      <w:r w:rsidR="005344F1" w:rsidRPr="009068BB">
        <w:rPr>
          <w:rFonts w:ascii="Arial" w:hAnsi="Arial" w:cs="Arial"/>
          <w:color w:val="000000" w:themeColor="text1"/>
        </w:rPr>
        <w:t xml:space="preserve">ziroční nárůst o 14,1 procenta. </w:t>
      </w:r>
      <w:r w:rsidR="009824F7" w:rsidRPr="009068BB">
        <w:rPr>
          <w:rFonts w:ascii="Arial" w:hAnsi="Arial" w:cs="Arial"/>
          <w:color w:val="000000" w:themeColor="text1"/>
        </w:rPr>
        <w:t>Ve Věstníku veřejných zakázek našly</w:t>
      </w:r>
      <w:r w:rsidR="0083133E" w:rsidRPr="009068BB">
        <w:rPr>
          <w:rFonts w:ascii="Arial" w:hAnsi="Arial" w:cs="Arial"/>
          <w:color w:val="000000" w:themeColor="text1"/>
        </w:rPr>
        <w:t xml:space="preserve"> společnosti celkem 410 soutěží, což </w:t>
      </w:r>
      <w:r w:rsidR="009068BB">
        <w:rPr>
          <w:rFonts w:ascii="Arial" w:hAnsi="Arial" w:cs="Arial"/>
          <w:color w:val="000000" w:themeColor="text1"/>
        </w:rPr>
        <w:t xml:space="preserve">však </w:t>
      </w:r>
      <w:r w:rsidR="0083133E" w:rsidRPr="009068BB">
        <w:rPr>
          <w:rFonts w:ascii="Arial" w:hAnsi="Arial" w:cs="Arial"/>
          <w:color w:val="000000" w:themeColor="text1"/>
        </w:rPr>
        <w:t xml:space="preserve">z pohledu počtu zakázek </w:t>
      </w:r>
      <w:r w:rsidR="009068BB">
        <w:rPr>
          <w:rFonts w:ascii="Arial" w:hAnsi="Arial" w:cs="Arial"/>
          <w:color w:val="000000" w:themeColor="text1"/>
        </w:rPr>
        <w:t>představuje</w:t>
      </w:r>
      <w:r w:rsidR="009068BB" w:rsidRPr="009068BB">
        <w:rPr>
          <w:rFonts w:ascii="Arial" w:hAnsi="Arial" w:cs="Arial"/>
          <w:color w:val="000000" w:themeColor="text1"/>
        </w:rPr>
        <w:t xml:space="preserve"> </w:t>
      </w:r>
      <w:r w:rsidR="00A306B0">
        <w:rPr>
          <w:rFonts w:ascii="Arial" w:hAnsi="Arial" w:cs="Arial"/>
          <w:color w:val="000000" w:themeColor="text1"/>
        </w:rPr>
        <w:t xml:space="preserve">drobný </w:t>
      </w:r>
      <w:r w:rsidR="0083133E" w:rsidRPr="009068BB">
        <w:rPr>
          <w:rFonts w:ascii="Arial" w:hAnsi="Arial" w:cs="Arial"/>
          <w:color w:val="000000" w:themeColor="text1"/>
        </w:rPr>
        <w:t>pokles (o 3,3 %).</w:t>
      </w:r>
      <w:r w:rsidR="009824F7" w:rsidRPr="009068BB">
        <w:rPr>
          <w:rFonts w:ascii="Arial" w:hAnsi="Arial" w:cs="Arial"/>
          <w:color w:val="000000" w:themeColor="text1"/>
        </w:rPr>
        <w:t xml:space="preserve"> </w:t>
      </w:r>
      <w:r w:rsidR="00113B61" w:rsidRPr="009068BB">
        <w:rPr>
          <w:rFonts w:ascii="Arial" w:hAnsi="Arial" w:cs="Arial"/>
          <w:i/>
          <w:color w:val="000000" w:themeColor="text1"/>
        </w:rPr>
        <w:t>„Výhled na další měsíce ukazuje na růst objemu veřejných stavebních zakázek. Ředitelé stavebních firem tato očekávání potvrzují, a proto i mírně nadpoloviční většina velkých firem již plánuje nabírat nové zaměstnance v průběhu roku, aby byla schopna tuto budoucí poptávku uspokojit</w:t>
      </w:r>
      <w:r w:rsidR="009068BB">
        <w:rPr>
          <w:rFonts w:ascii="Arial" w:hAnsi="Arial" w:cs="Arial"/>
          <w:i/>
          <w:color w:val="000000" w:themeColor="text1"/>
        </w:rPr>
        <w:t>,</w:t>
      </w:r>
      <w:r w:rsidR="00113B61" w:rsidRPr="009068BB">
        <w:rPr>
          <w:rFonts w:ascii="Arial" w:hAnsi="Arial" w:cs="Arial"/>
          <w:color w:val="000000" w:themeColor="text1"/>
        </w:rPr>
        <w:t xml:space="preserve">“ uvádí </w:t>
      </w:r>
      <w:r w:rsidR="00113B61" w:rsidRPr="009068BB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  <w:r w:rsidR="00113B61" w:rsidRPr="009068BB">
        <w:rPr>
          <w:rFonts w:ascii="Arial" w:hAnsi="Arial" w:cs="Arial"/>
          <w:color w:val="000000" w:themeColor="text1"/>
        </w:rPr>
        <w:t xml:space="preserve"> </w:t>
      </w:r>
      <w:r w:rsidR="004E669A" w:rsidRPr="009068BB">
        <w:rPr>
          <w:rFonts w:ascii="Arial" w:hAnsi="Arial" w:cs="Arial"/>
          <w:i/>
          <w:color w:val="000000" w:themeColor="text1"/>
        </w:rPr>
        <w:t xml:space="preserve">„Je potěšitelné, že díky proinvestiční politice současné vlády roste naše ekonomika prakticky ve všech základních atributech. V prvních měsících roku </w:t>
      </w:r>
      <w:r w:rsidR="00D002BA">
        <w:rPr>
          <w:rFonts w:ascii="Arial" w:hAnsi="Arial" w:cs="Arial"/>
          <w:i/>
          <w:color w:val="000000" w:themeColor="text1"/>
        </w:rPr>
        <w:t xml:space="preserve">2015 </w:t>
      </w:r>
      <w:r w:rsidR="004E669A" w:rsidRPr="009068BB">
        <w:rPr>
          <w:rFonts w:ascii="Arial" w:hAnsi="Arial" w:cs="Arial"/>
          <w:i/>
          <w:color w:val="000000" w:themeColor="text1"/>
        </w:rPr>
        <w:t xml:space="preserve">registrujeme nebývalý zájem investorů napříč všemi sektory. Za velmi důležitý proto považuji restart stavební výroby. V lednu jsme zaznamenali její meziroční růst o téměř šest procent, rostlo pozemní i inženýrské stavitelství, očekáváme růst bytové výstavby a nové pracovní příležitosti v tomto sektoru. Právě veřejné zakázky představují jeden z klíčových zdrojů oživení našeho stavebnictví," </w:t>
      </w:r>
      <w:r w:rsidR="004E669A" w:rsidRPr="009068BB">
        <w:rPr>
          <w:rFonts w:ascii="Arial" w:hAnsi="Arial" w:cs="Arial"/>
          <w:color w:val="000000" w:themeColor="text1"/>
        </w:rPr>
        <w:t xml:space="preserve">komentuje vývoj </w:t>
      </w:r>
      <w:r w:rsidR="004E669A" w:rsidRPr="009068BB">
        <w:rPr>
          <w:rFonts w:ascii="Arial" w:hAnsi="Arial" w:cs="Arial"/>
          <w:b/>
          <w:i/>
          <w:color w:val="000000" w:themeColor="text1"/>
        </w:rPr>
        <w:t xml:space="preserve">Jiří Koliba, náměstek pro stavebnictví </w:t>
      </w:r>
      <w:r w:rsidR="004E669A" w:rsidRPr="009068BB">
        <w:rPr>
          <w:rFonts w:ascii="Arial" w:hAnsi="Arial" w:cs="Arial"/>
          <w:b/>
          <w:i/>
          <w:color w:val="000000" w:themeColor="text1"/>
          <w:shd w:val="clear" w:color="auto" w:fill="FFFFFF"/>
        </w:rPr>
        <w:t>ministra průmyslu a obchodu.</w:t>
      </w:r>
    </w:p>
    <w:p w:rsidR="00E15B7C" w:rsidRPr="009068BB" w:rsidRDefault="00E15B7C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3133E" w:rsidRPr="009068BB" w:rsidRDefault="0083133E" w:rsidP="0083133E">
      <w:pPr>
        <w:rPr>
          <w:bCs/>
        </w:rPr>
      </w:pPr>
      <w:r w:rsidRPr="009068BB">
        <w:rPr>
          <w:b/>
          <w:bCs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505"/>
        <w:gridCol w:w="1505"/>
        <w:gridCol w:w="1505"/>
        <w:gridCol w:w="1506"/>
      </w:tblGrid>
      <w:tr w:rsidR="0083133E" w:rsidRPr="009068BB" w:rsidTr="0083133E">
        <w:trPr>
          <w:cantSplit/>
          <w:trHeight w:val="284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lastRenderedPageBreak/>
              <w:t>Stavební zakázky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  <w:szCs w:val="18"/>
              </w:rPr>
              <w:t>Meziroční změna v %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Počet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Hodnota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068BB">
              <w:rPr>
                <w:rFonts w:cs="Arial"/>
                <w:sz w:val="18"/>
                <w:szCs w:val="16"/>
              </w:rPr>
              <w:t>2014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1. čtvrtletí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+50,4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+39,2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2.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+30,5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+21,5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3.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+25,6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+43,5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4.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/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-21,4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/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-39,9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/>
                <w:bCs/>
                <w:sz w:val="18"/>
                <w:szCs w:val="24"/>
              </w:rPr>
            </w:pPr>
            <w:r w:rsidRPr="009068BB">
              <w:rPr>
                <w:rFonts w:cs="Arial"/>
                <w:b/>
                <w:bCs/>
                <w:sz w:val="18"/>
                <w:szCs w:val="16"/>
              </w:rPr>
              <w:t>Rok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+18,2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+6,7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068BB">
              <w:rPr>
                <w:rFonts w:cs="Arial"/>
                <w:sz w:val="18"/>
                <w:szCs w:val="1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b/>
                <w:bCs/>
                <w:sz w:val="18"/>
                <w:szCs w:val="16"/>
              </w:rPr>
              <w:t>Leden až únor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/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-3,3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+14,1</w:t>
            </w:r>
          </w:p>
        </w:tc>
      </w:tr>
    </w:tbl>
    <w:p w:rsidR="0083133E" w:rsidRPr="009068BB" w:rsidRDefault="0083133E" w:rsidP="0083133E">
      <w:pPr>
        <w:rPr>
          <w:rFonts w:ascii="Arial" w:hAnsi="Arial"/>
          <w:bCs/>
          <w:sz w:val="20"/>
        </w:rPr>
      </w:pPr>
      <w:r w:rsidRPr="009068BB">
        <w:rPr>
          <w:bCs/>
          <w:sz w:val="16"/>
          <w:szCs w:val="16"/>
        </w:rPr>
        <w:t>Zdroj: Věstník veřejných zakázek, výpočty CEEC Research</w:t>
      </w:r>
    </w:p>
    <w:p w:rsidR="0083133E" w:rsidRPr="009068BB" w:rsidRDefault="0083133E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3133E" w:rsidRPr="00A306B0" w:rsidRDefault="00272E61" w:rsidP="0063186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068BB">
        <w:rPr>
          <w:rFonts w:ascii="Arial" w:hAnsi="Arial" w:cs="Arial"/>
          <w:color w:val="000000" w:themeColor="text1"/>
        </w:rPr>
        <w:t xml:space="preserve">V analyzovaném období </w:t>
      </w:r>
      <w:r w:rsidR="00D002BA">
        <w:rPr>
          <w:rFonts w:ascii="Arial" w:hAnsi="Arial" w:cs="Arial"/>
          <w:color w:val="000000" w:themeColor="text1"/>
        </w:rPr>
        <w:t xml:space="preserve">leden–únor 2015 </w:t>
      </w:r>
      <w:r w:rsidRPr="009068BB">
        <w:rPr>
          <w:rFonts w:ascii="Arial" w:hAnsi="Arial" w:cs="Arial"/>
          <w:color w:val="000000" w:themeColor="text1"/>
        </w:rPr>
        <w:t xml:space="preserve">se státu </w:t>
      </w:r>
      <w:r w:rsidR="008A0751" w:rsidRPr="009068BB">
        <w:rPr>
          <w:rFonts w:ascii="Arial" w:hAnsi="Arial" w:cs="Arial"/>
          <w:color w:val="000000" w:themeColor="text1"/>
        </w:rPr>
        <w:t xml:space="preserve">podařilo vybrat dodavatele na práce za 9,8 miliardy korun. </w:t>
      </w:r>
      <w:r w:rsidRPr="009068BB">
        <w:rPr>
          <w:rFonts w:ascii="Arial" w:hAnsi="Arial" w:cs="Arial"/>
          <w:color w:val="000000" w:themeColor="text1"/>
        </w:rPr>
        <w:t>V</w:t>
      </w:r>
      <w:r w:rsidR="000D6BB3" w:rsidRPr="009068BB">
        <w:rPr>
          <w:rFonts w:ascii="Arial" w:hAnsi="Arial" w:cs="Arial"/>
          <w:color w:val="000000" w:themeColor="text1"/>
        </w:rPr>
        <w:t> prvních dvou měsících letošního roku ve srovnání se stejným obdobím minulého roku</w:t>
      </w:r>
      <w:r w:rsidR="00A306B0">
        <w:rPr>
          <w:rFonts w:ascii="Arial" w:hAnsi="Arial" w:cs="Arial"/>
          <w:color w:val="000000" w:themeColor="text1"/>
        </w:rPr>
        <w:t xml:space="preserve"> do</w:t>
      </w:r>
      <w:r w:rsidR="00EB0124" w:rsidRPr="009068BB">
        <w:rPr>
          <w:rFonts w:ascii="Arial" w:hAnsi="Arial" w:cs="Arial"/>
          <w:color w:val="000000" w:themeColor="text1"/>
        </w:rPr>
        <w:t>konč</w:t>
      </w:r>
      <w:r w:rsidR="00A306B0">
        <w:rPr>
          <w:rFonts w:ascii="Arial" w:hAnsi="Arial" w:cs="Arial"/>
          <w:color w:val="000000" w:themeColor="text1"/>
        </w:rPr>
        <w:t>ili veřejní investoři</w:t>
      </w:r>
      <w:r w:rsidR="00D002BA">
        <w:rPr>
          <w:rFonts w:ascii="Arial" w:hAnsi="Arial" w:cs="Arial"/>
          <w:color w:val="000000" w:themeColor="text1"/>
        </w:rPr>
        <w:t xml:space="preserve"> o </w:t>
      </w:r>
      <w:r w:rsidR="00EB0124" w:rsidRPr="009068BB">
        <w:rPr>
          <w:rFonts w:ascii="Arial" w:hAnsi="Arial" w:cs="Arial"/>
          <w:color w:val="000000" w:themeColor="text1"/>
        </w:rPr>
        <w:t>11,6 p</w:t>
      </w:r>
      <w:r w:rsidR="0083133E" w:rsidRPr="009068BB">
        <w:rPr>
          <w:rFonts w:ascii="Arial" w:hAnsi="Arial" w:cs="Arial"/>
          <w:color w:val="000000" w:themeColor="text1"/>
        </w:rPr>
        <w:t>rocenta</w:t>
      </w:r>
      <w:r w:rsidR="00D002BA">
        <w:rPr>
          <w:rFonts w:ascii="Arial" w:hAnsi="Arial" w:cs="Arial"/>
          <w:color w:val="000000" w:themeColor="text1"/>
        </w:rPr>
        <w:t xml:space="preserve"> více</w:t>
      </w:r>
      <w:r w:rsidR="0083133E" w:rsidRPr="009068BB">
        <w:rPr>
          <w:rFonts w:ascii="Arial" w:hAnsi="Arial" w:cs="Arial"/>
          <w:color w:val="000000" w:themeColor="text1"/>
        </w:rPr>
        <w:t xml:space="preserve"> výběrových řízení</w:t>
      </w:r>
      <w:r w:rsidR="00EB0124" w:rsidRPr="009068BB">
        <w:rPr>
          <w:rFonts w:ascii="Arial" w:hAnsi="Arial" w:cs="Arial"/>
          <w:color w:val="000000" w:themeColor="text1"/>
        </w:rPr>
        <w:t xml:space="preserve">. </w:t>
      </w:r>
      <w:r w:rsidR="008A0751" w:rsidRPr="009068BB">
        <w:rPr>
          <w:rFonts w:ascii="Arial" w:hAnsi="Arial" w:cs="Arial"/>
          <w:color w:val="000000" w:themeColor="text1"/>
        </w:rPr>
        <w:t xml:space="preserve">Finanční hodnota </w:t>
      </w:r>
      <w:r w:rsidR="0083133E" w:rsidRPr="009068BB">
        <w:rPr>
          <w:rFonts w:ascii="Arial" w:hAnsi="Arial" w:cs="Arial"/>
          <w:color w:val="000000" w:themeColor="text1"/>
        </w:rPr>
        <w:t xml:space="preserve">je sice </w:t>
      </w:r>
      <w:r w:rsidRPr="009068BB">
        <w:rPr>
          <w:rFonts w:ascii="Arial" w:hAnsi="Arial" w:cs="Arial"/>
          <w:color w:val="000000" w:themeColor="text1"/>
        </w:rPr>
        <w:t xml:space="preserve">v porovnání s minulým </w:t>
      </w:r>
      <w:r w:rsidR="008A0751" w:rsidRPr="009068BB">
        <w:rPr>
          <w:rFonts w:ascii="Arial" w:hAnsi="Arial" w:cs="Arial"/>
          <w:color w:val="000000" w:themeColor="text1"/>
        </w:rPr>
        <w:t>rokem téměř o pětinu nižší (18,7 procenta)</w:t>
      </w:r>
      <w:r w:rsidR="0083133E" w:rsidRPr="009068BB">
        <w:rPr>
          <w:rFonts w:ascii="Arial" w:hAnsi="Arial" w:cs="Arial"/>
          <w:color w:val="000000" w:themeColor="text1"/>
        </w:rPr>
        <w:t xml:space="preserve">, ale </w:t>
      </w:r>
      <w:r w:rsidR="00D002BA">
        <w:rPr>
          <w:rFonts w:ascii="Arial" w:hAnsi="Arial" w:cs="Arial"/>
          <w:color w:val="000000" w:themeColor="text1"/>
        </w:rPr>
        <w:t xml:space="preserve">tento </w:t>
      </w:r>
      <w:r w:rsidR="0083133E" w:rsidRPr="009068BB">
        <w:rPr>
          <w:rFonts w:ascii="Arial" w:hAnsi="Arial" w:cs="Arial"/>
          <w:color w:val="000000" w:themeColor="text1"/>
        </w:rPr>
        <w:t>p</w:t>
      </w:r>
      <w:r w:rsidR="008A0751" w:rsidRPr="009068BB">
        <w:rPr>
          <w:rFonts w:ascii="Arial" w:hAnsi="Arial" w:cs="Arial"/>
          <w:color w:val="000000" w:themeColor="text1"/>
        </w:rPr>
        <w:t>okles hodnoty způsobila</w:t>
      </w:r>
      <w:r w:rsidR="00A306B0">
        <w:rPr>
          <w:rFonts w:ascii="Arial" w:hAnsi="Arial" w:cs="Arial"/>
          <w:color w:val="000000" w:themeColor="text1"/>
        </w:rPr>
        <w:t xml:space="preserve"> zejména jedna velká</w:t>
      </w:r>
      <w:r w:rsidR="008A0751" w:rsidRPr="009068BB">
        <w:rPr>
          <w:rFonts w:ascii="Arial" w:hAnsi="Arial" w:cs="Arial"/>
          <w:color w:val="000000" w:themeColor="text1"/>
        </w:rPr>
        <w:t xml:space="preserve"> zakázka statní </w:t>
      </w:r>
      <w:r w:rsidR="00A306B0">
        <w:rPr>
          <w:rFonts w:ascii="Arial" w:hAnsi="Arial" w:cs="Arial"/>
          <w:color w:val="000000" w:themeColor="text1"/>
        </w:rPr>
        <w:t>(</w:t>
      </w:r>
      <w:r w:rsidR="008A0751" w:rsidRPr="009068BB">
        <w:rPr>
          <w:rFonts w:ascii="Arial" w:hAnsi="Arial" w:cs="Arial"/>
          <w:color w:val="000000" w:themeColor="text1"/>
        </w:rPr>
        <w:t>společnosti ČEPS z února 2014 za 2,2, miliardy korun</w:t>
      </w:r>
      <w:r w:rsidR="00A306B0">
        <w:rPr>
          <w:rFonts w:ascii="Arial" w:hAnsi="Arial" w:cs="Arial"/>
          <w:color w:val="000000" w:themeColor="text1"/>
        </w:rPr>
        <w:t>)</w:t>
      </w:r>
      <w:r w:rsidR="008A0751" w:rsidRPr="009068BB">
        <w:rPr>
          <w:rFonts w:ascii="Arial" w:hAnsi="Arial" w:cs="Arial"/>
          <w:color w:val="000000" w:themeColor="text1"/>
        </w:rPr>
        <w:t>, která byla</w:t>
      </w:r>
      <w:r w:rsidR="0083133E" w:rsidRPr="009068BB">
        <w:rPr>
          <w:rFonts w:ascii="Arial" w:hAnsi="Arial" w:cs="Arial"/>
          <w:color w:val="000000" w:themeColor="text1"/>
        </w:rPr>
        <w:t xml:space="preserve"> zadána jako dvouletá</w:t>
      </w:r>
      <w:r w:rsidR="008A0751" w:rsidRPr="009068BB">
        <w:rPr>
          <w:rFonts w:ascii="Arial" w:hAnsi="Arial" w:cs="Arial"/>
          <w:color w:val="000000" w:themeColor="text1"/>
        </w:rPr>
        <w:t xml:space="preserve">. Pokud bychom tuto zakázku modelově z analýzy vyloučili, dostaneme se za leden až únor </w:t>
      </w:r>
      <w:r w:rsidR="00D002BA">
        <w:rPr>
          <w:rFonts w:ascii="Arial" w:hAnsi="Arial" w:cs="Arial"/>
          <w:color w:val="000000" w:themeColor="text1"/>
        </w:rPr>
        <w:t xml:space="preserve">2015 </w:t>
      </w:r>
      <w:r w:rsidR="008A0751" w:rsidRPr="009068BB">
        <w:rPr>
          <w:rFonts w:ascii="Arial" w:hAnsi="Arial" w:cs="Arial"/>
          <w:color w:val="000000" w:themeColor="text1"/>
        </w:rPr>
        <w:t>zhruba na úroveň minulého roku.</w:t>
      </w:r>
      <w:r w:rsidR="00674D79" w:rsidRPr="009068BB">
        <w:rPr>
          <w:rFonts w:ascii="Arial" w:hAnsi="Arial" w:cs="Arial"/>
          <w:color w:val="000000" w:themeColor="text1"/>
        </w:rPr>
        <w:t xml:space="preserve"> </w:t>
      </w:r>
      <w:r w:rsidR="003F239C" w:rsidRPr="009068BB">
        <w:rPr>
          <w:rFonts w:ascii="Arial" w:hAnsi="Arial" w:cs="Arial"/>
          <w:i/>
          <w:color w:val="000000" w:themeColor="text1"/>
        </w:rPr>
        <w:t>„Růst táhnou především inženýrské stavby (komunikace, železnice</w:t>
      </w:r>
      <w:r w:rsidR="00D002BA">
        <w:rPr>
          <w:rFonts w:ascii="Arial" w:hAnsi="Arial" w:cs="Arial"/>
          <w:i/>
          <w:color w:val="000000" w:themeColor="text1"/>
        </w:rPr>
        <w:t>, atd.</w:t>
      </w:r>
      <w:r w:rsidR="003F239C" w:rsidRPr="009068BB">
        <w:rPr>
          <w:rFonts w:ascii="Arial" w:hAnsi="Arial" w:cs="Arial"/>
          <w:i/>
          <w:color w:val="000000" w:themeColor="text1"/>
        </w:rPr>
        <w:t xml:space="preserve">), což je samozřejmě dobrá zpráva po létech „vyhladovění“, ale </w:t>
      </w:r>
      <w:r w:rsidR="00D002BA">
        <w:rPr>
          <w:rFonts w:ascii="Arial" w:hAnsi="Arial" w:cs="Arial"/>
          <w:i/>
          <w:color w:val="000000" w:themeColor="text1"/>
        </w:rPr>
        <w:t>zároveň</w:t>
      </w:r>
      <w:r w:rsidR="00D002BA" w:rsidRPr="009068BB">
        <w:rPr>
          <w:rFonts w:ascii="Arial" w:hAnsi="Arial" w:cs="Arial"/>
          <w:i/>
          <w:color w:val="000000" w:themeColor="text1"/>
        </w:rPr>
        <w:t xml:space="preserve"> </w:t>
      </w:r>
      <w:r w:rsidR="003F239C" w:rsidRPr="009068BB">
        <w:rPr>
          <w:rFonts w:ascii="Arial" w:hAnsi="Arial" w:cs="Arial"/>
          <w:i/>
          <w:color w:val="000000" w:themeColor="text1"/>
        </w:rPr>
        <w:t xml:space="preserve">to znamená, že pozemní stavitelství stále stagnuje. Výběry jsou realizovány především s parametrem nejnižší ceny, </w:t>
      </w:r>
      <w:r w:rsidR="00D002BA">
        <w:rPr>
          <w:rFonts w:ascii="Arial" w:hAnsi="Arial" w:cs="Arial"/>
          <w:i/>
          <w:color w:val="000000" w:themeColor="text1"/>
        </w:rPr>
        <w:t>přestože</w:t>
      </w:r>
      <w:r w:rsidR="00D002BA" w:rsidRPr="009068BB">
        <w:rPr>
          <w:rFonts w:ascii="Arial" w:hAnsi="Arial" w:cs="Arial"/>
          <w:i/>
          <w:color w:val="000000" w:themeColor="text1"/>
        </w:rPr>
        <w:t xml:space="preserve"> </w:t>
      </w:r>
      <w:r w:rsidR="003F239C" w:rsidRPr="009068BB">
        <w:rPr>
          <w:rFonts w:ascii="Arial" w:hAnsi="Arial" w:cs="Arial"/>
          <w:i/>
          <w:color w:val="000000" w:themeColor="text1"/>
        </w:rPr>
        <w:t>jsou dostatečně znám</w:t>
      </w:r>
      <w:r w:rsidR="00D002BA">
        <w:rPr>
          <w:rFonts w:ascii="Arial" w:hAnsi="Arial" w:cs="Arial"/>
          <w:i/>
          <w:color w:val="000000" w:themeColor="text1"/>
        </w:rPr>
        <w:t>é</w:t>
      </w:r>
      <w:r w:rsidR="003F239C" w:rsidRPr="009068BB">
        <w:rPr>
          <w:rFonts w:ascii="Arial" w:hAnsi="Arial" w:cs="Arial"/>
          <w:i/>
          <w:color w:val="000000" w:themeColor="text1"/>
        </w:rPr>
        <w:t xml:space="preserve"> neblahé důsledky tohoto systému výběru,“ </w:t>
      </w:r>
      <w:r w:rsidR="003F239C" w:rsidRPr="009068BB">
        <w:rPr>
          <w:rFonts w:ascii="Arial" w:hAnsi="Arial" w:cs="Arial"/>
          <w:color w:val="000000" w:themeColor="text1"/>
        </w:rPr>
        <w:t xml:space="preserve">upozorňuje </w:t>
      </w:r>
      <w:r w:rsidR="003F239C" w:rsidRPr="009068BB">
        <w:rPr>
          <w:rFonts w:ascii="Arial" w:hAnsi="Arial" w:cs="Arial"/>
          <w:b/>
          <w:i/>
          <w:color w:val="000000" w:themeColor="text1"/>
        </w:rPr>
        <w:t xml:space="preserve">Ivo Kovalík, </w:t>
      </w:r>
      <w:r w:rsidR="00D002BA">
        <w:rPr>
          <w:rFonts w:ascii="Arial" w:hAnsi="Arial" w:cs="Arial"/>
          <w:b/>
          <w:i/>
          <w:color w:val="000000" w:themeColor="text1"/>
        </w:rPr>
        <w:t>ř</w:t>
      </w:r>
      <w:r w:rsidR="003F239C" w:rsidRPr="009068BB">
        <w:rPr>
          <w:rFonts w:ascii="Arial" w:hAnsi="Arial" w:cs="Arial"/>
          <w:b/>
          <w:i/>
          <w:color w:val="000000" w:themeColor="text1"/>
        </w:rPr>
        <w:t xml:space="preserve">editel společnosti </w:t>
      </w:r>
      <w:proofErr w:type="spellStart"/>
      <w:proofErr w:type="gramStart"/>
      <w:r w:rsidR="003F239C" w:rsidRPr="009068BB">
        <w:rPr>
          <w:rFonts w:ascii="Arial" w:hAnsi="Arial" w:cs="Arial"/>
          <w:b/>
          <w:i/>
          <w:color w:val="000000" w:themeColor="text1"/>
        </w:rPr>
        <w:t>Arch.Design</w:t>
      </w:r>
      <w:proofErr w:type="spellEnd"/>
      <w:proofErr w:type="gramEnd"/>
      <w:r w:rsidR="003F239C" w:rsidRPr="009068BB">
        <w:rPr>
          <w:rFonts w:ascii="Arial" w:hAnsi="Arial" w:cs="Arial"/>
          <w:b/>
          <w:i/>
          <w:color w:val="000000" w:themeColor="text1"/>
        </w:rPr>
        <w:t>, s.r.o.</w:t>
      </w:r>
      <w:r w:rsidR="00AA3E75" w:rsidRPr="009068BB">
        <w:rPr>
          <w:rFonts w:ascii="Arial" w:hAnsi="Arial" w:cs="Arial"/>
          <w:b/>
          <w:i/>
          <w:color w:val="000000" w:themeColor="text1"/>
        </w:rPr>
        <w:t xml:space="preserve"> </w:t>
      </w:r>
      <w:r w:rsidR="00A306B0">
        <w:rPr>
          <w:rFonts w:ascii="Arial" w:hAnsi="Arial" w:cs="Arial"/>
          <w:color w:val="000000" w:themeColor="text1"/>
        </w:rPr>
        <w:t>Aktuální výhodu inženýrského stavitelství</w:t>
      </w:r>
      <w:bookmarkStart w:id="0" w:name="_GoBack"/>
      <w:bookmarkEnd w:id="0"/>
      <w:r w:rsidR="00AA3E75" w:rsidRPr="009068BB">
        <w:rPr>
          <w:rFonts w:ascii="Arial" w:hAnsi="Arial" w:cs="Arial"/>
          <w:color w:val="000000" w:themeColor="text1"/>
        </w:rPr>
        <w:t xml:space="preserve"> potvrzuje </w:t>
      </w:r>
      <w:r w:rsidR="005604DD">
        <w:rPr>
          <w:rFonts w:ascii="Arial" w:hAnsi="Arial" w:cs="Arial"/>
          <w:color w:val="000000" w:themeColor="text1"/>
        </w:rPr>
        <w:t>také</w:t>
      </w:r>
      <w:r w:rsidR="00AA3E75" w:rsidRPr="009068BB">
        <w:rPr>
          <w:rFonts w:ascii="Arial" w:hAnsi="Arial" w:cs="Arial"/>
          <w:color w:val="000000" w:themeColor="text1"/>
        </w:rPr>
        <w:t xml:space="preserve"> </w:t>
      </w:r>
      <w:r w:rsidR="00AA3E75" w:rsidRPr="009068BB">
        <w:rPr>
          <w:rFonts w:ascii="Arial" w:hAnsi="Arial" w:cs="Arial"/>
          <w:b/>
          <w:i/>
          <w:color w:val="000000" w:themeColor="text1"/>
        </w:rPr>
        <w:t>Zdeněk Pokorný, předseda představenstva VCES</w:t>
      </w:r>
      <w:r w:rsidR="005604DD">
        <w:rPr>
          <w:rFonts w:ascii="Arial" w:hAnsi="Arial" w:cs="Arial"/>
          <w:b/>
          <w:i/>
          <w:color w:val="000000" w:themeColor="text1"/>
        </w:rPr>
        <w:t>,</w:t>
      </w:r>
      <w:r w:rsidR="00AA3E75" w:rsidRPr="009068BB">
        <w:rPr>
          <w:rFonts w:ascii="Arial" w:hAnsi="Arial" w:cs="Arial"/>
          <w:b/>
          <w:i/>
          <w:color w:val="000000" w:themeColor="text1"/>
        </w:rPr>
        <w:t xml:space="preserve"> a.</w:t>
      </w:r>
      <w:r w:rsidR="00D84A33">
        <w:rPr>
          <w:rFonts w:ascii="Arial" w:hAnsi="Arial" w:cs="Arial"/>
          <w:b/>
          <w:i/>
          <w:color w:val="000000" w:themeColor="text1"/>
        </w:rPr>
        <w:t xml:space="preserve"> </w:t>
      </w:r>
      <w:r w:rsidR="00AA3E75" w:rsidRPr="009068BB">
        <w:rPr>
          <w:rFonts w:ascii="Arial" w:hAnsi="Arial" w:cs="Arial"/>
          <w:b/>
          <w:i/>
          <w:color w:val="000000" w:themeColor="text1"/>
        </w:rPr>
        <w:t xml:space="preserve">s.: </w:t>
      </w:r>
      <w:r w:rsidR="00AA3E75" w:rsidRPr="009068BB">
        <w:rPr>
          <w:rFonts w:ascii="Arial" w:hAnsi="Arial" w:cs="Arial"/>
          <w:i/>
          <w:color w:val="000000" w:themeColor="text1"/>
        </w:rPr>
        <w:t xml:space="preserve">„Výsledky prvních dvou měsíců letošního roku z pohledu objemu vypsaných veřejných stavebních zakázek potvrzují mírný optimismus, který si stavebnictví nese z loňského roku. Ve výhodnější pozici jsou projekty dopravních staveb; objem veřejných zakázek v oblasti pozemních staveb a vodohospodářských projektů si na znovunastartování svého růstu ještě musí počkat. Rezervy stále přetrvávají v uzavírání výběrových řízení. Pokud by se podařilo </w:t>
      </w:r>
      <w:r w:rsidR="005604DD" w:rsidRPr="009068BB">
        <w:rPr>
          <w:rFonts w:ascii="Arial" w:hAnsi="Arial" w:cs="Arial"/>
          <w:i/>
          <w:color w:val="000000" w:themeColor="text1"/>
        </w:rPr>
        <w:t xml:space="preserve">uzavřít všechny </w:t>
      </w:r>
      <w:r w:rsidR="00AA3E75" w:rsidRPr="009068BB">
        <w:rPr>
          <w:rFonts w:ascii="Arial" w:hAnsi="Arial" w:cs="Arial"/>
          <w:i/>
          <w:color w:val="000000" w:themeColor="text1"/>
        </w:rPr>
        <w:t xml:space="preserve">v loňském roce vypsané tendry (třetina tendrů vypsaných v roce 2014 není doposud </w:t>
      </w:r>
      <w:r w:rsidR="00AA3E75" w:rsidRPr="009068BB">
        <w:rPr>
          <w:rFonts w:ascii="Arial" w:hAnsi="Arial" w:cs="Arial"/>
          <w:i/>
          <w:color w:val="000000" w:themeColor="text1"/>
        </w:rPr>
        <w:lastRenderedPageBreak/>
        <w:t xml:space="preserve">uzavřena), </w:t>
      </w:r>
      <w:r w:rsidR="005604DD" w:rsidRPr="009068BB">
        <w:rPr>
          <w:rFonts w:ascii="Arial" w:hAnsi="Arial" w:cs="Arial"/>
          <w:i/>
          <w:color w:val="000000" w:themeColor="text1"/>
        </w:rPr>
        <w:t xml:space="preserve">dostalo </w:t>
      </w:r>
      <w:r w:rsidR="005604DD">
        <w:rPr>
          <w:rFonts w:ascii="Arial" w:hAnsi="Arial" w:cs="Arial"/>
          <w:i/>
          <w:color w:val="000000" w:themeColor="text1"/>
        </w:rPr>
        <w:t xml:space="preserve">by </w:t>
      </w:r>
      <w:r w:rsidR="00AA3E75" w:rsidRPr="009068BB">
        <w:rPr>
          <w:rFonts w:ascii="Arial" w:hAnsi="Arial" w:cs="Arial"/>
          <w:i/>
          <w:color w:val="000000" w:themeColor="text1"/>
        </w:rPr>
        <w:t>české stavebnictví další, tolik potřebný impuls k růstu.“</w:t>
      </w:r>
      <w:r w:rsidR="00631869" w:rsidRPr="009068BB">
        <w:rPr>
          <w:rFonts w:ascii="Arial" w:hAnsi="Arial" w:cs="Arial"/>
          <w:i/>
          <w:color w:val="000000" w:themeColor="text1"/>
        </w:rPr>
        <w:t xml:space="preserve"> „Rostoucí objem zakázek je jistě příjemný. Velikou škodou je, že nás šestileté „hubené“ období připravilo o část kvalitních pracovníků, kter</w:t>
      </w:r>
      <w:r w:rsidR="005604DD">
        <w:rPr>
          <w:rFonts w:ascii="Arial" w:hAnsi="Arial" w:cs="Arial"/>
          <w:i/>
          <w:color w:val="000000" w:themeColor="text1"/>
        </w:rPr>
        <w:t>é</w:t>
      </w:r>
      <w:r w:rsidR="00631869" w:rsidRPr="009068BB">
        <w:rPr>
          <w:rFonts w:ascii="Arial" w:hAnsi="Arial" w:cs="Arial"/>
          <w:i/>
          <w:color w:val="000000" w:themeColor="text1"/>
        </w:rPr>
        <w:t xml:space="preserve"> nyní budeme postrádat,“</w:t>
      </w:r>
      <w:r w:rsidR="00631869" w:rsidRPr="009068BB">
        <w:rPr>
          <w:rFonts w:ascii="Arial" w:hAnsi="Arial" w:cs="Arial"/>
          <w:color w:val="000000" w:themeColor="text1"/>
        </w:rPr>
        <w:t xml:space="preserve"> doplňuje </w:t>
      </w:r>
      <w:r w:rsidR="00631869" w:rsidRPr="009068BB">
        <w:rPr>
          <w:rFonts w:ascii="Arial" w:hAnsi="Arial" w:cs="Arial"/>
          <w:b/>
          <w:i/>
          <w:color w:val="000000" w:themeColor="text1"/>
        </w:rPr>
        <w:t>Vladimír Steiner, provozní ředitel Schindler CZ.</w:t>
      </w:r>
    </w:p>
    <w:p w:rsidR="00631869" w:rsidRPr="009068BB" w:rsidRDefault="00631869" w:rsidP="00631869">
      <w:pPr>
        <w:spacing w:after="0" w:line="360" w:lineRule="auto"/>
        <w:jc w:val="both"/>
        <w:rPr>
          <w:b/>
          <w:bCs/>
          <w:i/>
        </w:rPr>
      </w:pPr>
    </w:p>
    <w:p w:rsidR="0083133E" w:rsidRPr="009068BB" w:rsidRDefault="0083133E" w:rsidP="0083133E">
      <w:pPr>
        <w:rPr>
          <w:bCs/>
        </w:rPr>
      </w:pPr>
      <w:r w:rsidRPr="009068BB">
        <w:rPr>
          <w:b/>
          <w:bCs/>
        </w:rPr>
        <w:t>Meziroční změny počtu oznámení o zadání zakázky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505"/>
        <w:gridCol w:w="1505"/>
        <w:gridCol w:w="1505"/>
        <w:gridCol w:w="1506"/>
      </w:tblGrid>
      <w:tr w:rsidR="0083133E" w:rsidRPr="009068BB" w:rsidTr="0083133E">
        <w:trPr>
          <w:cantSplit/>
          <w:trHeight w:val="284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Stavební zakázky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  <w:szCs w:val="18"/>
              </w:rPr>
              <w:t>Meziroční změna v %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celkem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při zachování původních limitů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068BB">
              <w:rPr>
                <w:rFonts w:cs="Arial"/>
                <w:sz w:val="18"/>
                <w:szCs w:val="16"/>
              </w:rPr>
              <w:t>2014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1. čtvrtletí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+77,8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+132,6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2.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-1,2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+74,9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3.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-26,7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+13,1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sz w:val="18"/>
                <w:szCs w:val="16"/>
              </w:rPr>
              <w:t>4.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-22,2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-4,2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/>
                <w:bCs/>
                <w:sz w:val="18"/>
                <w:szCs w:val="24"/>
              </w:rPr>
            </w:pPr>
            <w:r w:rsidRPr="009068BB">
              <w:rPr>
                <w:rFonts w:cs="Arial"/>
                <w:b/>
                <w:bCs/>
                <w:sz w:val="18"/>
                <w:szCs w:val="16"/>
              </w:rPr>
              <w:t>Rok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-9,8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+34,3</w:t>
            </w:r>
          </w:p>
        </w:tc>
      </w:tr>
      <w:tr w:rsidR="0083133E" w:rsidRPr="009068BB" w:rsidTr="0083133E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068BB">
              <w:rPr>
                <w:rFonts w:cs="Arial"/>
                <w:sz w:val="18"/>
                <w:szCs w:val="1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3E" w:rsidRPr="009068BB" w:rsidRDefault="0083133E">
            <w:pPr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rFonts w:cs="Arial"/>
                <w:b/>
                <w:bCs/>
                <w:sz w:val="18"/>
                <w:szCs w:val="16"/>
              </w:rPr>
              <w:t>Leden až únor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+11,6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33E" w:rsidRPr="009068BB" w:rsidRDefault="0083133E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068BB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83133E" w:rsidRPr="009068BB" w:rsidRDefault="0083133E">
            <w:pPr>
              <w:jc w:val="right"/>
              <w:rPr>
                <w:rFonts w:ascii="Arial" w:hAnsi="Arial"/>
                <w:bCs/>
                <w:sz w:val="18"/>
                <w:szCs w:val="24"/>
              </w:rPr>
            </w:pPr>
            <w:r w:rsidRPr="009068BB">
              <w:rPr>
                <w:bCs/>
                <w:sz w:val="18"/>
              </w:rPr>
              <w:t>+15,5</w:t>
            </w:r>
          </w:p>
        </w:tc>
      </w:tr>
    </w:tbl>
    <w:p w:rsidR="00A33BDA" w:rsidRPr="009068BB" w:rsidRDefault="0083133E" w:rsidP="00F546D9">
      <w:pPr>
        <w:spacing w:after="0" w:line="360" w:lineRule="auto"/>
        <w:jc w:val="both"/>
        <w:rPr>
          <w:bCs/>
          <w:sz w:val="16"/>
          <w:szCs w:val="16"/>
        </w:rPr>
      </w:pPr>
      <w:r w:rsidRPr="009068BB">
        <w:rPr>
          <w:bCs/>
          <w:sz w:val="16"/>
          <w:szCs w:val="16"/>
        </w:rPr>
        <w:t>Zdroj: Věstník veřejných zakázek, výpočty CEEC Research</w:t>
      </w:r>
    </w:p>
    <w:p w:rsidR="0083133E" w:rsidRPr="009068BB" w:rsidRDefault="0083133E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33BDA" w:rsidRPr="009068BB" w:rsidRDefault="009D2E91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068BB">
        <w:rPr>
          <w:rFonts w:ascii="Arial" w:hAnsi="Arial" w:cs="Arial"/>
          <w:color w:val="000000" w:themeColor="text1"/>
        </w:rPr>
        <w:t xml:space="preserve">Největší zakázku za 520 milionů korun, kterou ukončila v únoru </w:t>
      </w:r>
      <w:r w:rsidR="005604DD">
        <w:rPr>
          <w:rFonts w:ascii="Arial" w:hAnsi="Arial" w:cs="Arial"/>
          <w:color w:val="000000" w:themeColor="text1"/>
        </w:rPr>
        <w:t xml:space="preserve">2015 </w:t>
      </w:r>
      <w:r w:rsidRPr="009068BB">
        <w:rPr>
          <w:rFonts w:ascii="Arial" w:hAnsi="Arial" w:cs="Arial"/>
          <w:color w:val="000000" w:themeColor="text1"/>
        </w:rPr>
        <w:t>Správa železniční a dopravní cesty na modernizaci traťového úseku Brno</w:t>
      </w:r>
      <w:r w:rsidR="005604DD">
        <w:rPr>
          <w:rFonts w:ascii="Arial" w:hAnsi="Arial" w:cs="Arial"/>
          <w:color w:val="000000" w:themeColor="text1"/>
        </w:rPr>
        <w:t>-</w:t>
      </w:r>
      <w:r w:rsidRPr="009068BB">
        <w:rPr>
          <w:rFonts w:ascii="Arial" w:hAnsi="Arial" w:cs="Arial"/>
          <w:color w:val="000000" w:themeColor="text1"/>
        </w:rPr>
        <w:t>Maloměřice – Brno</w:t>
      </w:r>
      <w:r w:rsidR="005604DD">
        <w:rPr>
          <w:rFonts w:ascii="Arial" w:hAnsi="Arial" w:cs="Arial"/>
          <w:color w:val="000000" w:themeColor="text1"/>
        </w:rPr>
        <w:t>-</w:t>
      </w:r>
      <w:r w:rsidRPr="009068BB">
        <w:rPr>
          <w:rFonts w:ascii="Arial" w:hAnsi="Arial" w:cs="Arial"/>
          <w:color w:val="000000" w:themeColor="text1"/>
        </w:rPr>
        <w:t xml:space="preserve">Židenice, získala stavební společnost </w:t>
      </w:r>
      <w:proofErr w:type="spellStart"/>
      <w:r w:rsidRPr="009068BB">
        <w:rPr>
          <w:rFonts w:ascii="Arial" w:hAnsi="Arial" w:cs="Arial"/>
          <w:color w:val="000000" w:themeColor="text1"/>
        </w:rPr>
        <w:t>Ridera</w:t>
      </w:r>
      <w:proofErr w:type="spellEnd"/>
      <w:r w:rsidRPr="009068BB">
        <w:rPr>
          <w:rFonts w:ascii="Arial" w:hAnsi="Arial" w:cs="Arial"/>
          <w:color w:val="000000" w:themeColor="text1"/>
        </w:rPr>
        <w:t xml:space="preserve"> Stavební a.</w:t>
      </w:r>
      <w:r w:rsidR="00040916">
        <w:rPr>
          <w:rFonts w:ascii="Arial" w:hAnsi="Arial" w:cs="Arial"/>
          <w:color w:val="000000" w:themeColor="text1"/>
        </w:rPr>
        <w:t xml:space="preserve"> </w:t>
      </w:r>
      <w:r w:rsidRPr="009068BB">
        <w:rPr>
          <w:rFonts w:ascii="Arial" w:hAnsi="Arial" w:cs="Arial"/>
          <w:color w:val="000000" w:themeColor="text1"/>
        </w:rPr>
        <w:t xml:space="preserve">s. </w:t>
      </w:r>
      <w:r w:rsidR="00040916">
        <w:rPr>
          <w:rFonts w:ascii="Arial" w:hAnsi="Arial" w:cs="Arial"/>
          <w:color w:val="000000" w:themeColor="text1"/>
        </w:rPr>
        <w:t>Největší zakázku</w:t>
      </w:r>
      <w:r w:rsidR="005604DD">
        <w:rPr>
          <w:rFonts w:ascii="Arial" w:hAnsi="Arial" w:cs="Arial"/>
          <w:color w:val="000000" w:themeColor="text1"/>
        </w:rPr>
        <w:t xml:space="preserve"> </w:t>
      </w:r>
      <w:r w:rsidR="00040916" w:rsidRPr="009068BB">
        <w:rPr>
          <w:rFonts w:ascii="Arial" w:hAnsi="Arial" w:cs="Arial"/>
          <w:color w:val="000000" w:themeColor="text1"/>
        </w:rPr>
        <w:t>Ředitelství silnic a dálnic</w:t>
      </w:r>
      <w:r w:rsidR="00040916">
        <w:rPr>
          <w:rFonts w:ascii="Arial" w:hAnsi="Arial" w:cs="Arial"/>
          <w:color w:val="000000" w:themeColor="text1"/>
        </w:rPr>
        <w:t xml:space="preserve"> </w:t>
      </w:r>
      <w:r w:rsidR="005604DD" w:rsidRPr="009068BB">
        <w:rPr>
          <w:rFonts w:ascii="Arial" w:hAnsi="Arial" w:cs="Arial"/>
          <w:color w:val="000000" w:themeColor="text1"/>
        </w:rPr>
        <w:t>za 368 milionů</w:t>
      </w:r>
      <w:r w:rsidR="00040916">
        <w:rPr>
          <w:rFonts w:ascii="Arial" w:hAnsi="Arial" w:cs="Arial"/>
          <w:color w:val="000000" w:themeColor="text1"/>
        </w:rPr>
        <w:t xml:space="preserve"> </w:t>
      </w:r>
      <w:r w:rsidR="00040916" w:rsidRPr="009068BB">
        <w:rPr>
          <w:rFonts w:ascii="Arial" w:hAnsi="Arial" w:cs="Arial"/>
          <w:color w:val="000000" w:themeColor="text1"/>
        </w:rPr>
        <w:t>na rozšíření silnice I/37</w:t>
      </w:r>
      <w:r w:rsidR="00040916">
        <w:rPr>
          <w:rFonts w:ascii="Arial" w:hAnsi="Arial" w:cs="Arial"/>
          <w:color w:val="000000" w:themeColor="text1"/>
        </w:rPr>
        <w:t xml:space="preserve"> </w:t>
      </w:r>
      <w:proofErr w:type="gramStart"/>
      <w:r w:rsidR="00040916" w:rsidRPr="009068BB">
        <w:rPr>
          <w:rFonts w:ascii="Arial" w:hAnsi="Arial" w:cs="Arial"/>
          <w:color w:val="000000" w:themeColor="text1"/>
        </w:rPr>
        <w:t>Pardubice</w:t>
      </w:r>
      <w:proofErr w:type="gramEnd"/>
      <w:r w:rsidR="00040916" w:rsidRPr="009068BB">
        <w:rPr>
          <w:rFonts w:ascii="Arial" w:hAnsi="Arial" w:cs="Arial"/>
          <w:color w:val="000000" w:themeColor="text1"/>
        </w:rPr>
        <w:t xml:space="preserve"> –</w:t>
      </w:r>
      <w:proofErr w:type="gramStart"/>
      <w:r w:rsidR="00040916" w:rsidRPr="009068BB">
        <w:rPr>
          <w:rFonts w:ascii="Arial" w:hAnsi="Arial" w:cs="Arial"/>
          <w:color w:val="000000" w:themeColor="text1"/>
        </w:rPr>
        <w:t>Trojice</w:t>
      </w:r>
      <w:proofErr w:type="gramEnd"/>
      <w:r w:rsidR="00040916">
        <w:rPr>
          <w:rFonts w:ascii="Arial" w:hAnsi="Arial" w:cs="Arial"/>
          <w:color w:val="000000" w:themeColor="text1"/>
        </w:rPr>
        <w:t xml:space="preserve"> </w:t>
      </w:r>
      <w:r w:rsidR="005604DD" w:rsidRPr="009068BB">
        <w:rPr>
          <w:rFonts w:ascii="Arial" w:hAnsi="Arial" w:cs="Arial"/>
          <w:color w:val="000000" w:themeColor="text1"/>
        </w:rPr>
        <w:t>vyhrálo</w:t>
      </w:r>
      <w:r w:rsidR="005604DD">
        <w:rPr>
          <w:rFonts w:ascii="Arial" w:hAnsi="Arial" w:cs="Arial"/>
          <w:color w:val="000000" w:themeColor="text1"/>
        </w:rPr>
        <w:t xml:space="preserve"> </w:t>
      </w:r>
      <w:r w:rsidRPr="009068BB">
        <w:rPr>
          <w:rFonts w:ascii="Arial" w:hAnsi="Arial" w:cs="Arial"/>
          <w:color w:val="000000" w:themeColor="text1"/>
        </w:rPr>
        <w:t>Sdružení firem M-SILNICE, EUROVIA a MADOS</w:t>
      </w:r>
      <w:r w:rsidR="00040916">
        <w:rPr>
          <w:rFonts w:ascii="Arial" w:hAnsi="Arial" w:cs="Arial"/>
          <w:color w:val="000000" w:themeColor="text1"/>
        </w:rPr>
        <w:t>.</w:t>
      </w:r>
      <w:r w:rsidRPr="009068BB">
        <w:rPr>
          <w:rFonts w:ascii="Arial" w:hAnsi="Arial" w:cs="Arial"/>
          <w:color w:val="000000" w:themeColor="text1"/>
        </w:rPr>
        <w:t xml:space="preserve"> </w:t>
      </w:r>
    </w:p>
    <w:p w:rsidR="009F5081" w:rsidRPr="009068BB" w:rsidRDefault="009F5081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12BB0" w:rsidRPr="009068BB" w:rsidRDefault="0083133E" w:rsidP="0083133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9068BB">
        <w:rPr>
          <w:rFonts w:ascii="Arial" w:hAnsi="Arial" w:cs="Arial"/>
          <w:color w:val="000000" w:themeColor="text1"/>
        </w:rPr>
        <w:t xml:space="preserve">Výsledky vývoje veřejných zakázek z roku 2014 ukazují, že v loňském roce byly oznámeny zakázky v hodnotě </w:t>
      </w:r>
      <w:r w:rsidR="00040916" w:rsidRPr="009068BB">
        <w:rPr>
          <w:rFonts w:ascii="Arial" w:hAnsi="Arial" w:cs="Arial"/>
          <w:color w:val="000000" w:themeColor="text1"/>
        </w:rPr>
        <w:t xml:space="preserve">celkem </w:t>
      </w:r>
      <w:r w:rsidRPr="009068BB">
        <w:rPr>
          <w:rFonts w:ascii="Arial" w:hAnsi="Arial" w:cs="Arial"/>
          <w:color w:val="000000" w:themeColor="text1"/>
        </w:rPr>
        <w:t xml:space="preserve">133,8 mld. Kč, z </w:t>
      </w:r>
      <w:r w:rsidR="00040916">
        <w:rPr>
          <w:rFonts w:ascii="Arial" w:hAnsi="Arial" w:cs="Arial"/>
          <w:color w:val="000000" w:themeColor="text1"/>
        </w:rPr>
        <w:t>čehož</w:t>
      </w:r>
      <w:r w:rsidR="00040916" w:rsidRPr="009068BB">
        <w:rPr>
          <w:rFonts w:ascii="Arial" w:hAnsi="Arial" w:cs="Arial"/>
          <w:color w:val="000000" w:themeColor="text1"/>
        </w:rPr>
        <w:t xml:space="preserve"> </w:t>
      </w:r>
      <w:r w:rsidRPr="009068BB">
        <w:rPr>
          <w:rFonts w:ascii="Arial" w:hAnsi="Arial" w:cs="Arial"/>
          <w:color w:val="000000" w:themeColor="text1"/>
        </w:rPr>
        <w:t xml:space="preserve">bylo později zadáno 70,3 mld. Kč (tedy 53 % z oznámených). Skutečná zadaná hodnota jich </w:t>
      </w:r>
      <w:r w:rsidR="00040916">
        <w:rPr>
          <w:rFonts w:ascii="Arial" w:hAnsi="Arial" w:cs="Arial"/>
          <w:color w:val="000000" w:themeColor="text1"/>
        </w:rPr>
        <w:t xml:space="preserve">však </w:t>
      </w:r>
      <w:r w:rsidRPr="009068BB">
        <w:rPr>
          <w:rFonts w:ascii="Arial" w:hAnsi="Arial" w:cs="Arial"/>
          <w:color w:val="000000" w:themeColor="text1"/>
        </w:rPr>
        <w:t>byla jenom 59,9 mld. Kč, protože zadaná hodnota byla zatím o cca 15 % nižší než při oznámení. Z celkového objemu oznámených zakázek byly později zrušeny zakázky za 17,2 mld. Kč (tedy cca 13 % z oznámených). Po odečtení zadaných a zrušených zakázek zbývá v systému ještě 46,3 mld. Kč (tedy 34 %), které nebyly zatím zadány nebo zrušeny.</w:t>
      </w:r>
      <w:r w:rsidR="00163CFA" w:rsidRPr="009068BB">
        <w:rPr>
          <w:rFonts w:ascii="Arial" w:hAnsi="Arial" w:cs="Arial"/>
          <w:color w:val="000000" w:themeColor="text1"/>
        </w:rPr>
        <w:t xml:space="preserve"> </w:t>
      </w:r>
      <w:r w:rsidR="00163CFA" w:rsidRPr="009068BB">
        <w:rPr>
          <w:rFonts w:ascii="Arial" w:hAnsi="Arial" w:cs="Arial"/>
          <w:i/>
          <w:color w:val="000000" w:themeColor="text1"/>
        </w:rPr>
        <w:t>„</w:t>
      </w:r>
      <w:r w:rsidR="0035251F" w:rsidRPr="009068BB">
        <w:rPr>
          <w:rFonts w:ascii="Arial" w:hAnsi="Arial" w:cs="Arial"/>
          <w:i/>
          <w:color w:val="000000" w:themeColor="text1"/>
        </w:rPr>
        <w:t>Výběr nejlevnější</w:t>
      </w:r>
      <w:r w:rsidR="00040916">
        <w:rPr>
          <w:rFonts w:ascii="Arial" w:hAnsi="Arial" w:cs="Arial"/>
          <w:i/>
          <w:color w:val="000000" w:themeColor="text1"/>
        </w:rPr>
        <w:t>ho</w:t>
      </w:r>
      <w:r w:rsidR="0035251F" w:rsidRPr="009068BB">
        <w:rPr>
          <w:rFonts w:ascii="Arial" w:hAnsi="Arial" w:cs="Arial"/>
          <w:i/>
          <w:color w:val="000000" w:themeColor="text1"/>
        </w:rPr>
        <w:t xml:space="preserve"> </w:t>
      </w:r>
      <w:r w:rsidR="0035251F" w:rsidRPr="009068BB">
        <w:rPr>
          <w:rFonts w:ascii="Arial" w:hAnsi="Arial" w:cs="Arial"/>
          <w:i/>
          <w:color w:val="000000" w:themeColor="text1"/>
        </w:rPr>
        <w:lastRenderedPageBreak/>
        <w:t>dodavatele se investorům nevyplatí. Uspořené peníze zaplatí za následné opravy,“</w:t>
      </w:r>
      <w:r w:rsidR="0035251F" w:rsidRPr="009068BB">
        <w:rPr>
          <w:rFonts w:ascii="Arial" w:hAnsi="Arial" w:cs="Arial"/>
          <w:color w:val="000000" w:themeColor="text1"/>
        </w:rPr>
        <w:t xml:space="preserve"> </w:t>
      </w:r>
      <w:r w:rsidR="00040916">
        <w:rPr>
          <w:rFonts w:ascii="Arial" w:hAnsi="Arial" w:cs="Arial"/>
          <w:color w:val="000000" w:themeColor="text1"/>
        </w:rPr>
        <w:t>vysvětluje</w:t>
      </w:r>
      <w:r w:rsidR="00040916" w:rsidRPr="009068BB">
        <w:rPr>
          <w:rFonts w:ascii="Arial" w:hAnsi="Arial" w:cs="Arial"/>
          <w:color w:val="000000" w:themeColor="text1"/>
        </w:rPr>
        <w:t xml:space="preserve"> </w:t>
      </w:r>
      <w:r w:rsidR="0035251F" w:rsidRPr="009068BB">
        <w:rPr>
          <w:rFonts w:ascii="Arial" w:hAnsi="Arial" w:cs="Arial"/>
          <w:b/>
          <w:i/>
          <w:color w:val="000000" w:themeColor="text1"/>
        </w:rPr>
        <w:t>Robert Mikeš, marketingový ředitel divize Weber, Saint-</w:t>
      </w:r>
      <w:proofErr w:type="spellStart"/>
      <w:r w:rsidR="0035251F" w:rsidRPr="009068BB">
        <w:rPr>
          <w:rFonts w:ascii="Arial" w:hAnsi="Arial" w:cs="Arial"/>
          <w:b/>
          <w:i/>
          <w:color w:val="000000" w:themeColor="text1"/>
        </w:rPr>
        <w:t>Gobain</w:t>
      </w:r>
      <w:proofErr w:type="spellEnd"/>
      <w:r w:rsidR="0035251F" w:rsidRPr="009068BB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35251F" w:rsidRPr="009068BB">
        <w:rPr>
          <w:rFonts w:ascii="Arial" w:hAnsi="Arial" w:cs="Arial"/>
          <w:b/>
          <w:i/>
          <w:color w:val="000000" w:themeColor="text1"/>
        </w:rPr>
        <w:t>Construction</w:t>
      </w:r>
      <w:proofErr w:type="spellEnd"/>
      <w:r w:rsidR="0035251F" w:rsidRPr="009068BB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35251F" w:rsidRPr="009068BB">
        <w:rPr>
          <w:rFonts w:ascii="Arial" w:hAnsi="Arial" w:cs="Arial"/>
          <w:b/>
          <w:i/>
          <w:color w:val="000000" w:themeColor="text1"/>
        </w:rPr>
        <w:t>Products</w:t>
      </w:r>
      <w:proofErr w:type="spellEnd"/>
      <w:r w:rsidR="0035251F" w:rsidRPr="009068BB">
        <w:rPr>
          <w:rFonts w:ascii="Arial" w:hAnsi="Arial" w:cs="Arial"/>
          <w:b/>
          <w:i/>
          <w:color w:val="000000" w:themeColor="text1"/>
        </w:rPr>
        <w:t xml:space="preserve"> CZ</w:t>
      </w:r>
      <w:r w:rsidR="00040916">
        <w:rPr>
          <w:rFonts w:ascii="Arial" w:hAnsi="Arial" w:cs="Arial"/>
          <w:b/>
          <w:i/>
          <w:color w:val="000000" w:themeColor="text1"/>
        </w:rPr>
        <w:t>,</w:t>
      </w:r>
      <w:r w:rsidR="0035251F" w:rsidRPr="009068BB">
        <w:rPr>
          <w:rFonts w:ascii="Arial" w:hAnsi="Arial" w:cs="Arial"/>
          <w:b/>
          <w:i/>
          <w:color w:val="000000" w:themeColor="text1"/>
        </w:rPr>
        <w:t xml:space="preserve"> a.</w:t>
      </w:r>
      <w:r w:rsidR="00040916">
        <w:rPr>
          <w:rFonts w:ascii="Arial" w:hAnsi="Arial" w:cs="Arial"/>
          <w:b/>
          <w:i/>
          <w:color w:val="000000" w:themeColor="text1"/>
        </w:rPr>
        <w:t xml:space="preserve"> </w:t>
      </w:r>
      <w:r w:rsidR="0035251F" w:rsidRPr="009068BB">
        <w:rPr>
          <w:rFonts w:ascii="Arial" w:hAnsi="Arial" w:cs="Arial"/>
          <w:b/>
          <w:i/>
          <w:color w:val="000000" w:themeColor="text1"/>
        </w:rPr>
        <w:t>s.</w:t>
      </w:r>
      <w:r w:rsidR="0035251F" w:rsidRPr="009068BB">
        <w:rPr>
          <w:rFonts w:ascii="Arial" w:hAnsi="Arial" w:cs="Arial"/>
          <w:color w:val="000000" w:themeColor="text1"/>
        </w:rPr>
        <w:t xml:space="preserve"> To potvrzuje i </w:t>
      </w:r>
      <w:r w:rsidR="0035251F" w:rsidRPr="009068BB">
        <w:rPr>
          <w:rFonts w:ascii="Arial" w:hAnsi="Arial" w:cs="Arial"/>
          <w:b/>
          <w:i/>
          <w:color w:val="000000" w:themeColor="text1"/>
        </w:rPr>
        <w:t xml:space="preserve">Branislav Bačo, Business </w:t>
      </w:r>
      <w:proofErr w:type="spellStart"/>
      <w:r w:rsidR="0035251F" w:rsidRPr="009068BB">
        <w:rPr>
          <w:rFonts w:ascii="Arial" w:hAnsi="Arial" w:cs="Arial"/>
          <w:b/>
          <w:i/>
          <w:color w:val="000000" w:themeColor="text1"/>
        </w:rPr>
        <w:t>Manager</w:t>
      </w:r>
      <w:proofErr w:type="spellEnd"/>
      <w:r w:rsidR="0035251F" w:rsidRPr="009068BB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35251F" w:rsidRPr="009068BB">
        <w:rPr>
          <w:rFonts w:ascii="Arial" w:hAnsi="Arial" w:cs="Arial"/>
          <w:b/>
          <w:i/>
          <w:color w:val="000000" w:themeColor="text1"/>
        </w:rPr>
        <w:t>Ruukki</w:t>
      </w:r>
      <w:proofErr w:type="spellEnd"/>
      <w:r w:rsidR="0035251F" w:rsidRPr="009068BB">
        <w:rPr>
          <w:rFonts w:ascii="Arial" w:hAnsi="Arial" w:cs="Arial"/>
          <w:b/>
          <w:i/>
          <w:color w:val="000000" w:themeColor="text1"/>
        </w:rPr>
        <w:t xml:space="preserve"> ČR a SR</w:t>
      </w:r>
      <w:r w:rsidR="0035251F" w:rsidRPr="009068BB">
        <w:rPr>
          <w:rFonts w:ascii="Arial" w:hAnsi="Arial" w:cs="Arial"/>
          <w:color w:val="000000" w:themeColor="text1"/>
        </w:rPr>
        <w:t xml:space="preserve">: </w:t>
      </w:r>
      <w:r w:rsidR="0035251F" w:rsidRPr="009068BB">
        <w:rPr>
          <w:rFonts w:ascii="Arial" w:hAnsi="Arial" w:cs="Arial"/>
          <w:i/>
          <w:color w:val="000000" w:themeColor="text1"/>
        </w:rPr>
        <w:t>„</w:t>
      </w:r>
      <w:r w:rsidR="00212BB0" w:rsidRPr="009068BB">
        <w:rPr>
          <w:rFonts w:ascii="Arial" w:hAnsi="Arial" w:cs="Arial"/>
          <w:i/>
          <w:color w:val="000000" w:themeColor="text1"/>
        </w:rPr>
        <w:t>Více peněz bude stát veřejné investory také následný provoz. Naše materiály jsou sice dražší, ale dbáme na nejvyšší kvalitu. Následná energetická úspora se významně projeví na ceně provozu a návratnosti počáteční investice.“</w:t>
      </w:r>
    </w:p>
    <w:p w:rsidR="00212BB0" w:rsidRPr="009068BB" w:rsidRDefault="00212BB0" w:rsidP="0083133E">
      <w:pPr>
        <w:spacing w:line="360" w:lineRule="auto"/>
        <w:jc w:val="both"/>
        <w:rPr>
          <w:bCs/>
          <w:i/>
          <w:szCs w:val="20"/>
        </w:rPr>
      </w:pPr>
    </w:p>
    <w:p w:rsidR="0083133E" w:rsidRPr="009068BB" w:rsidRDefault="0083133E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3133E" w:rsidRPr="009068BB" w:rsidRDefault="0083133E" w:rsidP="00F546D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9068BB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068BB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9068BB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9068BB">
        <w:rPr>
          <w:rFonts w:ascii="Arial" w:hAnsi="Arial" w:cs="Arial"/>
          <w:b/>
          <w:color w:val="000000" w:themeColor="text1"/>
        </w:rPr>
        <w:br/>
      </w:r>
      <w:r w:rsidRPr="009068BB">
        <w:rPr>
          <w:rFonts w:ascii="Arial" w:hAnsi="Arial" w:cs="Arial"/>
          <w:color w:val="000000" w:themeColor="text1"/>
        </w:rPr>
        <w:t xml:space="preserve">Alena </w:t>
      </w:r>
      <w:r w:rsidR="00B718C2" w:rsidRPr="009068BB">
        <w:rPr>
          <w:rFonts w:ascii="Arial" w:hAnsi="Arial" w:cs="Arial"/>
          <w:color w:val="000000" w:themeColor="text1"/>
        </w:rPr>
        <w:t>Bradáčová</w:t>
      </w:r>
      <w:r w:rsidRPr="009068BB">
        <w:rPr>
          <w:rFonts w:ascii="Arial" w:hAnsi="Arial" w:cs="Arial"/>
          <w:color w:val="000000" w:themeColor="text1"/>
        </w:rPr>
        <w:br/>
        <w:t xml:space="preserve">PR &amp; </w:t>
      </w:r>
      <w:proofErr w:type="spellStart"/>
      <w:r w:rsidRPr="009068BB">
        <w:rPr>
          <w:rFonts w:ascii="Arial" w:hAnsi="Arial" w:cs="Arial"/>
          <w:color w:val="000000" w:themeColor="text1"/>
        </w:rPr>
        <w:t>Communication</w:t>
      </w:r>
      <w:proofErr w:type="spellEnd"/>
      <w:r w:rsidRPr="009068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68BB">
        <w:rPr>
          <w:rFonts w:ascii="Arial" w:hAnsi="Arial" w:cs="Arial"/>
          <w:color w:val="000000" w:themeColor="text1"/>
        </w:rPr>
        <w:t>Director</w:t>
      </w:r>
      <w:proofErr w:type="spellEnd"/>
      <w:r w:rsidRPr="009068BB">
        <w:rPr>
          <w:rFonts w:ascii="Arial" w:hAnsi="Arial" w:cs="Arial"/>
          <w:color w:val="000000" w:themeColor="text1"/>
        </w:rPr>
        <w:br/>
      </w:r>
      <w:r w:rsidR="00B718C2" w:rsidRPr="009068BB">
        <w:rPr>
          <w:rFonts w:ascii="Arial" w:hAnsi="Arial" w:cs="Arial"/>
          <w:color w:val="000000" w:themeColor="text1"/>
        </w:rPr>
        <w:t>CEEC Research</w:t>
      </w:r>
      <w:r w:rsidR="00B718C2" w:rsidRPr="009068BB">
        <w:rPr>
          <w:rFonts w:ascii="Arial" w:hAnsi="Arial" w:cs="Arial"/>
          <w:color w:val="000000" w:themeColor="text1"/>
        </w:rPr>
        <w:br/>
        <w:t>E-mail: bradacova</w:t>
      </w:r>
      <w:r w:rsidRPr="009068BB">
        <w:rPr>
          <w:rFonts w:ascii="Arial" w:hAnsi="Arial" w:cs="Arial"/>
          <w:color w:val="000000" w:themeColor="text1"/>
        </w:rPr>
        <w:t>@ceec.eu</w:t>
      </w:r>
      <w:r w:rsidRPr="009068BB">
        <w:rPr>
          <w:rFonts w:ascii="Arial" w:hAnsi="Arial" w:cs="Arial"/>
          <w:color w:val="000000" w:themeColor="text1"/>
        </w:rPr>
        <w:br/>
        <w:t>Tel.: +420 777 299</w:t>
      </w:r>
      <w:r w:rsidR="005F0F7B" w:rsidRPr="009068BB">
        <w:rPr>
          <w:rFonts w:ascii="Arial" w:hAnsi="Arial" w:cs="Arial"/>
          <w:color w:val="000000" w:themeColor="text1"/>
        </w:rPr>
        <w:t> </w:t>
      </w:r>
      <w:r w:rsidRPr="009068BB">
        <w:rPr>
          <w:rFonts w:ascii="Arial" w:hAnsi="Arial" w:cs="Arial"/>
          <w:color w:val="000000" w:themeColor="text1"/>
        </w:rPr>
        <w:t>790</w:t>
      </w:r>
    </w:p>
    <w:p w:rsidR="007C55A2" w:rsidRPr="009068BB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9068BB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9068BB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9068BB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 w:rsidRPr="009068BB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9068BB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9068BB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68BB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5344F1" w:rsidRPr="009068BB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9068BB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9068BB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9068BB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9068BB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9068BB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60" w:rsidRDefault="00B01C60" w:rsidP="00A76E50">
      <w:pPr>
        <w:spacing w:after="0" w:line="240" w:lineRule="auto"/>
      </w:pPr>
      <w:r>
        <w:separator/>
      </w:r>
    </w:p>
  </w:endnote>
  <w:endnote w:type="continuationSeparator" w:id="0">
    <w:p w:rsidR="00B01C60" w:rsidRDefault="00B01C60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60" w:rsidRDefault="00B01C60" w:rsidP="00A76E50">
      <w:pPr>
        <w:spacing w:after="0" w:line="240" w:lineRule="auto"/>
      </w:pPr>
      <w:r>
        <w:separator/>
      </w:r>
    </w:p>
  </w:footnote>
  <w:footnote w:type="continuationSeparator" w:id="0">
    <w:p w:rsidR="00B01C60" w:rsidRDefault="00B01C60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110D5"/>
    <w:rsid w:val="00012CB9"/>
    <w:rsid w:val="00016986"/>
    <w:rsid w:val="00027656"/>
    <w:rsid w:val="00030F20"/>
    <w:rsid w:val="0003155E"/>
    <w:rsid w:val="00034237"/>
    <w:rsid w:val="00035358"/>
    <w:rsid w:val="00040916"/>
    <w:rsid w:val="00040AF2"/>
    <w:rsid w:val="0004318D"/>
    <w:rsid w:val="000431B3"/>
    <w:rsid w:val="00052956"/>
    <w:rsid w:val="00053DE6"/>
    <w:rsid w:val="00055D25"/>
    <w:rsid w:val="00055FC7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C0093"/>
    <w:rsid w:val="000C079A"/>
    <w:rsid w:val="000C2B3C"/>
    <w:rsid w:val="000C4278"/>
    <w:rsid w:val="000C5911"/>
    <w:rsid w:val="000D031A"/>
    <w:rsid w:val="000D3395"/>
    <w:rsid w:val="000D5EC9"/>
    <w:rsid w:val="000D6BB3"/>
    <w:rsid w:val="000E0FE0"/>
    <w:rsid w:val="000E620E"/>
    <w:rsid w:val="000E71B9"/>
    <w:rsid w:val="000F4820"/>
    <w:rsid w:val="000F58C9"/>
    <w:rsid w:val="000F5D71"/>
    <w:rsid w:val="001037D9"/>
    <w:rsid w:val="00104FFE"/>
    <w:rsid w:val="00110295"/>
    <w:rsid w:val="001111BA"/>
    <w:rsid w:val="001131DD"/>
    <w:rsid w:val="00113B61"/>
    <w:rsid w:val="00116FFB"/>
    <w:rsid w:val="00121151"/>
    <w:rsid w:val="00125253"/>
    <w:rsid w:val="00127951"/>
    <w:rsid w:val="001346AF"/>
    <w:rsid w:val="001350E0"/>
    <w:rsid w:val="00143695"/>
    <w:rsid w:val="001536EE"/>
    <w:rsid w:val="00163CFA"/>
    <w:rsid w:val="00166DEA"/>
    <w:rsid w:val="00172C66"/>
    <w:rsid w:val="00180560"/>
    <w:rsid w:val="001854A9"/>
    <w:rsid w:val="0018743F"/>
    <w:rsid w:val="00196346"/>
    <w:rsid w:val="0019645D"/>
    <w:rsid w:val="001A281A"/>
    <w:rsid w:val="001A3645"/>
    <w:rsid w:val="001A6A6E"/>
    <w:rsid w:val="001B76D5"/>
    <w:rsid w:val="001C6F33"/>
    <w:rsid w:val="001C7E05"/>
    <w:rsid w:val="001D0C46"/>
    <w:rsid w:val="001D36EB"/>
    <w:rsid w:val="001D5798"/>
    <w:rsid w:val="001D7AEC"/>
    <w:rsid w:val="001E446E"/>
    <w:rsid w:val="001E715E"/>
    <w:rsid w:val="001F128B"/>
    <w:rsid w:val="001F22BC"/>
    <w:rsid w:val="00211533"/>
    <w:rsid w:val="00212725"/>
    <w:rsid w:val="00212BB0"/>
    <w:rsid w:val="002262A5"/>
    <w:rsid w:val="00233D6F"/>
    <w:rsid w:val="002353AC"/>
    <w:rsid w:val="00237274"/>
    <w:rsid w:val="002560EF"/>
    <w:rsid w:val="00257FF1"/>
    <w:rsid w:val="002603EC"/>
    <w:rsid w:val="00260DD4"/>
    <w:rsid w:val="00263565"/>
    <w:rsid w:val="0026597A"/>
    <w:rsid w:val="002678EB"/>
    <w:rsid w:val="00271171"/>
    <w:rsid w:val="00272E61"/>
    <w:rsid w:val="00275AD4"/>
    <w:rsid w:val="002818F3"/>
    <w:rsid w:val="0029157C"/>
    <w:rsid w:val="00293553"/>
    <w:rsid w:val="00294841"/>
    <w:rsid w:val="002A05C0"/>
    <w:rsid w:val="002A0D8C"/>
    <w:rsid w:val="002A6CC8"/>
    <w:rsid w:val="002A7D2C"/>
    <w:rsid w:val="002B1925"/>
    <w:rsid w:val="002B69EB"/>
    <w:rsid w:val="002B7003"/>
    <w:rsid w:val="002B7F70"/>
    <w:rsid w:val="002C2C67"/>
    <w:rsid w:val="002C376E"/>
    <w:rsid w:val="002C5F1D"/>
    <w:rsid w:val="002C6870"/>
    <w:rsid w:val="002D00D5"/>
    <w:rsid w:val="002E1B68"/>
    <w:rsid w:val="002E1CCD"/>
    <w:rsid w:val="002F3CFF"/>
    <w:rsid w:val="002F4916"/>
    <w:rsid w:val="002F5151"/>
    <w:rsid w:val="002F5850"/>
    <w:rsid w:val="002F7E3F"/>
    <w:rsid w:val="003008A7"/>
    <w:rsid w:val="003016AD"/>
    <w:rsid w:val="00311898"/>
    <w:rsid w:val="00311BF9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1337"/>
    <w:rsid w:val="00343FE1"/>
    <w:rsid w:val="00345FAA"/>
    <w:rsid w:val="00350B86"/>
    <w:rsid w:val="0035251F"/>
    <w:rsid w:val="00355142"/>
    <w:rsid w:val="003567AD"/>
    <w:rsid w:val="00357CBB"/>
    <w:rsid w:val="00367B43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FD1"/>
    <w:rsid w:val="003A6F3A"/>
    <w:rsid w:val="003A7A48"/>
    <w:rsid w:val="003B2226"/>
    <w:rsid w:val="003B24B6"/>
    <w:rsid w:val="003B2E18"/>
    <w:rsid w:val="003D48F8"/>
    <w:rsid w:val="003E3DE2"/>
    <w:rsid w:val="003E40D1"/>
    <w:rsid w:val="003E77A1"/>
    <w:rsid w:val="003F1964"/>
    <w:rsid w:val="003F239C"/>
    <w:rsid w:val="00402D9F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519F"/>
    <w:rsid w:val="004462F7"/>
    <w:rsid w:val="00446BD0"/>
    <w:rsid w:val="004503E6"/>
    <w:rsid w:val="00454A85"/>
    <w:rsid w:val="00460C42"/>
    <w:rsid w:val="0046114D"/>
    <w:rsid w:val="00461766"/>
    <w:rsid w:val="00466AB9"/>
    <w:rsid w:val="0046719B"/>
    <w:rsid w:val="00471F4D"/>
    <w:rsid w:val="00475411"/>
    <w:rsid w:val="00476F5C"/>
    <w:rsid w:val="00477E8F"/>
    <w:rsid w:val="004861FD"/>
    <w:rsid w:val="004907FF"/>
    <w:rsid w:val="00493E4C"/>
    <w:rsid w:val="00497993"/>
    <w:rsid w:val="004A1A95"/>
    <w:rsid w:val="004A714A"/>
    <w:rsid w:val="004B21C6"/>
    <w:rsid w:val="004B2FEB"/>
    <w:rsid w:val="004C14E3"/>
    <w:rsid w:val="004C778E"/>
    <w:rsid w:val="004D3CE0"/>
    <w:rsid w:val="004D75BF"/>
    <w:rsid w:val="004E669A"/>
    <w:rsid w:val="004F0029"/>
    <w:rsid w:val="004F4146"/>
    <w:rsid w:val="004F5B25"/>
    <w:rsid w:val="004F5B5A"/>
    <w:rsid w:val="004F6D8A"/>
    <w:rsid w:val="0051183B"/>
    <w:rsid w:val="005171E3"/>
    <w:rsid w:val="00517883"/>
    <w:rsid w:val="0052175E"/>
    <w:rsid w:val="00524ADB"/>
    <w:rsid w:val="00530C65"/>
    <w:rsid w:val="00532BE3"/>
    <w:rsid w:val="005344F1"/>
    <w:rsid w:val="00540E43"/>
    <w:rsid w:val="00545502"/>
    <w:rsid w:val="0054668A"/>
    <w:rsid w:val="0054748B"/>
    <w:rsid w:val="0055065F"/>
    <w:rsid w:val="005556C1"/>
    <w:rsid w:val="005604DD"/>
    <w:rsid w:val="00564303"/>
    <w:rsid w:val="00565634"/>
    <w:rsid w:val="005677BC"/>
    <w:rsid w:val="0057080F"/>
    <w:rsid w:val="0057268D"/>
    <w:rsid w:val="005733C7"/>
    <w:rsid w:val="005826BC"/>
    <w:rsid w:val="0058771B"/>
    <w:rsid w:val="005912D0"/>
    <w:rsid w:val="005912F8"/>
    <w:rsid w:val="005A262C"/>
    <w:rsid w:val="005A4048"/>
    <w:rsid w:val="005A498E"/>
    <w:rsid w:val="005B03B8"/>
    <w:rsid w:val="005C03A3"/>
    <w:rsid w:val="005C0FA8"/>
    <w:rsid w:val="005C7342"/>
    <w:rsid w:val="005D15C7"/>
    <w:rsid w:val="005D32BF"/>
    <w:rsid w:val="005D3E08"/>
    <w:rsid w:val="005E2954"/>
    <w:rsid w:val="005E295F"/>
    <w:rsid w:val="005E30D6"/>
    <w:rsid w:val="005E76DC"/>
    <w:rsid w:val="005E7D50"/>
    <w:rsid w:val="005F0F7B"/>
    <w:rsid w:val="005F436D"/>
    <w:rsid w:val="0060359F"/>
    <w:rsid w:val="00605FD4"/>
    <w:rsid w:val="006134B4"/>
    <w:rsid w:val="00625010"/>
    <w:rsid w:val="00631869"/>
    <w:rsid w:val="00631B69"/>
    <w:rsid w:val="0063643D"/>
    <w:rsid w:val="00637A4B"/>
    <w:rsid w:val="00655B6D"/>
    <w:rsid w:val="0065684B"/>
    <w:rsid w:val="00656C38"/>
    <w:rsid w:val="0066111C"/>
    <w:rsid w:val="00661312"/>
    <w:rsid w:val="00665B5E"/>
    <w:rsid w:val="006702E4"/>
    <w:rsid w:val="006718DD"/>
    <w:rsid w:val="00672B58"/>
    <w:rsid w:val="00672B96"/>
    <w:rsid w:val="00672BB7"/>
    <w:rsid w:val="00673835"/>
    <w:rsid w:val="006744DE"/>
    <w:rsid w:val="00674D79"/>
    <w:rsid w:val="00677213"/>
    <w:rsid w:val="006801BB"/>
    <w:rsid w:val="00684B67"/>
    <w:rsid w:val="00693E78"/>
    <w:rsid w:val="006953F2"/>
    <w:rsid w:val="00697385"/>
    <w:rsid w:val="006A13CF"/>
    <w:rsid w:val="006A231E"/>
    <w:rsid w:val="006A23EE"/>
    <w:rsid w:val="006A528C"/>
    <w:rsid w:val="006A594B"/>
    <w:rsid w:val="006B5BFA"/>
    <w:rsid w:val="006C5597"/>
    <w:rsid w:val="006C735B"/>
    <w:rsid w:val="006E20F2"/>
    <w:rsid w:val="006E4E8A"/>
    <w:rsid w:val="006F0F71"/>
    <w:rsid w:val="006F29EF"/>
    <w:rsid w:val="006F2C05"/>
    <w:rsid w:val="006F5538"/>
    <w:rsid w:val="00702F17"/>
    <w:rsid w:val="00703F7F"/>
    <w:rsid w:val="007076E0"/>
    <w:rsid w:val="00710EF9"/>
    <w:rsid w:val="0071470C"/>
    <w:rsid w:val="007151ED"/>
    <w:rsid w:val="00721DB4"/>
    <w:rsid w:val="0072523F"/>
    <w:rsid w:val="00725A3E"/>
    <w:rsid w:val="007262F3"/>
    <w:rsid w:val="00733E20"/>
    <w:rsid w:val="00737158"/>
    <w:rsid w:val="0074021E"/>
    <w:rsid w:val="00741C6E"/>
    <w:rsid w:val="007430B7"/>
    <w:rsid w:val="00744A97"/>
    <w:rsid w:val="00752F10"/>
    <w:rsid w:val="007547AB"/>
    <w:rsid w:val="00756A20"/>
    <w:rsid w:val="00757E18"/>
    <w:rsid w:val="00760BCE"/>
    <w:rsid w:val="00763269"/>
    <w:rsid w:val="00766B88"/>
    <w:rsid w:val="0077612F"/>
    <w:rsid w:val="00782680"/>
    <w:rsid w:val="00785B22"/>
    <w:rsid w:val="00797377"/>
    <w:rsid w:val="007977DF"/>
    <w:rsid w:val="007A4BC1"/>
    <w:rsid w:val="007B2BC0"/>
    <w:rsid w:val="007B4F0F"/>
    <w:rsid w:val="007B67E8"/>
    <w:rsid w:val="007C55A2"/>
    <w:rsid w:val="007C7D83"/>
    <w:rsid w:val="007D01D4"/>
    <w:rsid w:val="007D51D0"/>
    <w:rsid w:val="007D73AB"/>
    <w:rsid w:val="007E2491"/>
    <w:rsid w:val="007E5D4A"/>
    <w:rsid w:val="007F0ADF"/>
    <w:rsid w:val="007F5413"/>
    <w:rsid w:val="007F7BD4"/>
    <w:rsid w:val="008220B0"/>
    <w:rsid w:val="00825E03"/>
    <w:rsid w:val="0083133E"/>
    <w:rsid w:val="00832635"/>
    <w:rsid w:val="0084004E"/>
    <w:rsid w:val="008428C9"/>
    <w:rsid w:val="00855382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78D0"/>
    <w:rsid w:val="00890743"/>
    <w:rsid w:val="00892803"/>
    <w:rsid w:val="008A0751"/>
    <w:rsid w:val="008A1918"/>
    <w:rsid w:val="008A2FB6"/>
    <w:rsid w:val="008B1388"/>
    <w:rsid w:val="008B2FE8"/>
    <w:rsid w:val="008B50B9"/>
    <w:rsid w:val="008B7DCF"/>
    <w:rsid w:val="008C311A"/>
    <w:rsid w:val="008C50DE"/>
    <w:rsid w:val="008C716E"/>
    <w:rsid w:val="008C72A0"/>
    <w:rsid w:val="008D414B"/>
    <w:rsid w:val="008E4090"/>
    <w:rsid w:val="008E51E4"/>
    <w:rsid w:val="008E70F3"/>
    <w:rsid w:val="008F20F7"/>
    <w:rsid w:val="008F4D01"/>
    <w:rsid w:val="00902A00"/>
    <w:rsid w:val="009068BB"/>
    <w:rsid w:val="00906B01"/>
    <w:rsid w:val="0091196A"/>
    <w:rsid w:val="00914FF6"/>
    <w:rsid w:val="00916FD0"/>
    <w:rsid w:val="00917465"/>
    <w:rsid w:val="00930100"/>
    <w:rsid w:val="00930BEC"/>
    <w:rsid w:val="00930CA6"/>
    <w:rsid w:val="00931E7E"/>
    <w:rsid w:val="00932481"/>
    <w:rsid w:val="009356AB"/>
    <w:rsid w:val="00935BE4"/>
    <w:rsid w:val="00941616"/>
    <w:rsid w:val="00942613"/>
    <w:rsid w:val="009443F0"/>
    <w:rsid w:val="009452AD"/>
    <w:rsid w:val="0095004C"/>
    <w:rsid w:val="009522FC"/>
    <w:rsid w:val="00955701"/>
    <w:rsid w:val="009564A3"/>
    <w:rsid w:val="00957D0D"/>
    <w:rsid w:val="00962CD2"/>
    <w:rsid w:val="00965531"/>
    <w:rsid w:val="00976DBB"/>
    <w:rsid w:val="00981E90"/>
    <w:rsid w:val="009824F7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41D2"/>
    <w:rsid w:val="009C099A"/>
    <w:rsid w:val="009C265B"/>
    <w:rsid w:val="009C590D"/>
    <w:rsid w:val="009C7C7E"/>
    <w:rsid w:val="009D01E8"/>
    <w:rsid w:val="009D117F"/>
    <w:rsid w:val="009D125D"/>
    <w:rsid w:val="009D2E91"/>
    <w:rsid w:val="009E295C"/>
    <w:rsid w:val="009E4135"/>
    <w:rsid w:val="009E635F"/>
    <w:rsid w:val="009E663B"/>
    <w:rsid w:val="009E6FA2"/>
    <w:rsid w:val="009E72B1"/>
    <w:rsid w:val="009F318A"/>
    <w:rsid w:val="009F5081"/>
    <w:rsid w:val="00A057BE"/>
    <w:rsid w:val="00A12BF5"/>
    <w:rsid w:val="00A13B5D"/>
    <w:rsid w:val="00A13BD2"/>
    <w:rsid w:val="00A26852"/>
    <w:rsid w:val="00A26A00"/>
    <w:rsid w:val="00A300A2"/>
    <w:rsid w:val="00A306B0"/>
    <w:rsid w:val="00A32EEE"/>
    <w:rsid w:val="00A33BDA"/>
    <w:rsid w:val="00A3482C"/>
    <w:rsid w:val="00A45442"/>
    <w:rsid w:val="00A45735"/>
    <w:rsid w:val="00A541D4"/>
    <w:rsid w:val="00A5482F"/>
    <w:rsid w:val="00A601AE"/>
    <w:rsid w:val="00A6782D"/>
    <w:rsid w:val="00A728A3"/>
    <w:rsid w:val="00A7323A"/>
    <w:rsid w:val="00A745C1"/>
    <w:rsid w:val="00A76799"/>
    <w:rsid w:val="00A76E50"/>
    <w:rsid w:val="00A84CE9"/>
    <w:rsid w:val="00A87DB5"/>
    <w:rsid w:val="00A906B5"/>
    <w:rsid w:val="00A926D4"/>
    <w:rsid w:val="00A94542"/>
    <w:rsid w:val="00AA1387"/>
    <w:rsid w:val="00AA3E75"/>
    <w:rsid w:val="00AB2DE8"/>
    <w:rsid w:val="00AC22A3"/>
    <w:rsid w:val="00AC2395"/>
    <w:rsid w:val="00AC2D6D"/>
    <w:rsid w:val="00AC339F"/>
    <w:rsid w:val="00AC5F68"/>
    <w:rsid w:val="00AC6AD5"/>
    <w:rsid w:val="00AD0157"/>
    <w:rsid w:val="00AE0527"/>
    <w:rsid w:val="00AE1035"/>
    <w:rsid w:val="00AE16A4"/>
    <w:rsid w:val="00AE6024"/>
    <w:rsid w:val="00AF4BFC"/>
    <w:rsid w:val="00B01C60"/>
    <w:rsid w:val="00B04DB6"/>
    <w:rsid w:val="00B12D93"/>
    <w:rsid w:val="00B172EC"/>
    <w:rsid w:val="00B273A5"/>
    <w:rsid w:val="00B30D0D"/>
    <w:rsid w:val="00B319B5"/>
    <w:rsid w:val="00B41CB4"/>
    <w:rsid w:val="00B42338"/>
    <w:rsid w:val="00B42D41"/>
    <w:rsid w:val="00B42E63"/>
    <w:rsid w:val="00B46243"/>
    <w:rsid w:val="00B47BF2"/>
    <w:rsid w:val="00B544E3"/>
    <w:rsid w:val="00B64398"/>
    <w:rsid w:val="00B660F0"/>
    <w:rsid w:val="00B676BD"/>
    <w:rsid w:val="00B67CD9"/>
    <w:rsid w:val="00B7063C"/>
    <w:rsid w:val="00B718C2"/>
    <w:rsid w:val="00B87D38"/>
    <w:rsid w:val="00BA0468"/>
    <w:rsid w:val="00BA097C"/>
    <w:rsid w:val="00BA5729"/>
    <w:rsid w:val="00BB3010"/>
    <w:rsid w:val="00BB7537"/>
    <w:rsid w:val="00BB7792"/>
    <w:rsid w:val="00BC3888"/>
    <w:rsid w:val="00BD3F96"/>
    <w:rsid w:val="00BD65DC"/>
    <w:rsid w:val="00BD6790"/>
    <w:rsid w:val="00BD7803"/>
    <w:rsid w:val="00BE0FB2"/>
    <w:rsid w:val="00BE1FCB"/>
    <w:rsid w:val="00BE4C87"/>
    <w:rsid w:val="00BE50C4"/>
    <w:rsid w:val="00BF14DC"/>
    <w:rsid w:val="00C04049"/>
    <w:rsid w:val="00C07B25"/>
    <w:rsid w:val="00C11362"/>
    <w:rsid w:val="00C1456C"/>
    <w:rsid w:val="00C17493"/>
    <w:rsid w:val="00C231A7"/>
    <w:rsid w:val="00C231F2"/>
    <w:rsid w:val="00C31C5B"/>
    <w:rsid w:val="00C32127"/>
    <w:rsid w:val="00C33A96"/>
    <w:rsid w:val="00C45298"/>
    <w:rsid w:val="00C456A8"/>
    <w:rsid w:val="00C51F65"/>
    <w:rsid w:val="00C52010"/>
    <w:rsid w:val="00C57142"/>
    <w:rsid w:val="00C60A81"/>
    <w:rsid w:val="00C61698"/>
    <w:rsid w:val="00C66B21"/>
    <w:rsid w:val="00C71D8B"/>
    <w:rsid w:val="00C76EFB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19AF"/>
    <w:rsid w:val="00CB2C3F"/>
    <w:rsid w:val="00CB46BD"/>
    <w:rsid w:val="00CB5E6C"/>
    <w:rsid w:val="00CC3C58"/>
    <w:rsid w:val="00CC7F02"/>
    <w:rsid w:val="00CD001D"/>
    <w:rsid w:val="00CD2EFD"/>
    <w:rsid w:val="00CD6919"/>
    <w:rsid w:val="00CE177F"/>
    <w:rsid w:val="00CF08E7"/>
    <w:rsid w:val="00CF2F03"/>
    <w:rsid w:val="00D002BA"/>
    <w:rsid w:val="00D1081C"/>
    <w:rsid w:val="00D11C20"/>
    <w:rsid w:val="00D14C0C"/>
    <w:rsid w:val="00D16BDE"/>
    <w:rsid w:val="00D17B2A"/>
    <w:rsid w:val="00D17F2B"/>
    <w:rsid w:val="00D262A9"/>
    <w:rsid w:val="00D308FE"/>
    <w:rsid w:val="00D3106C"/>
    <w:rsid w:val="00D335C7"/>
    <w:rsid w:val="00D376F8"/>
    <w:rsid w:val="00D50A6E"/>
    <w:rsid w:val="00D52AE5"/>
    <w:rsid w:val="00D601E1"/>
    <w:rsid w:val="00D61585"/>
    <w:rsid w:val="00D64833"/>
    <w:rsid w:val="00D6525A"/>
    <w:rsid w:val="00D6587A"/>
    <w:rsid w:val="00D66843"/>
    <w:rsid w:val="00D84A33"/>
    <w:rsid w:val="00D8719A"/>
    <w:rsid w:val="00D91433"/>
    <w:rsid w:val="00DB07A6"/>
    <w:rsid w:val="00DB21E5"/>
    <w:rsid w:val="00DB34B3"/>
    <w:rsid w:val="00DC22EA"/>
    <w:rsid w:val="00DD367E"/>
    <w:rsid w:val="00DE5DFF"/>
    <w:rsid w:val="00DE6045"/>
    <w:rsid w:val="00DE6B4C"/>
    <w:rsid w:val="00E018DE"/>
    <w:rsid w:val="00E07519"/>
    <w:rsid w:val="00E12712"/>
    <w:rsid w:val="00E128C6"/>
    <w:rsid w:val="00E13EB0"/>
    <w:rsid w:val="00E15271"/>
    <w:rsid w:val="00E15B7C"/>
    <w:rsid w:val="00E15E35"/>
    <w:rsid w:val="00E15ED7"/>
    <w:rsid w:val="00E22B32"/>
    <w:rsid w:val="00E250FF"/>
    <w:rsid w:val="00E25CA4"/>
    <w:rsid w:val="00E27F64"/>
    <w:rsid w:val="00E32B62"/>
    <w:rsid w:val="00E35919"/>
    <w:rsid w:val="00E367CE"/>
    <w:rsid w:val="00E46B3F"/>
    <w:rsid w:val="00E47B77"/>
    <w:rsid w:val="00E508E4"/>
    <w:rsid w:val="00E50CC2"/>
    <w:rsid w:val="00E529A9"/>
    <w:rsid w:val="00E56EA4"/>
    <w:rsid w:val="00E65EA3"/>
    <w:rsid w:val="00E6747F"/>
    <w:rsid w:val="00E758AE"/>
    <w:rsid w:val="00E763DF"/>
    <w:rsid w:val="00E907AC"/>
    <w:rsid w:val="00E9100F"/>
    <w:rsid w:val="00E92382"/>
    <w:rsid w:val="00E9337A"/>
    <w:rsid w:val="00E95B38"/>
    <w:rsid w:val="00E96228"/>
    <w:rsid w:val="00EA3F2E"/>
    <w:rsid w:val="00EA4F78"/>
    <w:rsid w:val="00EB0124"/>
    <w:rsid w:val="00EB37E6"/>
    <w:rsid w:val="00EC008B"/>
    <w:rsid w:val="00EC17F7"/>
    <w:rsid w:val="00EC548D"/>
    <w:rsid w:val="00EC5FD4"/>
    <w:rsid w:val="00EC5FE5"/>
    <w:rsid w:val="00EC6620"/>
    <w:rsid w:val="00ED76BA"/>
    <w:rsid w:val="00EE0F00"/>
    <w:rsid w:val="00EE23C1"/>
    <w:rsid w:val="00EF23C8"/>
    <w:rsid w:val="00EF6BE0"/>
    <w:rsid w:val="00EF7BB3"/>
    <w:rsid w:val="00F15EB5"/>
    <w:rsid w:val="00F17FD0"/>
    <w:rsid w:val="00F20E32"/>
    <w:rsid w:val="00F20E5A"/>
    <w:rsid w:val="00F21FD4"/>
    <w:rsid w:val="00F24528"/>
    <w:rsid w:val="00F36129"/>
    <w:rsid w:val="00F5151A"/>
    <w:rsid w:val="00F5346D"/>
    <w:rsid w:val="00F546D9"/>
    <w:rsid w:val="00F61DA5"/>
    <w:rsid w:val="00F72E94"/>
    <w:rsid w:val="00F740B9"/>
    <w:rsid w:val="00F90113"/>
    <w:rsid w:val="00F94DB2"/>
    <w:rsid w:val="00F976FB"/>
    <w:rsid w:val="00FA048C"/>
    <w:rsid w:val="00FA3564"/>
    <w:rsid w:val="00FA7766"/>
    <w:rsid w:val="00FB282F"/>
    <w:rsid w:val="00FB55E5"/>
    <w:rsid w:val="00FC2A47"/>
    <w:rsid w:val="00FD0C4C"/>
    <w:rsid w:val="00FD1948"/>
    <w:rsid w:val="00FE1F07"/>
    <w:rsid w:val="00FE4D4F"/>
    <w:rsid w:val="00FF07BB"/>
    <w:rsid w:val="00FF0A14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92C4-8D5F-4EA2-9C6A-646EBA7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2</cp:revision>
  <dcterms:created xsi:type="dcterms:W3CDTF">2015-03-25T20:04:00Z</dcterms:created>
  <dcterms:modified xsi:type="dcterms:W3CDTF">2015-03-25T20:04:00Z</dcterms:modified>
</cp:coreProperties>
</file>