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CAA" w:rsidRDefault="00F40CAA" w:rsidP="00F40CAA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Výběrových řízení na projektové zakázky přibývá </w:t>
      </w:r>
    </w:p>
    <w:p w:rsidR="00F40CAA" w:rsidRDefault="00F40CAA" w:rsidP="00F40CAA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–</w:t>
      </w:r>
    </w:p>
    <w:p w:rsidR="00F40CAA" w:rsidRDefault="00F40CAA" w:rsidP="00F40CAA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A20750">
        <w:rPr>
          <w:rFonts w:ascii="Arial" w:hAnsi="Arial" w:cs="Arial"/>
          <w:b/>
          <w:bCs/>
          <w:sz w:val="32"/>
          <w:szCs w:val="32"/>
        </w:rPr>
        <w:t>v</w:t>
      </w:r>
      <w:r>
        <w:rPr>
          <w:rFonts w:ascii="Arial" w:hAnsi="Arial" w:cs="Arial"/>
          <w:b/>
          <w:bCs/>
          <w:sz w:val="32"/>
          <w:szCs w:val="32"/>
        </w:rPr>
        <w:t xml:space="preserve">loni jich stát vypsal za 3,5 miliardy </w:t>
      </w:r>
    </w:p>
    <w:p w:rsidR="00F36129" w:rsidRDefault="00F36129" w:rsidP="00030F20">
      <w:pPr>
        <w:spacing w:after="0" w:line="360" w:lineRule="auto"/>
        <w:jc w:val="both"/>
        <w:rPr>
          <w:rFonts w:ascii="Arial" w:eastAsia="SimSun" w:hAnsi="Arial" w:cs="Arial"/>
          <w:b/>
          <w:bCs/>
          <w:kern w:val="1"/>
          <w:sz w:val="32"/>
          <w:szCs w:val="32"/>
        </w:rPr>
      </w:pPr>
    </w:p>
    <w:p w:rsidR="00B64398" w:rsidRPr="00C45298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>
        <w:rPr>
          <w:rFonts w:ascii="Arial" w:eastAsia="SimSun" w:hAnsi="Arial" w:cs="Arial"/>
          <w:b/>
          <w:kern w:val="1"/>
        </w:rPr>
        <w:t xml:space="preserve">Praha </w:t>
      </w:r>
      <w:r w:rsidR="004650F4">
        <w:rPr>
          <w:rFonts w:ascii="Arial" w:eastAsia="SimSun" w:hAnsi="Arial" w:cs="Arial"/>
          <w:b/>
          <w:kern w:val="1"/>
        </w:rPr>
        <w:t>20</w:t>
      </w:r>
      <w:r w:rsidR="00D83977">
        <w:rPr>
          <w:rFonts w:ascii="Arial" w:eastAsia="SimSun" w:hAnsi="Arial" w:cs="Arial"/>
          <w:b/>
          <w:kern w:val="1"/>
        </w:rPr>
        <w:t>. února</w:t>
      </w:r>
      <w:r w:rsidR="00C968F2" w:rsidRPr="00C45298">
        <w:rPr>
          <w:rFonts w:ascii="Arial" w:eastAsia="SimSun" w:hAnsi="Arial" w:cs="Arial"/>
          <w:b/>
          <w:kern w:val="1"/>
        </w:rPr>
        <w:t xml:space="preserve"> </w:t>
      </w:r>
      <w:r w:rsidR="002A7D2C" w:rsidRPr="00C45298">
        <w:rPr>
          <w:rFonts w:ascii="Arial" w:eastAsia="SimSun" w:hAnsi="Arial" w:cs="Arial"/>
          <w:b/>
          <w:kern w:val="1"/>
        </w:rPr>
        <w:t>–</w:t>
      </w:r>
      <w:r w:rsidR="00DF6D0D">
        <w:rPr>
          <w:rFonts w:ascii="Arial" w:eastAsia="SimSun" w:hAnsi="Arial" w:cs="Arial"/>
          <w:b/>
          <w:kern w:val="1"/>
        </w:rPr>
        <w:t xml:space="preserve"> </w:t>
      </w:r>
      <w:r w:rsidR="006A59D6">
        <w:rPr>
          <w:rFonts w:ascii="Arial" w:eastAsia="SimSun" w:hAnsi="Arial" w:cs="Arial"/>
          <w:b/>
          <w:kern w:val="1"/>
        </w:rPr>
        <w:t>Téměř zastavená projektová příprava začíná pomalu ožívat</w:t>
      </w:r>
      <w:r w:rsidR="008723C5">
        <w:rPr>
          <w:rFonts w:ascii="Arial" w:eastAsia="SimSun" w:hAnsi="Arial" w:cs="Arial"/>
          <w:b/>
          <w:kern w:val="1"/>
        </w:rPr>
        <w:t>. Veřejné instituce vypsaly</w:t>
      </w:r>
      <w:r w:rsidR="006A59D6">
        <w:rPr>
          <w:rFonts w:ascii="Arial" w:eastAsia="SimSun" w:hAnsi="Arial" w:cs="Arial"/>
          <w:b/>
          <w:kern w:val="1"/>
        </w:rPr>
        <w:t xml:space="preserve"> </w:t>
      </w:r>
      <w:r w:rsidR="003E2666">
        <w:rPr>
          <w:rFonts w:ascii="Arial" w:eastAsia="SimSun" w:hAnsi="Arial" w:cs="Arial"/>
          <w:b/>
          <w:kern w:val="1"/>
        </w:rPr>
        <w:t xml:space="preserve">v loňském roce výběrových řízení </w:t>
      </w:r>
      <w:r w:rsidR="006A59D6">
        <w:rPr>
          <w:rFonts w:ascii="Arial" w:eastAsia="SimSun" w:hAnsi="Arial" w:cs="Arial"/>
          <w:b/>
          <w:kern w:val="1"/>
        </w:rPr>
        <w:t>o čtvrtinu (27,6%) více</w:t>
      </w:r>
      <w:r w:rsidR="003E2666">
        <w:rPr>
          <w:rFonts w:ascii="Arial" w:eastAsia="SimSun" w:hAnsi="Arial" w:cs="Arial"/>
          <w:b/>
          <w:kern w:val="1"/>
        </w:rPr>
        <w:t>.</w:t>
      </w:r>
      <w:r w:rsidR="006A59D6">
        <w:rPr>
          <w:rFonts w:ascii="Arial" w:eastAsia="SimSun" w:hAnsi="Arial" w:cs="Arial"/>
          <w:b/>
          <w:kern w:val="1"/>
        </w:rPr>
        <w:t xml:space="preserve">  Jejich předpokláda</w:t>
      </w:r>
      <w:r w:rsidR="008723C5">
        <w:rPr>
          <w:rFonts w:ascii="Arial" w:eastAsia="SimSun" w:hAnsi="Arial" w:cs="Arial"/>
          <w:b/>
          <w:kern w:val="1"/>
        </w:rPr>
        <w:t>ná hodnota stoupla téměř na dvoj</w:t>
      </w:r>
      <w:r w:rsidR="006A59D6">
        <w:rPr>
          <w:rFonts w:ascii="Arial" w:eastAsia="SimSun" w:hAnsi="Arial" w:cs="Arial"/>
          <w:b/>
          <w:kern w:val="1"/>
        </w:rPr>
        <w:t xml:space="preserve">násobek (o 92,9%). Státní investoři naplánovali přípravu projektů za celkem 3,5 miliardy. </w:t>
      </w:r>
      <w:r w:rsidR="006F29EF" w:rsidRPr="007F7BD4">
        <w:rPr>
          <w:rFonts w:ascii="Arial" w:eastAsia="SimSun" w:hAnsi="Arial" w:cs="Arial"/>
          <w:b/>
          <w:kern w:val="1"/>
        </w:rPr>
        <w:t>Vyplývá to z</w:t>
      </w:r>
      <w:r w:rsidR="00437237" w:rsidRPr="007F7BD4">
        <w:rPr>
          <w:rFonts w:ascii="Arial" w:eastAsia="SimSun" w:hAnsi="Arial" w:cs="Arial"/>
          <w:b/>
          <w:kern w:val="1"/>
        </w:rPr>
        <w:t> </w:t>
      </w:r>
      <w:r w:rsidR="000C079A" w:rsidRPr="007F7BD4">
        <w:rPr>
          <w:rFonts w:ascii="Arial" w:eastAsia="SimSun" w:hAnsi="Arial" w:cs="Arial"/>
          <w:b/>
          <w:kern w:val="1"/>
        </w:rPr>
        <w:t>nejnovější</w:t>
      </w:r>
      <w:r w:rsidR="00437237" w:rsidRPr="007F7BD4">
        <w:rPr>
          <w:rFonts w:ascii="Arial" w:eastAsia="SimSun" w:hAnsi="Arial" w:cs="Arial"/>
          <w:b/>
          <w:kern w:val="1"/>
        </w:rPr>
        <w:t xml:space="preserve"> analýzy </w:t>
      </w:r>
      <w:r w:rsidR="00F20E32" w:rsidRPr="007F7BD4">
        <w:rPr>
          <w:rFonts w:ascii="Arial" w:eastAsia="SimSun" w:hAnsi="Arial" w:cs="Arial"/>
          <w:b/>
          <w:kern w:val="1"/>
        </w:rPr>
        <w:t xml:space="preserve">zpracované </w:t>
      </w:r>
      <w:r w:rsidR="005A4048" w:rsidRPr="007F7BD4">
        <w:rPr>
          <w:rFonts w:ascii="Arial" w:eastAsia="SimSun" w:hAnsi="Arial" w:cs="Arial"/>
          <w:b/>
          <w:kern w:val="1"/>
        </w:rPr>
        <w:t>analytick</w:t>
      </w:r>
      <w:r w:rsidR="00F20E32" w:rsidRPr="007F7BD4">
        <w:rPr>
          <w:rFonts w:ascii="Arial" w:eastAsia="SimSun" w:hAnsi="Arial" w:cs="Arial"/>
          <w:b/>
          <w:kern w:val="1"/>
        </w:rPr>
        <w:t>ou</w:t>
      </w:r>
      <w:r w:rsidR="005A4048" w:rsidRPr="007F7BD4">
        <w:rPr>
          <w:rFonts w:ascii="Arial" w:eastAsia="SimSun" w:hAnsi="Arial" w:cs="Arial"/>
          <w:b/>
          <w:kern w:val="1"/>
        </w:rPr>
        <w:t xml:space="preserve"> společnost</w:t>
      </w:r>
      <w:r w:rsidR="00F20E32" w:rsidRPr="007F7BD4">
        <w:rPr>
          <w:rFonts w:ascii="Arial" w:eastAsia="SimSun" w:hAnsi="Arial" w:cs="Arial"/>
          <w:b/>
          <w:kern w:val="1"/>
        </w:rPr>
        <w:t>í</w:t>
      </w:r>
      <w:r w:rsidR="005A4048" w:rsidRPr="007F7BD4">
        <w:rPr>
          <w:rFonts w:ascii="Arial" w:eastAsia="SimSun" w:hAnsi="Arial" w:cs="Arial"/>
          <w:b/>
          <w:kern w:val="1"/>
        </w:rPr>
        <w:t xml:space="preserve"> </w:t>
      </w:r>
      <w:r w:rsidR="007A4BC1" w:rsidRPr="007F7BD4">
        <w:rPr>
          <w:rFonts w:ascii="Arial" w:eastAsia="SimSun" w:hAnsi="Arial" w:cs="Arial"/>
          <w:b/>
          <w:kern w:val="1"/>
        </w:rPr>
        <w:t>CEEC Research</w:t>
      </w:r>
      <w:r w:rsidR="008C716E">
        <w:rPr>
          <w:rFonts w:ascii="Arial" w:eastAsia="SimSun" w:hAnsi="Arial" w:cs="Arial"/>
          <w:b/>
          <w:kern w:val="1"/>
        </w:rPr>
        <w:t xml:space="preserve"> </w:t>
      </w:r>
      <w:r w:rsidR="005A4048" w:rsidRPr="00C45298">
        <w:rPr>
          <w:rFonts w:ascii="Arial" w:eastAsia="SimSun" w:hAnsi="Arial" w:cs="Arial"/>
          <w:b/>
          <w:kern w:val="1"/>
        </w:rPr>
        <w:t xml:space="preserve">na základě dat uveřejněných </w:t>
      </w:r>
      <w:r w:rsidR="003A6F3A" w:rsidRPr="00C45298">
        <w:rPr>
          <w:rFonts w:ascii="Arial" w:eastAsia="SimSun" w:hAnsi="Arial" w:cs="Arial"/>
          <w:b/>
          <w:kern w:val="1"/>
        </w:rPr>
        <w:t xml:space="preserve">na </w:t>
      </w:r>
      <w:r w:rsidR="00D11C20">
        <w:rPr>
          <w:rFonts w:ascii="Arial" w:eastAsia="SimSun" w:hAnsi="Arial" w:cs="Arial"/>
          <w:b/>
          <w:kern w:val="1"/>
        </w:rPr>
        <w:t xml:space="preserve">konci prosince </w:t>
      </w:r>
      <w:r w:rsidR="00F20E32" w:rsidRPr="00C45298">
        <w:rPr>
          <w:rFonts w:ascii="Arial" w:eastAsia="SimSun" w:hAnsi="Arial" w:cs="Arial"/>
          <w:b/>
          <w:kern w:val="1"/>
        </w:rPr>
        <w:t xml:space="preserve">2014 </w:t>
      </w:r>
      <w:r w:rsidR="005A4048" w:rsidRPr="00C45298">
        <w:rPr>
          <w:rFonts w:ascii="Arial" w:eastAsia="SimSun" w:hAnsi="Arial" w:cs="Arial"/>
          <w:b/>
          <w:kern w:val="1"/>
        </w:rPr>
        <w:t>ve Věstníku veřejných zakázek</w:t>
      </w:r>
      <w:r w:rsidR="000D031A" w:rsidRPr="00C45298">
        <w:rPr>
          <w:rFonts w:ascii="Arial" w:eastAsia="SimSun" w:hAnsi="Arial" w:cs="Arial"/>
          <w:b/>
          <w:kern w:val="1"/>
        </w:rPr>
        <w:t>.</w:t>
      </w:r>
      <w:r w:rsidR="00672B96" w:rsidRPr="00C45298">
        <w:rPr>
          <w:rFonts w:ascii="Arial" w:eastAsia="SimSun" w:hAnsi="Arial" w:cs="Arial"/>
          <w:b/>
          <w:kern w:val="1"/>
        </w:rPr>
        <w:t xml:space="preserve"> </w:t>
      </w:r>
    </w:p>
    <w:p w:rsidR="009522FC" w:rsidRDefault="009522FC" w:rsidP="0054748B">
      <w:pPr>
        <w:spacing w:after="0" w:line="360" w:lineRule="auto"/>
        <w:jc w:val="both"/>
        <w:rPr>
          <w:rFonts w:ascii="Arial" w:hAnsi="Arial" w:cs="Arial"/>
        </w:rPr>
      </w:pPr>
    </w:p>
    <w:p w:rsidR="00FB5A6A" w:rsidRDefault="00FB5A6A" w:rsidP="0084430B">
      <w:pPr>
        <w:spacing w:after="0" w:line="360" w:lineRule="auto"/>
        <w:jc w:val="both"/>
        <w:rPr>
          <w:rFonts w:ascii="Arial" w:hAnsi="Arial" w:cs="Arial"/>
        </w:rPr>
      </w:pPr>
    </w:p>
    <w:p w:rsidR="003D52F2" w:rsidRPr="00F3095E" w:rsidRDefault="00A20750" w:rsidP="0084430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Přibývá p</w:t>
      </w:r>
      <w:r w:rsidR="00410FFE">
        <w:rPr>
          <w:rFonts w:ascii="Arial" w:hAnsi="Arial" w:cs="Arial"/>
        </w:rPr>
        <w:t xml:space="preserve">rojektových zakázek, </w:t>
      </w:r>
      <w:r>
        <w:rPr>
          <w:rFonts w:ascii="Arial" w:hAnsi="Arial" w:cs="Arial"/>
        </w:rPr>
        <w:t xml:space="preserve">jejichž vyhlašování </w:t>
      </w:r>
      <w:r w:rsidR="00410FFE">
        <w:rPr>
          <w:rFonts w:ascii="Arial" w:hAnsi="Arial" w:cs="Arial"/>
        </w:rPr>
        <w:t>byl</w:t>
      </w:r>
      <w:r>
        <w:rPr>
          <w:rFonts w:ascii="Arial" w:hAnsi="Arial" w:cs="Arial"/>
        </w:rPr>
        <w:t>o</w:t>
      </w:r>
      <w:r w:rsidR="00410FFE">
        <w:rPr>
          <w:rFonts w:ascii="Arial" w:hAnsi="Arial" w:cs="Arial"/>
        </w:rPr>
        <w:t xml:space="preserve"> v </w:t>
      </w:r>
      <w:r>
        <w:rPr>
          <w:rFonts w:ascii="Arial" w:hAnsi="Arial" w:cs="Arial"/>
        </w:rPr>
        <w:t xml:space="preserve">minulém období </w:t>
      </w:r>
      <w:r w:rsidR="00410FFE">
        <w:rPr>
          <w:rFonts w:ascii="Arial" w:hAnsi="Arial" w:cs="Arial"/>
        </w:rPr>
        <w:t>téměř zastaven</w:t>
      </w:r>
      <w:r>
        <w:rPr>
          <w:rFonts w:ascii="Arial" w:hAnsi="Arial" w:cs="Arial"/>
        </w:rPr>
        <w:t>o.</w:t>
      </w:r>
      <w:r w:rsidR="00410FFE">
        <w:rPr>
          <w:rFonts w:ascii="Arial" w:hAnsi="Arial" w:cs="Arial"/>
        </w:rPr>
        <w:t xml:space="preserve"> Za loňský rok jich veřejné úřady vypsaly celkem 231, což je </w:t>
      </w:r>
      <w:r w:rsidR="003E2666">
        <w:rPr>
          <w:rFonts w:ascii="Arial" w:hAnsi="Arial" w:cs="Arial"/>
        </w:rPr>
        <w:t xml:space="preserve">ale </w:t>
      </w:r>
      <w:r w:rsidR="00410FFE">
        <w:rPr>
          <w:rFonts w:ascii="Arial" w:hAnsi="Arial" w:cs="Arial"/>
        </w:rPr>
        <w:t>o čtvrtinu (27,6 procenta) více</w:t>
      </w:r>
      <w:r>
        <w:rPr>
          <w:rFonts w:ascii="Arial" w:hAnsi="Arial" w:cs="Arial"/>
        </w:rPr>
        <w:t>,</w:t>
      </w:r>
      <w:r w:rsidR="00410FFE">
        <w:rPr>
          <w:rFonts w:ascii="Arial" w:hAnsi="Arial" w:cs="Arial"/>
        </w:rPr>
        <w:t xml:space="preserve"> než v roce 2013</w:t>
      </w:r>
      <w:r>
        <w:rPr>
          <w:rFonts w:ascii="Arial" w:hAnsi="Arial" w:cs="Arial"/>
        </w:rPr>
        <w:t>, a</w:t>
      </w:r>
      <w:r w:rsidR="00410FFE">
        <w:rPr>
          <w:rFonts w:ascii="Arial" w:hAnsi="Arial" w:cs="Arial"/>
        </w:rPr>
        <w:t xml:space="preserve"> </w:t>
      </w:r>
      <w:r w:rsidR="0080517C">
        <w:rPr>
          <w:rFonts w:ascii="Arial" w:hAnsi="Arial" w:cs="Arial"/>
        </w:rPr>
        <w:t>j</w:t>
      </w:r>
      <w:r w:rsidR="00410FFE">
        <w:rPr>
          <w:rFonts w:ascii="Arial" w:hAnsi="Arial" w:cs="Arial"/>
        </w:rPr>
        <w:t>ejich hodnota byla dokonce téměř dvojnásobná (nárůst o 92,9 procenta). Ve Věstníku veřejných zakázek našly projekční a architektonické kanceláře soutě</w:t>
      </w:r>
      <w:r w:rsidR="008723C5">
        <w:rPr>
          <w:rFonts w:ascii="Arial" w:hAnsi="Arial" w:cs="Arial"/>
        </w:rPr>
        <w:t xml:space="preserve">že za celkem 3,5 miliardy korun, </w:t>
      </w:r>
      <w:r w:rsidR="008723C5" w:rsidRPr="008723C5">
        <w:rPr>
          <w:rFonts w:ascii="Arial" w:hAnsi="Arial" w:cs="Arial"/>
        </w:rPr>
        <w:t xml:space="preserve">které se budou </w:t>
      </w:r>
      <w:r>
        <w:rPr>
          <w:rFonts w:ascii="Arial" w:hAnsi="Arial" w:cs="Arial"/>
        </w:rPr>
        <w:t>s</w:t>
      </w:r>
      <w:r w:rsidR="0080517C">
        <w:rPr>
          <w:rFonts w:ascii="Arial" w:hAnsi="Arial" w:cs="Arial"/>
        </w:rPr>
        <w:t> postupující přípravou projektů</w:t>
      </w:r>
      <w:r w:rsidR="008723C5" w:rsidRPr="008723C5">
        <w:rPr>
          <w:rFonts w:ascii="Arial" w:hAnsi="Arial" w:cs="Arial"/>
        </w:rPr>
        <w:t xml:space="preserve"> čerpat v následujících letech</w:t>
      </w:r>
      <w:r w:rsidR="0080517C">
        <w:rPr>
          <w:rFonts w:ascii="Arial" w:hAnsi="Arial" w:cs="Arial"/>
        </w:rPr>
        <w:t xml:space="preserve">. </w:t>
      </w:r>
      <w:r w:rsidR="0080517C" w:rsidRPr="0080517C">
        <w:rPr>
          <w:rFonts w:ascii="Arial" w:hAnsi="Arial" w:cs="Arial"/>
          <w:i/>
        </w:rPr>
        <w:t xml:space="preserve">„Projektové firmy realizující zakázky pro SŽDC již v některých případech hlásí téměř plné kapacity. Nejnovější údaje ale zároveň ukazují, že se podařilo zlepšit vypisování nových projektových zakázek i na ŘSD. Pokud se podaří tato výběrová řízení efektivně </w:t>
      </w:r>
      <w:proofErr w:type="spellStart"/>
      <w:r w:rsidR="0080517C" w:rsidRPr="0080517C">
        <w:rPr>
          <w:rFonts w:ascii="Arial" w:hAnsi="Arial" w:cs="Arial"/>
          <w:i/>
        </w:rPr>
        <w:t>zprocesovat</w:t>
      </w:r>
      <w:proofErr w:type="spellEnd"/>
      <w:r w:rsidR="0080517C" w:rsidRPr="0080517C">
        <w:rPr>
          <w:rFonts w:ascii="Arial" w:hAnsi="Arial" w:cs="Arial"/>
          <w:i/>
        </w:rPr>
        <w:t>, zakázky zadat a zrealizovat, mohlo by znatelně přibýt práce na silnicích a dálnicích pro stavební firmy,“</w:t>
      </w:r>
      <w:r w:rsidR="0080517C">
        <w:rPr>
          <w:rFonts w:ascii="Arial" w:hAnsi="Arial" w:cs="Arial"/>
        </w:rPr>
        <w:t xml:space="preserve"> říká </w:t>
      </w:r>
      <w:r w:rsidR="0080517C" w:rsidRPr="0080517C">
        <w:rPr>
          <w:rFonts w:ascii="Arial" w:hAnsi="Arial" w:cs="Arial"/>
          <w:b/>
          <w:i/>
        </w:rPr>
        <w:t>Jiří Vacek, ředitel analytické společnosti CEEC Research.</w:t>
      </w:r>
      <w:r w:rsidR="0080517C">
        <w:rPr>
          <w:rFonts w:ascii="Arial" w:hAnsi="Arial" w:cs="Arial"/>
          <w:b/>
          <w:i/>
        </w:rPr>
        <w:t xml:space="preserve"> </w:t>
      </w:r>
      <w:r w:rsidR="004650F4" w:rsidRPr="004650F4">
        <w:rPr>
          <w:rFonts w:ascii="Arial" w:hAnsi="Arial" w:cs="Arial"/>
          <w:i/>
        </w:rPr>
        <w:t xml:space="preserve">„Mohu potvrdit, že v přípravě projektů pro stavby dopravní infrastruktury financované státem, resp. připravované pro kofinancování z evropských zdrojů, se skutečně blýská na lepší časy. Koncem loňského roku ukončilo MD ČR posuzování efektivity většiny rozhodujících staveb zařazených do plánu financování pro období 2014 až 2020 a uvolnilo je k dalšímu projekčnímu rozpracování. V současné době </w:t>
      </w:r>
      <w:r w:rsidRPr="004650F4">
        <w:rPr>
          <w:rFonts w:ascii="Arial" w:hAnsi="Arial" w:cs="Arial"/>
          <w:i/>
        </w:rPr>
        <w:t xml:space="preserve">má </w:t>
      </w:r>
      <w:r w:rsidR="004650F4" w:rsidRPr="004650F4">
        <w:rPr>
          <w:rFonts w:ascii="Arial" w:hAnsi="Arial" w:cs="Arial"/>
          <w:i/>
        </w:rPr>
        <w:t>ŘSD ČR v různých etapách rozpracov</w:t>
      </w:r>
      <w:r>
        <w:rPr>
          <w:rFonts w:ascii="Arial" w:hAnsi="Arial" w:cs="Arial"/>
          <w:i/>
        </w:rPr>
        <w:t>aná</w:t>
      </w:r>
      <w:r w:rsidR="004650F4" w:rsidRPr="004650F4">
        <w:rPr>
          <w:rFonts w:ascii="Arial" w:hAnsi="Arial" w:cs="Arial"/>
          <w:i/>
        </w:rPr>
        <w:t xml:space="preserve"> výběrová řízení na dodávku projektových a inženýrských služeb za více než 900 mil. Kč. Zdá se tedy, že po úspěšném ukončení výběrových řízení by měl trh projektových prací pocítit silný impuls a oživení v podobě zahájení prací, které téměř 5 let </w:t>
      </w:r>
      <w:r w:rsidR="004650F4" w:rsidRPr="004650F4">
        <w:rPr>
          <w:rFonts w:ascii="Arial" w:hAnsi="Arial" w:cs="Arial"/>
          <w:i/>
        </w:rPr>
        <w:lastRenderedPageBreak/>
        <w:t xml:space="preserve">stály. </w:t>
      </w:r>
      <w:r>
        <w:rPr>
          <w:rFonts w:ascii="Arial" w:hAnsi="Arial" w:cs="Arial"/>
          <w:i/>
        </w:rPr>
        <w:t>Bude velmi záležet n</w:t>
      </w:r>
      <w:r w:rsidR="004650F4" w:rsidRPr="004650F4">
        <w:rPr>
          <w:rFonts w:ascii="Arial" w:hAnsi="Arial" w:cs="Arial"/>
          <w:i/>
        </w:rPr>
        <w:t xml:space="preserve">a rychlosti, </w:t>
      </w:r>
      <w:r>
        <w:rPr>
          <w:rFonts w:ascii="Arial" w:hAnsi="Arial" w:cs="Arial"/>
          <w:i/>
        </w:rPr>
        <w:t>s jakou</w:t>
      </w:r>
      <w:r w:rsidRPr="004650F4">
        <w:rPr>
          <w:rFonts w:ascii="Arial" w:hAnsi="Arial" w:cs="Arial"/>
          <w:i/>
        </w:rPr>
        <w:t xml:space="preserve"> nabídková řízení</w:t>
      </w:r>
      <w:r>
        <w:rPr>
          <w:rFonts w:ascii="Arial" w:hAnsi="Arial" w:cs="Arial"/>
          <w:i/>
        </w:rPr>
        <w:t xml:space="preserve"> </w:t>
      </w:r>
      <w:r w:rsidR="004650F4" w:rsidRPr="004650F4">
        <w:rPr>
          <w:rFonts w:ascii="Arial" w:hAnsi="Arial" w:cs="Arial"/>
          <w:i/>
        </w:rPr>
        <w:t>proběhnou</w:t>
      </w:r>
      <w:r>
        <w:rPr>
          <w:rFonts w:ascii="Arial" w:hAnsi="Arial" w:cs="Arial"/>
          <w:i/>
        </w:rPr>
        <w:t>,</w:t>
      </w:r>
      <w:r w:rsidR="004650F4" w:rsidRPr="004650F4">
        <w:rPr>
          <w:rFonts w:ascii="Arial" w:hAnsi="Arial" w:cs="Arial"/>
          <w:i/>
        </w:rPr>
        <w:t xml:space="preserve"> </w:t>
      </w:r>
      <w:r w:rsidR="00E6646F">
        <w:rPr>
          <w:rFonts w:ascii="Arial" w:hAnsi="Arial" w:cs="Arial"/>
          <w:i/>
        </w:rPr>
        <w:t xml:space="preserve">jak rychle </w:t>
      </w:r>
      <w:r w:rsidR="004650F4" w:rsidRPr="004650F4">
        <w:rPr>
          <w:rFonts w:ascii="Arial" w:hAnsi="Arial" w:cs="Arial"/>
          <w:i/>
        </w:rPr>
        <w:t>zadavatel vybere nejvhodnější nabídky, uzavře smluvní vztahy s vybranými zhotoviteli</w:t>
      </w:r>
      <w:r w:rsidR="003E2666">
        <w:rPr>
          <w:rFonts w:ascii="Arial" w:hAnsi="Arial" w:cs="Arial"/>
          <w:i/>
        </w:rPr>
        <w:t>,</w:t>
      </w:r>
      <w:r w:rsidR="004650F4" w:rsidRPr="004650F4">
        <w:rPr>
          <w:rFonts w:ascii="Arial" w:hAnsi="Arial" w:cs="Arial"/>
          <w:i/>
        </w:rPr>
        <w:t xml:space="preserve"> a také na době, kterou bude potřebovat k vydání pokynu k zahájení prací</w:t>
      </w:r>
      <w:r w:rsidR="00E6646F">
        <w:rPr>
          <w:rFonts w:ascii="Arial" w:hAnsi="Arial" w:cs="Arial"/>
          <w:i/>
        </w:rPr>
        <w:t>.</w:t>
      </w:r>
      <w:r w:rsidR="004650F4" w:rsidRPr="004650F4">
        <w:rPr>
          <w:rFonts w:ascii="Arial" w:hAnsi="Arial" w:cs="Arial"/>
          <w:i/>
        </w:rPr>
        <w:t xml:space="preserve"> Jakékoliv prodlení v této věci by definitivně pohřbilo všechny naděje na vyčerpání evropských dotací v druhém období finanční pomoci EU. Není za pět minut dvanáct </w:t>
      </w:r>
      <w:r w:rsidR="00E6646F">
        <w:rPr>
          <w:rFonts w:ascii="Arial" w:hAnsi="Arial" w:cs="Arial"/>
          <w:i/>
        </w:rPr>
        <w:t>–</w:t>
      </w:r>
      <w:r w:rsidR="004650F4" w:rsidRPr="004650F4">
        <w:rPr>
          <w:rFonts w:ascii="Arial" w:hAnsi="Arial" w:cs="Arial"/>
          <w:i/>
        </w:rPr>
        <w:t xml:space="preserve"> je pět minut po dvanácté,“</w:t>
      </w:r>
      <w:r w:rsidR="004650F4">
        <w:rPr>
          <w:rFonts w:ascii="Arial" w:hAnsi="Arial" w:cs="Arial"/>
        </w:rPr>
        <w:t xml:space="preserve"> </w:t>
      </w:r>
      <w:r w:rsidR="00E6646F">
        <w:rPr>
          <w:rFonts w:ascii="Arial" w:hAnsi="Arial" w:cs="Arial"/>
        </w:rPr>
        <w:t xml:space="preserve">upozorňuje </w:t>
      </w:r>
      <w:r w:rsidR="004650F4" w:rsidRPr="004650F4">
        <w:rPr>
          <w:rFonts w:ascii="Arial" w:hAnsi="Arial" w:cs="Arial"/>
          <w:b/>
          <w:i/>
        </w:rPr>
        <w:t>Radovan Hrnčíř, ředitel a jednatel společnosti HBH Projekt</w:t>
      </w:r>
      <w:r w:rsidR="00E6646F">
        <w:rPr>
          <w:rFonts w:ascii="Arial" w:hAnsi="Arial" w:cs="Arial"/>
          <w:b/>
          <w:i/>
        </w:rPr>
        <w:t>,</w:t>
      </w:r>
      <w:r w:rsidR="004650F4" w:rsidRPr="004650F4">
        <w:rPr>
          <w:rFonts w:ascii="Arial" w:hAnsi="Arial" w:cs="Arial"/>
          <w:b/>
          <w:i/>
        </w:rPr>
        <w:t xml:space="preserve"> spol. s r.o.</w:t>
      </w:r>
      <w:r w:rsidR="00F3095E">
        <w:rPr>
          <w:rFonts w:ascii="Arial" w:hAnsi="Arial" w:cs="Arial"/>
        </w:rPr>
        <w:t xml:space="preserve"> </w:t>
      </w:r>
      <w:r w:rsidR="00F3095E">
        <w:rPr>
          <w:rFonts w:ascii="Arial" w:hAnsi="Arial" w:cs="Arial"/>
        </w:rPr>
        <w:t>„</w:t>
      </w:r>
      <w:r w:rsidR="00F3095E" w:rsidRPr="0080517C">
        <w:rPr>
          <w:rFonts w:ascii="Arial" w:hAnsi="Arial" w:cs="Arial"/>
          <w:i/>
        </w:rPr>
        <w:t>Dlouhodobě kritizovaná projekční a stavební nepřipravenost veřejných investic v oblasti infrastruktury je jedním ze zásadních důvodů propadu stavebního trhu a dlouhodobé neschopnosti efektivně čerpat národní i evropské finanční zdroje. Navýšení prostředků do projekční přípravy spolu s intenzivní územní přípravou a podporou legislativních změn jsou nezbytné kroky, které ale s ohledem na složitost celého investičního procesu budou mít významnější vliv na oživení stavebního trhu až od r.</w:t>
      </w:r>
      <w:r w:rsidR="00A0326A">
        <w:rPr>
          <w:rFonts w:ascii="Arial" w:hAnsi="Arial" w:cs="Arial"/>
          <w:i/>
        </w:rPr>
        <w:t xml:space="preserve"> </w:t>
      </w:r>
      <w:r w:rsidR="00F3095E" w:rsidRPr="0080517C">
        <w:rPr>
          <w:rFonts w:ascii="Arial" w:hAnsi="Arial" w:cs="Arial"/>
          <w:i/>
        </w:rPr>
        <w:t>2016. Je to nepochybně pozitivní trend, který zohledňujeme při strategických úvahách o rozvoji výrobních a technologických kapacit společnosti HOCHTIEF,“</w:t>
      </w:r>
      <w:r w:rsidR="00F3095E">
        <w:rPr>
          <w:rFonts w:ascii="Arial" w:hAnsi="Arial" w:cs="Arial"/>
        </w:rPr>
        <w:t xml:space="preserve"> </w:t>
      </w:r>
      <w:r w:rsidR="00F3095E" w:rsidRPr="0080517C">
        <w:rPr>
          <w:rFonts w:ascii="Arial" w:hAnsi="Arial" w:cs="Arial"/>
        </w:rPr>
        <w:t xml:space="preserve">doplňuje </w:t>
      </w:r>
      <w:r w:rsidR="00F3095E" w:rsidRPr="0080517C">
        <w:rPr>
          <w:rFonts w:ascii="Arial" w:hAnsi="Arial" w:cs="Arial"/>
          <w:b/>
          <w:i/>
        </w:rPr>
        <w:t>Tomáš Koranda, člen představenstva společnosti HOCHTIEF CZ a. s.</w:t>
      </w:r>
    </w:p>
    <w:p w:rsidR="00FB74B4" w:rsidRDefault="00FB74B4" w:rsidP="0084430B">
      <w:pPr>
        <w:spacing w:after="0" w:line="360" w:lineRule="auto"/>
        <w:jc w:val="both"/>
        <w:rPr>
          <w:rFonts w:ascii="Arial" w:hAnsi="Arial" w:cs="Arial"/>
        </w:rPr>
      </w:pPr>
    </w:p>
    <w:p w:rsidR="00FB74B4" w:rsidRPr="0080517C" w:rsidRDefault="00FB74B4" w:rsidP="004650F4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Z těchto výběrových řízení byla zatím úspěšně uzavřena pouhá pětina (0,8 miliardy korun). Výsledná </w:t>
      </w:r>
      <w:proofErr w:type="spellStart"/>
      <w:r>
        <w:rPr>
          <w:rFonts w:ascii="Arial" w:hAnsi="Arial" w:cs="Arial"/>
        </w:rPr>
        <w:t>vysoutěžená</w:t>
      </w:r>
      <w:proofErr w:type="spellEnd"/>
      <w:r>
        <w:rPr>
          <w:rFonts w:ascii="Arial" w:hAnsi="Arial" w:cs="Arial"/>
        </w:rPr>
        <w:t xml:space="preserve"> cena byla navíc o 20 procent nižší než předpokládali zadavatelé. Mezi dodavatele projektů tak zatím přišlo pouhých 600 milionů korun. Další pětina soutěží byla zadavatel</w:t>
      </w:r>
      <w:r w:rsidR="00E6646F">
        <w:rPr>
          <w:rFonts w:ascii="Arial" w:hAnsi="Arial" w:cs="Arial"/>
        </w:rPr>
        <w:t>em</w:t>
      </w:r>
      <w:r>
        <w:rPr>
          <w:rFonts w:ascii="Arial" w:hAnsi="Arial" w:cs="Arial"/>
        </w:rPr>
        <w:t xml:space="preserve"> zrušena. </w:t>
      </w:r>
      <w:r w:rsidR="006820C2">
        <w:rPr>
          <w:rFonts w:ascii="Arial" w:hAnsi="Arial" w:cs="Arial"/>
          <w:i/>
        </w:rPr>
        <w:t>„</w:t>
      </w:r>
      <w:r w:rsidR="007C2E9D" w:rsidRPr="007C2E9D">
        <w:rPr>
          <w:rFonts w:ascii="Arial" w:hAnsi="Arial" w:cs="Arial"/>
          <w:i/>
        </w:rPr>
        <w:t>V minulém roce jsme i my zaznamenali větší množství zajímavých projektových zakázek. Procento těch, které jsou následně zadány k realizaci, je ale bohužel mizivé. Navíc rychlost vyhotovení, kterou veřejný investor často po projekčních a architektonických společnostech vyžaduje, vede k nedůslednému zpracování a často následně generuje vícenáklady pro dodavatele i samotného investora</w:t>
      </w:r>
      <w:r w:rsidR="006820C2">
        <w:rPr>
          <w:rFonts w:ascii="Arial" w:hAnsi="Arial" w:cs="Arial"/>
          <w:i/>
        </w:rPr>
        <w:t>,“</w:t>
      </w:r>
      <w:r w:rsidR="006820C2">
        <w:rPr>
          <w:rFonts w:ascii="Arial" w:hAnsi="Arial" w:cs="Arial"/>
        </w:rPr>
        <w:t xml:space="preserve"> vysvětluje </w:t>
      </w:r>
      <w:r w:rsidR="006820C2">
        <w:rPr>
          <w:rFonts w:ascii="Arial" w:hAnsi="Arial" w:cs="Arial"/>
          <w:b/>
          <w:i/>
        </w:rPr>
        <w:t>Vladimír Steiner, provozní ředitel společnosti Schindler CZ.</w:t>
      </w:r>
      <w:r w:rsidR="004650F4">
        <w:rPr>
          <w:rFonts w:ascii="Arial" w:hAnsi="Arial" w:cs="Arial"/>
        </w:rPr>
        <w:t xml:space="preserve"> </w:t>
      </w:r>
      <w:r w:rsidR="004650F4" w:rsidRPr="004650F4">
        <w:rPr>
          <w:rFonts w:ascii="Arial" w:hAnsi="Arial" w:cs="Arial"/>
          <w:i/>
        </w:rPr>
        <w:t>„Z komentáře k statistickým datům by se dal dovodit mírný optimismus, že propad byl zastaven a stavebnictví míří ke světlým zítřkům. Ale zakázek v pozemním stavitelství nijak viditelně nepřibylo, navíc se nezměnil způsob vypisování</w:t>
      </w:r>
      <w:r w:rsidR="00312535">
        <w:rPr>
          <w:rFonts w:ascii="Arial" w:hAnsi="Arial" w:cs="Arial"/>
          <w:i/>
        </w:rPr>
        <w:t>:</w:t>
      </w:r>
      <w:r w:rsidR="004650F4" w:rsidRPr="004650F4">
        <w:rPr>
          <w:rFonts w:ascii="Arial" w:hAnsi="Arial" w:cs="Arial"/>
          <w:i/>
        </w:rPr>
        <w:t xml:space="preserve"> žádné kvalifikace, předpokládaná </w:t>
      </w:r>
      <w:bookmarkStart w:id="0" w:name="_GoBack"/>
      <w:bookmarkEnd w:id="0"/>
      <w:r w:rsidR="004650F4" w:rsidRPr="004650F4">
        <w:rPr>
          <w:rFonts w:ascii="Arial" w:hAnsi="Arial" w:cs="Arial"/>
          <w:i/>
        </w:rPr>
        <w:t>cena je snížena oproti ceníkům o 20</w:t>
      </w:r>
      <w:r w:rsidR="003E2666">
        <w:rPr>
          <w:rFonts w:ascii="Arial" w:hAnsi="Arial" w:cs="Arial"/>
          <w:i/>
        </w:rPr>
        <w:t>–</w:t>
      </w:r>
      <w:r w:rsidR="004650F4" w:rsidRPr="004650F4">
        <w:rPr>
          <w:rFonts w:ascii="Arial" w:hAnsi="Arial" w:cs="Arial"/>
          <w:i/>
        </w:rPr>
        <w:t>30</w:t>
      </w:r>
      <w:r w:rsidR="003E2666">
        <w:rPr>
          <w:rFonts w:ascii="Arial" w:hAnsi="Arial" w:cs="Arial"/>
          <w:i/>
        </w:rPr>
        <w:t xml:space="preserve"> </w:t>
      </w:r>
      <w:r w:rsidR="004650F4" w:rsidRPr="004650F4">
        <w:rPr>
          <w:rFonts w:ascii="Arial" w:hAnsi="Arial" w:cs="Arial"/>
          <w:i/>
        </w:rPr>
        <w:t>%, parametr</w:t>
      </w:r>
      <w:r w:rsidR="00312535">
        <w:rPr>
          <w:rFonts w:ascii="Arial" w:hAnsi="Arial" w:cs="Arial"/>
          <w:i/>
        </w:rPr>
        <w:t>em</w:t>
      </w:r>
      <w:r w:rsidR="004650F4" w:rsidRPr="004650F4">
        <w:rPr>
          <w:rFonts w:ascii="Arial" w:hAnsi="Arial" w:cs="Arial"/>
          <w:i/>
        </w:rPr>
        <w:t xml:space="preserve"> výběru </w:t>
      </w:r>
      <w:r w:rsidR="00312535">
        <w:rPr>
          <w:rFonts w:ascii="Arial" w:hAnsi="Arial" w:cs="Arial"/>
          <w:i/>
        </w:rPr>
        <w:t xml:space="preserve">je </w:t>
      </w:r>
      <w:r w:rsidR="004650F4" w:rsidRPr="004650F4">
        <w:rPr>
          <w:rFonts w:ascii="Arial" w:hAnsi="Arial" w:cs="Arial"/>
          <w:i/>
        </w:rPr>
        <w:t>nejnižší cena</w:t>
      </w:r>
      <w:r w:rsidR="00312535">
        <w:rPr>
          <w:rFonts w:ascii="Arial" w:hAnsi="Arial" w:cs="Arial"/>
          <w:i/>
        </w:rPr>
        <w:t>.</w:t>
      </w:r>
      <w:r w:rsidR="004650F4" w:rsidRPr="004650F4">
        <w:rPr>
          <w:rFonts w:ascii="Arial" w:hAnsi="Arial" w:cs="Arial"/>
          <w:i/>
        </w:rPr>
        <w:t xml:space="preserve"> </w:t>
      </w:r>
      <w:r w:rsidR="00312535">
        <w:rPr>
          <w:rFonts w:ascii="Arial" w:hAnsi="Arial" w:cs="Arial"/>
          <w:i/>
        </w:rPr>
        <w:t>A</w:t>
      </w:r>
      <w:r w:rsidR="004650F4" w:rsidRPr="004650F4">
        <w:rPr>
          <w:rFonts w:ascii="Arial" w:hAnsi="Arial" w:cs="Arial"/>
          <w:i/>
        </w:rPr>
        <w:t xml:space="preserve"> výsledek? Nesmyslná cena mnohdy hluboce pod náklady. Je s</w:t>
      </w:r>
      <w:r w:rsidR="00312535">
        <w:rPr>
          <w:rFonts w:ascii="Arial" w:hAnsi="Arial" w:cs="Arial"/>
          <w:i/>
        </w:rPr>
        <w:t> </w:t>
      </w:r>
      <w:r w:rsidR="004650F4" w:rsidRPr="004650F4">
        <w:rPr>
          <w:rFonts w:ascii="Arial" w:hAnsi="Arial" w:cs="Arial"/>
          <w:i/>
        </w:rPr>
        <w:t>podivem</w:t>
      </w:r>
      <w:r w:rsidR="00312535">
        <w:rPr>
          <w:rFonts w:ascii="Arial" w:hAnsi="Arial" w:cs="Arial"/>
          <w:i/>
        </w:rPr>
        <w:t>,</w:t>
      </w:r>
      <w:r w:rsidR="004650F4" w:rsidRPr="004650F4">
        <w:rPr>
          <w:rFonts w:ascii="Arial" w:hAnsi="Arial" w:cs="Arial"/>
          <w:i/>
        </w:rPr>
        <w:t xml:space="preserve"> kolik </w:t>
      </w:r>
      <w:r w:rsidR="00312535">
        <w:rPr>
          <w:rFonts w:ascii="Arial" w:hAnsi="Arial" w:cs="Arial"/>
          <w:i/>
        </w:rPr>
        <w:t xml:space="preserve">toho </w:t>
      </w:r>
      <w:r w:rsidR="004650F4" w:rsidRPr="004650F4">
        <w:rPr>
          <w:rFonts w:ascii="Arial" w:hAnsi="Arial" w:cs="Arial"/>
          <w:i/>
        </w:rPr>
        <w:t>již na dané téma bylo vyřčeno a jak málo (respektive prakticky nic) bylo v této oblasti vykonáno. Zadavatel si myje ruce – já to zadal transparentně podle zákona, vše mám ošetřené ve smlouvě</w:t>
      </w:r>
      <w:r w:rsidR="00312535">
        <w:rPr>
          <w:rFonts w:ascii="Arial" w:hAnsi="Arial" w:cs="Arial"/>
          <w:i/>
        </w:rPr>
        <w:t>,</w:t>
      </w:r>
      <w:r w:rsidR="004650F4" w:rsidRPr="004650F4">
        <w:rPr>
          <w:rFonts w:ascii="Arial" w:hAnsi="Arial" w:cs="Arial"/>
          <w:i/>
        </w:rPr>
        <w:t xml:space="preserve"> atd. Případné ztráty či škody si vymůžeme na projektantovi, však on je na to pojištěn a navíc podepsal </w:t>
      </w:r>
      <w:r w:rsidR="00312535" w:rsidRPr="0080517C">
        <w:rPr>
          <w:rFonts w:ascii="Arial" w:hAnsi="Arial" w:cs="Arial"/>
          <w:i/>
        </w:rPr>
        <w:t>‘</w:t>
      </w:r>
      <w:r w:rsidR="004650F4" w:rsidRPr="004650F4">
        <w:rPr>
          <w:rFonts w:ascii="Arial" w:hAnsi="Arial" w:cs="Arial"/>
          <w:i/>
        </w:rPr>
        <w:t>ze svobodné vůle</w:t>
      </w:r>
      <w:r w:rsidR="00312535">
        <w:rPr>
          <w:rFonts w:ascii="Arial" w:hAnsi="Arial" w:cs="Arial"/>
          <w:i/>
        </w:rPr>
        <w:t xml:space="preserve">‘, </w:t>
      </w:r>
      <w:r w:rsidR="004650F4" w:rsidRPr="004650F4">
        <w:rPr>
          <w:rFonts w:ascii="Arial" w:hAnsi="Arial" w:cs="Arial"/>
          <w:i/>
        </w:rPr>
        <w:t xml:space="preserve">… Stále stejná </w:t>
      </w:r>
      <w:r w:rsidR="004650F4" w:rsidRPr="004650F4">
        <w:rPr>
          <w:rFonts w:ascii="Arial" w:hAnsi="Arial" w:cs="Arial"/>
          <w:i/>
        </w:rPr>
        <w:lastRenderedPageBreak/>
        <w:t>rétorika. Co může taková dokumentace</w:t>
      </w:r>
      <w:r w:rsidR="00312535">
        <w:rPr>
          <w:rFonts w:ascii="Arial" w:hAnsi="Arial" w:cs="Arial"/>
          <w:i/>
        </w:rPr>
        <w:t xml:space="preserve"> </w:t>
      </w:r>
      <w:r w:rsidR="00312535" w:rsidRPr="004650F4">
        <w:rPr>
          <w:rFonts w:ascii="Arial" w:hAnsi="Arial" w:cs="Arial"/>
          <w:i/>
        </w:rPr>
        <w:t>přinést</w:t>
      </w:r>
      <w:r w:rsidR="004650F4" w:rsidRPr="004650F4">
        <w:rPr>
          <w:rFonts w:ascii="Arial" w:hAnsi="Arial" w:cs="Arial"/>
          <w:i/>
        </w:rPr>
        <w:t xml:space="preserve">? Pouze problémy pro všechny zúčastněné. Jedním z mnoha problémů stavebnictví je absence zdravého rozumu a alibismus zadavatelů </w:t>
      </w:r>
      <w:r w:rsidR="00C86AB5">
        <w:rPr>
          <w:rFonts w:ascii="Arial" w:hAnsi="Arial" w:cs="Arial"/>
          <w:i/>
        </w:rPr>
        <w:t>držících se hesla</w:t>
      </w:r>
      <w:r w:rsidR="004650F4" w:rsidRPr="004650F4">
        <w:rPr>
          <w:rFonts w:ascii="Arial" w:hAnsi="Arial" w:cs="Arial"/>
          <w:i/>
        </w:rPr>
        <w:t xml:space="preserve"> </w:t>
      </w:r>
      <w:r w:rsidR="00312535">
        <w:rPr>
          <w:rFonts w:ascii="Arial" w:hAnsi="Arial" w:cs="Arial"/>
          <w:i/>
        </w:rPr>
        <w:t>‘</w:t>
      </w:r>
      <w:r w:rsidR="004650F4" w:rsidRPr="004650F4">
        <w:rPr>
          <w:rFonts w:ascii="Arial" w:hAnsi="Arial" w:cs="Arial"/>
          <w:i/>
        </w:rPr>
        <w:t>hlavně</w:t>
      </w:r>
      <w:r w:rsidR="00312535">
        <w:rPr>
          <w:rFonts w:ascii="Arial" w:hAnsi="Arial" w:cs="Arial"/>
          <w:i/>
        </w:rPr>
        <w:t>,</w:t>
      </w:r>
      <w:r w:rsidR="004650F4" w:rsidRPr="004650F4">
        <w:rPr>
          <w:rFonts w:ascii="Arial" w:hAnsi="Arial" w:cs="Arial"/>
          <w:i/>
        </w:rPr>
        <w:t xml:space="preserve"> ať mi nikdo nemůže nic vytknout,“ </w:t>
      </w:r>
      <w:r w:rsidR="00312535">
        <w:rPr>
          <w:rFonts w:ascii="Arial" w:hAnsi="Arial" w:cs="Arial"/>
        </w:rPr>
        <w:t xml:space="preserve">konstatuje </w:t>
      </w:r>
      <w:r w:rsidR="004650F4" w:rsidRPr="004650F4">
        <w:rPr>
          <w:rFonts w:ascii="Arial" w:hAnsi="Arial" w:cs="Arial"/>
          <w:b/>
          <w:i/>
        </w:rPr>
        <w:t xml:space="preserve">Ivo Kovalík, ředitel společnosti </w:t>
      </w:r>
      <w:proofErr w:type="spellStart"/>
      <w:proofErr w:type="gramStart"/>
      <w:r w:rsidR="004650F4" w:rsidRPr="004650F4">
        <w:rPr>
          <w:rFonts w:ascii="Arial" w:hAnsi="Arial" w:cs="Arial"/>
          <w:b/>
          <w:i/>
        </w:rPr>
        <w:t>Arch.Design</w:t>
      </w:r>
      <w:proofErr w:type="spellEnd"/>
      <w:proofErr w:type="gramEnd"/>
      <w:r w:rsidR="004650F4" w:rsidRPr="004650F4">
        <w:rPr>
          <w:rFonts w:ascii="Arial" w:hAnsi="Arial" w:cs="Arial"/>
          <w:b/>
          <w:i/>
        </w:rPr>
        <w:t>, s.r.o.</w:t>
      </w:r>
    </w:p>
    <w:p w:rsidR="00372C7A" w:rsidRDefault="00372C7A" w:rsidP="008723C5">
      <w:pPr>
        <w:spacing w:after="0" w:line="360" w:lineRule="auto"/>
        <w:jc w:val="both"/>
        <w:rPr>
          <w:rFonts w:ascii="Arial" w:hAnsi="Arial" w:cs="Arial"/>
        </w:rPr>
      </w:pPr>
    </w:p>
    <w:p w:rsidR="005A0E2F" w:rsidRPr="00372C7A" w:rsidRDefault="005A0E2F" w:rsidP="008723C5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Polovinu (52 procent)</w:t>
      </w:r>
      <w:r w:rsidRPr="005A0E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zakázek vypsal</w:t>
      </w:r>
      <w:r w:rsidR="008723C5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Pr="005A0E2F">
        <w:rPr>
          <w:rFonts w:ascii="Arial" w:hAnsi="Arial" w:cs="Arial"/>
        </w:rPr>
        <w:t>kraje,</w:t>
      </w:r>
      <w:r>
        <w:rPr>
          <w:rFonts w:ascii="Arial" w:hAnsi="Arial" w:cs="Arial"/>
        </w:rPr>
        <w:t xml:space="preserve"> města, obce, regionální úřady,</w:t>
      </w:r>
      <w:r w:rsidRPr="005A0E2F">
        <w:rPr>
          <w:rFonts w:ascii="Arial" w:hAnsi="Arial" w:cs="Arial"/>
        </w:rPr>
        <w:t xml:space="preserve"> správy komunikací</w:t>
      </w:r>
      <w:r>
        <w:rPr>
          <w:rFonts w:ascii="Arial" w:hAnsi="Arial" w:cs="Arial"/>
        </w:rPr>
        <w:t xml:space="preserve"> a sdružení. Třetinu (34 procent</w:t>
      </w:r>
      <w:r w:rsidRPr="005A0E2F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do Věstníku veřejných zakázek vložila </w:t>
      </w:r>
      <w:r w:rsidRPr="005A0E2F">
        <w:rPr>
          <w:rFonts w:ascii="Arial" w:hAnsi="Arial" w:cs="Arial"/>
        </w:rPr>
        <w:t>minister</w:t>
      </w:r>
      <w:r w:rsidR="00C37CD8">
        <w:rPr>
          <w:rFonts w:ascii="Arial" w:hAnsi="Arial" w:cs="Arial"/>
        </w:rPr>
        <w:t>stva a ostatní celostátní úřady,</w:t>
      </w:r>
      <w:r w:rsidRPr="005A0E2F">
        <w:rPr>
          <w:rFonts w:ascii="Arial" w:hAnsi="Arial" w:cs="Arial"/>
        </w:rPr>
        <w:t xml:space="preserve"> necelou desetinu státní podniky </w:t>
      </w:r>
      <w:r w:rsidR="00C37CD8">
        <w:rPr>
          <w:rFonts w:ascii="Arial" w:hAnsi="Arial" w:cs="Arial"/>
        </w:rPr>
        <w:t xml:space="preserve">(6 procent) </w:t>
      </w:r>
      <w:r w:rsidRPr="005A0E2F">
        <w:rPr>
          <w:rFonts w:ascii="Arial" w:hAnsi="Arial" w:cs="Arial"/>
        </w:rPr>
        <w:t xml:space="preserve">a ostatní subjekty (školy, nemocnice, církevní instituce, ČEZ, ČEPS a </w:t>
      </w:r>
      <w:r w:rsidR="00312535">
        <w:rPr>
          <w:rFonts w:ascii="Arial" w:hAnsi="Arial" w:cs="Arial"/>
        </w:rPr>
        <w:t>další</w:t>
      </w:r>
      <w:r w:rsidR="00312535" w:rsidRPr="005A0E2F">
        <w:rPr>
          <w:rFonts w:ascii="Arial" w:hAnsi="Arial" w:cs="Arial"/>
        </w:rPr>
        <w:t xml:space="preserve"> </w:t>
      </w:r>
      <w:r w:rsidRPr="005A0E2F">
        <w:rPr>
          <w:rFonts w:ascii="Arial" w:hAnsi="Arial" w:cs="Arial"/>
        </w:rPr>
        <w:t>akciové společnosti a společnosti s ručením omezeným</w:t>
      </w:r>
      <w:r w:rsidR="00C37CD8">
        <w:rPr>
          <w:rFonts w:ascii="Arial" w:hAnsi="Arial" w:cs="Arial"/>
        </w:rPr>
        <w:t xml:space="preserve"> – 8 procent</w:t>
      </w:r>
      <w:r w:rsidRPr="005A0E2F">
        <w:rPr>
          <w:rFonts w:ascii="Arial" w:hAnsi="Arial" w:cs="Arial"/>
        </w:rPr>
        <w:t>).</w:t>
      </w:r>
      <w:r>
        <w:rPr>
          <w:rFonts w:ascii="Arial" w:hAnsi="Arial" w:cs="Arial"/>
        </w:rPr>
        <w:t xml:space="preserve"> </w:t>
      </w:r>
      <w:r w:rsidRPr="005A0E2F">
        <w:rPr>
          <w:rFonts w:ascii="Arial" w:hAnsi="Arial" w:cs="Arial"/>
        </w:rPr>
        <w:t>Při hodnocení objemu oznámených zakázek je situace odlišná: největší podíl mají ministerstva a celostátní úřady</w:t>
      </w:r>
      <w:r w:rsidR="00312535">
        <w:rPr>
          <w:rFonts w:ascii="Arial" w:hAnsi="Arial" w:cs="Arial"/>
        </w:rPr>
        <w:t>,</w:t>
      </w:r>
      <w:r w:rsidRPr="005A0E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především díky zakázkám Ředitelství silnic a dálnic z</w:t>
      </w:r>
      <w:r w:rsidR="00C86AB5">
        <w:rPr>
          <w:rFonts w:ascii="Arial" w:hAnsi="Arial" w:cs="Arial"/>
        </w:rPr>
        <w:t> </w:t>
      </w:r>
      <w:r>
        <w:rPr>
          <w:rFonts w:ascii="Arial" w:hAnsi="Arial" w:cs="Arial"/>
        </w:rPr>
        <w:t>listopadu</w:t>
      </w:r>
      <w:r w:rsidR="00C86AB5">
        <w:rPr>
          <w:rFonts w:ascii="Arial" w:hAnsi="Arial" w:cs="Arial"/>
        </w:rPr>
        <w:t xml:space="preserve"> 2014</w:t>
      </w:r>
      <w:r>
        <w:rPr>
          <w:rFonts w:ascii="Arial" w:hAnsi="Arial" w:cs="Arial"/>
        </w:rPr>
        <w:t xml:space="preserve">. </w:t>
      </w:r>
    </w:p>
    <w:p w:rsidR="00C71648" w:rsidRDefault="00C71648" w:rsidP="0084430B">
      <w:pPr>
        <w:spacing w:after="0" w:line="360" w:lineRule="auto"/>
        <w:jc w:val="both"/>
        <w:rPr>
          <w:rFonts w:ascii="Arial" w:hAnsi="Arial" w:cs="Arial"/>
        </w:rPr>
      </w:pPr>
    </w:p>
    <w:p w:rsidR="005A0E2F" w:rsidRDefault="005A0E2F" w:rsidP="005A0E2F">
      <w:pPr>
        <w:spacing w:after="0" w:line="360" w:lineRule="auto"/>
        <w:jc w:val="center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16D27414" wp14:editId="22BBF2D7">
            <wp:extent cx="3689350" cy="2493010"/>
            <wp:effectExtent l="0" t="0" r="6350" b="2540"/>
            <wp:docPr id="3" name="Graf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71648" w:rsidRDefault="00C71648" w:rsidP="0084430B">
      <w:pPr>
        <w:spacing w:after="0" w:line="360" w:lineRule="auto"/>
        <w:jc w:val="both"/>
        <w:rPr>
          <w:rFonts w:ascii="Arial" w:hAnsi="Arial" w:cs="Arial"/>
        </w:rPr>
      </w:pPr>
    </w:p>
    <w:p w:rsidR="00FB74B4" w:rsidRDefault="00C71648" w:rsidP="0084430B">
      <w:pPr>
        <w:spacing w:after="0" w:line="360" w:lineRule="auto"/>
        <w:jc w:val="both"/>
        <w:rPr>
          <w:rFonts w:ascii="Arial" w:hAnsi="Arial" w:cs="Arial"/>
        </w:rPr>
      </w:pPr>
      <w:r w:rsidRPr="00C71648">
        <w:rPr>
          <w:rFonts w:ascii="Arial" w:hAnsi="Arial" w:cs="Arial"/>
        </w:rPr>
        <w:t>Hodnota zakázek rostla ve všech kategoriích</w:t>
      </w:r>
      <w:r>
        <w:rPr>
          <w:rFonts w:ascii="Arial" w:hAnsi="Arial" w:cs="Arial"/>
        </w:rPr>
        <w:t>. P</w:t>
      </w:r>
      <w:r w:rsidRPr="00C71648">
        <w:rPr>
          <w:rFonts w:ascii="Arial" w:hAnsi="Arial" w:cs="Arial"/>
        </w:rPr>
        <w:t xml:space="preserve">očet oznámených zakázek také </w:t>
      </w:r>
      <w:r w:rsidR="00703983">
        <w:rPr>
          <w:rFonts w:ascii="Arial" w:hAnsi="Arial" w:cs="Arial"/>
        </w:rPr>
        <w:t>vz</w:t>
      </w:r>
      <w:r w:rsidRPr="00C71648">
        <w:rPr>
          <w:rFonts w:ascii="Arial" w:hAnsi="Arial" w:cs="Arial"/>
        </w:rPr>
        <w:t>rostl</w:t>
      </w:r>
      <w:r w:rsidR="00703983">
        <w:rPr>
          <w:rFonts w:ascii="Arial" w:hAnsi="Arial" w:cs="Arial"/>
        </w:rPr>
        <w:t>,</w:t>
      </w:r>
      <w:r w:rsidRPr="00C71648">
        <w:rPr>
          <w:rFonts w:ascii="Arial" w:hAnsi="Arial" w:cs="Arial"/>
        </w:rPr>
        <w:t xml:space="preserve"> s výjimkou ostatních subjektů</w:t>
      </w:r>
      <w:r>
        <w:rPr>
          <w:rFonts w:ascii="Arial" w:hAnsi="Arial" w:cs="Arial"/>
        </w:rPr>
        <w:t xml:space="preserve">. U ostatních subjektů způsobila růst objemu velká zakázka na projekt CHS </w:t>
      </w:r>
      <w:proofErr w:type="spellStart"/>
      <w:r>
        <w:rPr>
          <w:rFonts w:ascii="Arial" w:hAnsi="Arial" w:cs="Arial"/>
        </w:rPr>
        <w:t>Epi</w:t>
      </w:r>
      <w:proofErr w:type="spellEnd"/>
      <w:r>
        <w:rPr>
          <w:rFonts w:ascii="Arial" w:hAnsi="Arial" w:cs="Arial"/>
        </w:rPr>
        <w:t xml:space="preserve">. </w:t>
      </w:r>
      <w:r w:rsidR="00A1116D" w:rsidRPr="00372C7A">
        <w:rPr>
          <w:rFonts w:ascii="Arial" w:hAnsi="Arial" w:cs="Arial"/>
          <w:i/>
        </w:rPr>
        <w:t>„Práce v loňském roce přibývalo, další zakázky pro naši společnost by mohla v druhé polovině letošního roku přinést Nová zelená úsporám a další dotační tituly,“</w:t>
      </w:r>
      <w:r w:rsidR="00A1116D" w:rsidRPr="00372C7A">
        <w:rPr>
          <w:rFonts w:ascii="Arial" w:hAnsi="Arial" w:cs="Arial"/>
        </w:rPr>
        <w:t xml:space="preserve"> říká </w:t>
      </w:r>
      <w:r w:rsidR="00A1116D" w:rsidRPr="00372C7A">
        <w:rPr>
          <w:rFonts w:ascii="Arial" w:hAnsi="Arial" w:cs="Arial"/>
          <w:b/>
          <w:i/>
        </w:rPr>
        <w:t>Robert Mikeš, marketingový ředitel, divize Weber - Saint-</w:t>
      </w:r>
      <w:proofErr w:type="spellStart"/>
      <w:r w:rsidR="00A1116D" w:rsidRPr="00372C7A">
        <w:rPr>
          <w:rFonts w:ascii="Arial" w:hAnsi="Arial" w:cs="Arial"/>
          <w:b/>
          <w:i/>
        </w:rPr>
        <w:t>Gobain</w:t>
      </w:r>
      <w:proofErr w:type="spellEnd"/>
      <w:r w:rsidR="00A1116D" w:rsidRPr="00372C7A">
        <w:rPr>
          <w:rFonts w:ascii="Arial" w:hAnsi="Arial" w:cs="Arial"/>
          <w:b/>
          <w:i/>
        </w:rPr>
        <w:t xml:space="preserve"> </w:t>
      </w:r>
      <w:proofErr w:type="spellStart"/>
      <w:r w:rsidR="00A1116D" w:rsidRPr="00372C7A">
        <w:rPr>
          <w:rFonts w:ascii="Arial" w:hAnsi="Arial" w:cs="Arial"/>
          <w:b/>
          <w:i/>
        </w:rPr>
        <w:t>Construction</w:t>
      </w:r>
      <w:proofErr w:type="spellEnd"/>
      <w:r w:rsidR="00A1116D" w:rsidRPr="00372C7A">
        <w:rPr>
          <w:rFonts w:ascii="Arial" w:hAnsi="Arial" w:cs="Arial"/>
          <w:b/>
          <w:i/>
        </w:rPr>
        <w:t xml:space="preserve"> </w:t>
      </w:r>
      <w:proofErr w:type="spellStart"/>
      <w:r w:rsidR="00A1116D" w:rsidRPr="00372C7A">
        <w:rPr>
          <w:rFonts w:ascii="Arial" w:hAnsi="Arial" w:cs="Arial"/>
          <w:b/>
          <w:i/>
        </w:rPr>
        <w:t>Products</w:t>
      </w:r>
      <w:proofErr w:type="spellEnd"/>
      <w:r w:rsidR="00A1116D" w:rsidRPr="00372C7A">
        <w:rPr>
          <w:rFonts w:ascii="Arial" w:hAnsi="Arial" w:cs="Arial"/>
          <w:b/>
          <w:i/>
        </w:rPr>
        <w:t xml:space="preserve"> CZ a.s.</w:t>
      </w:r>
    </w:p>
    <w:p w:rsidR="00C71648" w:rsidRDefault="00C71648" w:rsidP="0084430B">
      <w:pPr>
        <w:spacing w:after="0" w:line="360" w:lineRule="auto"/>
        <w:jc w:val="both"/>
        <w:rPr>
          <w:rFonts w:ascii="Arial" w:hAnsi="Arial" w:cs="Arial"/>
        </w:rPr>
      </w:pPr>
    </w:p>
    <w:p w:rsidR="00C71648" w:rsidRPr="00C71648" w:rsidRDefault="00C71648" w:rsidP="00C71648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C71648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roce 2014</w:t>
      </w:r>
      <w:r w:rsidRPr="00C71648">
        <w:rPr>
          <w:rFonts w:ascii="Arial" w:eastAsia="Times New Roman" w:hAnsi="Arial" w:cs="Times New Roman"/>
          <w:bCs/>
          <w:sz w:val="20"/>
          <w:szCs w:val="24"/>
          <w:lang w:eastAsia="cs-CZ"/>
        </w:rPr>
        <w:t xml:space="preserve"> </w:t>
      </w:r>
      <w:r w:rsidRPr="00C71648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podle druhu zadavatele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1475"/>
        <w:gridCol w:w="1475"/>
        <w:gridCol w:w="1475"/>
        <w:gridCol w:w="1475"/>
      </w:tblGrid>
      <w:tr w:rsidR="00C71648" w:rsidRPr="00C71648" w:rsidTr="00155BA5">
        <w:trPr>
          <w:trHeight w:val="284"/>
        </w:trPr>
        <w:tc>
          <w:tcPr>
            <w:tcW w:w="3240" w:type="dxa"/>
            <w:vMerge w:val="restart"/>
            <w:tcBorders>
              <w:top w:val="nil"/>
              <w:left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projekční</w:t>
            </w:r>
          </w:p>
        </w:tc>
        <w:tc>
          <w:tcPr>
            <w:tcW w:w="5900" w:type="dxa"/>
            <w:gridSpan w:val="4"/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C71648" w:rsidRPr="00C71648" w:rsidTr="00155BA5">
        <w:trPr>
          <w:trHeight w:val="284"/>
        </w:trPr>
        <w:tc>
          <w:tcPr>
            <w:tcW w:w="3240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2950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950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C71648" w:rsidRPr="00C71648" w:rsidTr="00155BA5">
        <w:trPr>
          <w:trHeight w:val="284"/>
        </w:trPr>
        <w:tc>
          <w:tcPr>
            <w:tcW w:w="3240" w:type="dxa"/>
            <w:tcBorders>
              <w:bottom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Ministerstva a další celostátní úřady</w:t>
            </w:r>
          </w:p>
        </w:tc>
        <w:tc>
          <w:tcPr>
            <w:tcW w:w="1475" w:type="dxa"/>
            <w:tcBorders>
              <w:bottom w:val="nil"/>
              <w:right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C71648" w:rsidRPr="00C71648" w:rsidRDefault="00C71648" w:rsidP="00C7164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+122,9</w:t>
            </w:r>
          </w:p>
        </w:tc>
        <w:tc>
          <w:tcPr>
            <w:tcW w:w="1475" w:type="dxa"/>
            <w:tcBorders>
              <w:left w:val="double" w:sz="4" w:space="0" w:color="auto"/>
              <w:bottom w:val="nil"/>
              <w:right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C71648" w:rsidRPr="00C71648" w:rsidRDefault="00C71648" w:rsidP="00C7164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+167,6</w:t>
            </w:r>
          </w:p>
        </w:tc>
      </w:tr>
      <w:tr w:rsidR="00C71648" w:rsidRPr="00C71648" w:rsidTr="00155BA5">
        <w:trPr>
          <w:trHeight w:val="284"/>
        </w:trPr>
        <w:tc>
          <w:tcPr>
            <w:tcW w:w="3240" w:type="dxa"/>
            <w:tcBorders>
              <w:top w:val="nil"/>
              <w:bottom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Ostatní subjekty</w:t>
            </w:r>
          </w:p>
        </w:tc>
        <w:tc>
          <w:tcPr>
            <w:tcW w:w="1475" w:type="dxa"/>
            <w:tcBorders>
              <w:top w:val="nil"/>
              <w:bottom w:val="nil"/>
              <w:right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C71648" w:rsidRPr="00C71648" w:rsidRDefault="00C71648" w:rsidP="00C7164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-44,8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C71648" w:rsidRPr="00C71648" w:rsidRDefault="00C71648" w:rsidP="00C7164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+8,3</w:t>
            </w:r>
          </w:p>
        </w:tc>
      </w:tr>
      <w:tr w:rsidR="00C71648" w:rsidRPr="00C71648" w:rsidTr="00155BA5">
        <w:trPr>
          <w:trHeight w:val="284"/>
        </w:trPr>
        <w:tc>
          <w:tcPr>
            <w:tcW w:w="3240" w:type="dxa"/>
            <w:tcBorders>
              <w:top w:val="nil"/>
              <w:bottom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Regionální úřady a sdružení</w:t>
            </w:r>
          </w:p>
        </w:tc>
        <w:tc>
          <w:tcPr>
            <w:tcW w:w="1475" w:type="dxa"/>
            <w:tcBorders>
              <w:top w:val="nil"/>
              <w:bottom w:val="nil"/>
              <w:right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C71648" w:rsidRPr="00C71648" w:rsidRDefault="00C71648" w:rsidP="00C7164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+7,0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C71648" w:rsidRPr="00C71648" w:rsidRDefault="00C71648" w:rsidP="00C7164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+22,5</w:t>
            </w:r>
          </w:p>
        </w:tc>
      </w:tr>
      <w:tr w:rsidR="00C71648" w:rsidRPr="00C71648" w:rsidTr="00155BA5">
        <w:trPr>
          <w:trHeight w:val="284"/>
        </w:trPr>
        <w:tc>
          <w:tcPr>
            <w:tcW w:w="3240" w:type="dxa"/>
            <w:tcBorders>
              <w:top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Státní podniky</w:t>
            </w:r>
          </w:p>
        </w:tc>
        <w:tc>
          <w:tcPr>
            <w:tcW w:w="1475" w:type="dxa"/>
            <w:tcBorders>
              <w:top w:val="nil"/>
              <w:right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C71648" w:rsidRPr="00C71648" w:rsidRDefault="00C71648" w:rsidP="00C7164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+400,0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right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</w:tcBorders>
            <w:tcMar>
              <w:right w:w="567" w:type="dxa"/>
            </w:tcMar>
            <w:vAlign w:val="center"/>
          </w:tcPr>
          <w:p w:rsidR="00C71648" w:rsidRPr="00C71648" w:rsidRDefault="00C71648" w:rsidP="00C71648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+257,0</w:t>
            </w:r>
          </w:p>
        </w:tc>
      </w:tr>
      <w:tr w:rsidR="00C71648" w:rsidRPr="00C71648" w:rsidTr="00155BA5">
        <w:trPr>
          <w:trHeight w:val="284"/>
        </w:trPr>
        <w:tc>
          <w:tcPr>
            <w:tcW w:w="3240" w:type="dxa"/>
            <w:vAlign w:val="center"/>
          </w:tcPr>
          <w:p w:rsidR="00C71648" w:rsidRPr="00C71648" w:rsidRDefault="00C71648" w:rsidP="00C71648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C7164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Celkem</w:t>
            </w:r>
          </w:p>
        </w:tc>
        <w:tc>
          <w:tcPr>
            <w:tcW w:w="1475" w:type="dxa"/>
            <w:tcBorders>
              <w:right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left w:val="nil"/>
              <w:right w:val="double" w:sz="4" w:space="0" w:color="auto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+27,6</w:t>
            </w:r>
          </w:p>
        </w:tc>
        <w:tc>
          <w:tcPr>
            <w:tcW w:w="1475" w:type="dxa"/>
            <w:tcBorders>
              <w:left w:val="double" w:sz="4" w:space="0" w:color="auto"/>
              <w:right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left w:val="nil"/>
            </w:tcBorders>
            <w:vAlign w:val="center"/>
          </w:tcPr>
          <w:p w:rsidR="00C71648" w:rsidRPr="00C71648" w:rsidRDefault="00C71648" w:rsidP="00C7164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C71648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+92,2</w:t>
            </w:r>
          </w:p>
        </w:tc>
      </w:tr>
    </w:tbl>
    <w:p w:rsidR="00C71648" w:rsidRPr="00C71648" w:rsidRDefault="00C71648" w:rsidP="00C71648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C71648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71648" w:rsidRPr="00C71648" w:rsidRDefault="00C71648" w:rsidP="00C71648">
      <w:pPr>
        <w:spacing w:after="0" w:line="240" w:lineRule="auto"/>
        <w:rPr>
          <w:rFonts w:ascii="Arial" w:eastAsia="Times New Roman" w:hAnsi="Arial" w:cs="Times New Roman"/>
          <w:b/>
          <w:bCs/>
          <w:sz w:val="20"/>
          <w:szCs w:val="20"/>
          <w:lang w:eastAsia="cs-CZ"/>
        </w:rPr>
      </w:pPr>
    </w:p>
    <w:p w:rsidR="00FB74B4" w:rsidRDefault="00FB74B4" w:rsidP="0084430B">
      <w:pPr>
        <w:spacing w:after="0" w:line="360" w:lineRule="auto"/>
        <w:jc w:val="both"/>
        <w:rPr>
          <w:rFonts w:ascii="Arial" w:hAnsi="Arial" w:cs="Arial"/>
        </w:rPr>
      </w:pPr>
    </w:p>
    <w:p w:rsidR="003D52F2" w:rsidRPr="0080517C" w:rsidRDefault="00703983" w:rsidP="0080517C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Z</w:t>
      </w:r>
      <w:r w:rsidR="004A0CA5" w:rsidRPr="004A0CA5">
        <w:rPr>
          <w:rFonts w:ascii="Arial" w:hAnsi="Arial" w:cs="Arial"/>
        </w:rPr>
        <w:t xml:space="preserve"> ro</w:t>
      </w:r>
      <w:r>
        <w:rPr>
          <w:rFonts w:ascii="Arial" w:hAnsi="Arial" w:cs="Arial"/>
        </w:rPr>
        <w:t>ku</w:t>
      </w:r>
      <w:r w:rsidR="004A0CA5" w:rsidRPr="004A0CA5">
        <w:rPr>
          <w:rFonts w:ascii="Arial" w:hAnsi="Arial" w:cs="Arial"/>
        </w:rPr>
        <w:t xml:space="preserve"> 2014 bylo zatím zadáno 381 zakázek, což je</w:t>
      </w:r>
      <w:r w:rsidR="00A92A37">
        <w:rPr>
          <w:rFonts w:ascii="Arial" w:hAnsi="Arial" w:cs="Arial"/>
        </w:rPr>
        <w:t xml:space="preserve"> o čtv</w:t>
      </w:r>
      <w:r>
        <w:rPr>
          <w:rFonts w:ascii="Arial" w:hAnsi="Arial" w:cs="Arial"/>
        </w:rPr>
        <w:t>r</w:t>
      </w:r>
      <w:r w:rsidR="00A92A37">
        <w:rPr>
          <w:rFonts w:ascii="Arial" w:hAnsi="Arial" w:cs="Arial"/>
        </w:rPr>
        <w:t>tinu (24,3 procenta)</w:t>
      </w:r>
      <w:r w:rsidR="004A0CA5" w:rsidRPr="004A0CA5">
        <w:rPr>
          <w:rFonts w:ascii="Arial" w:hAnsi="Arial" w:cs="Arial"/>
        </w:rPr>
        <w:t xml:space="preserve"> méně než v roce 2013. Hodnota zakázek zadaných v roce 2014 činila 1,8 </w:t>
      </w:r>
      <w:r w:rsidR="00A92A37">
        <w:rPr>
          <w:rFonts w:ascii="Arial" w:hAnsi="Arial" w:cs="Arial"/>
        </w:rPr>
        <w:t>miliardy korun</w:t>
      </w:r>
      <w:r w:rsidR="004A0CA5" w:rsidRPr="004A0CA5">
        <w:rPr>
          <w:rFonts w:ascii="Arial" w:hAnsi="Arial" w:cs="Arial"/>
        </w:rPr>
        <w:t xml:space="preserve"> a meziročně </w:t>
      </w:r>
      <w:r>
        <w:rPr>
          <w:rFonts w:ascii="Arial" w:hAnsi="Arial" w:cs="Arial"/>
        </w:rPr>
        <w:t xml:space="preserve">rovněž </w:t>
      </w:r>
      <w:r w:rsidR="00A92A37">
        <w:rPr>
          <w:rFonts w:ascii="Arial" w:hAnsi="Arial" w:cs="Arial"/>
        </w:rPr>
        <w:t>klesla</w:t>
      </w:r>
      <w:r>
        <w:rPr>
          <w:rFonts w:ascii="Arial" w:hAnsi="Arial" w:cs="Arial"/>
        </w:rPr>
        <w:t>,</w:t>
      </w:r>
      <w:r w:rsidR="00A92A37">
        <w:rPr>
          <w:rFonts w:ascii="Arial" w:hAnsi="Arial" w:cs="Arial"/>
        </w:rPr>
        <w:t xml:space="preserve"> a to i </w:t>
      </w:r>
      <w:r>
        <w:rPr>
          <w:rFonts w:ascii="Arial" w:hAnsi="Arial" w:cs="Arial"/>
        </w:rPr>
        <w:t xml:space="preserve">o </w:t>
      </w:r>
      <w:r w:rsidR="00A92A37">
        <w:rPr>
          <w:rFonts w:ascii="Arial" w:hAnsi="Arial" w:cs="Arial"/>
        </w:rPr>
        <w:t>víc</w:t>
      </w:r>
      <w:r w:rsidR="00C86AB5">
        <w:rPr>
          <w:rFonts w:ascii="Arial" w:hAnsi="Arial" w:cs="Arial"/>
        </w:rPr>
        <w:t>e</w:t>
      </w:r>
      <w:r w:rsidR="00A92A37">
        <w:rPr>
          <w:rFonts w:ascii="Arial" w:hAnsi="Arial" w:cs="Arial"/>
        </w:rPr>
        <w:t xml:space="preserve"> než </w:t>
      </w:r>
      <w:r w:rsidR="004650F4">
        <w:rPr>
          <w:rFonts w:ascii="Arial" w:hAnsi="Arial" w:cs="Arial"/>
        </w:rPr>
        <w:t>čtvrtinu</w:t>
      </w:r>
      <w:r w:rsidR="004A0CA5" w:rsidRPr="004A0CA5">
        <w:rPr>
          <w:rFonts w:ascii="Arial" w:hAnsi="Arial" w:cs="Arial"/>
        </w:rPr>
        <w:t xml:space="preserve"> </w:t>
      </w:r>
      <w:r w:rsidR="00A92A37">
        <w:rPr>
          <w:rFonts w:ascii="Arial" w:hAnsi="Arial" w:cs="Arial"/>
        </w:rPr>
        <w:t>(</w:t>
      </w:r>
      <w:r w:rsidR="004A0CA5" w:rsidRPr="004A0CA5">
        <w:rPr>
          <w:rFonts w:ascii="Arial" w:hAnsi="Arial" w:cs="Arial"/>
        </w:rPr>
        <w:t xml:space="preserve">22,4 </w:t>
      </w:r>
      <w:r w:rsidR="00A92A37">
        <w:rPr>
          <w:rFonts w:ascii="Arial" w:hAnsi="Arial" w:cs="Arial"/>
        </w:rPr>
        <w:t>procenta)</w:t>
      </w:r>
      <w:r w:rsidR="004A0CA5" w:rsidRPr="004A0CA5">
        <w:rPr>
          <w:rFonts w:ascii="Arial" w:hAnsi="Arial" w:cs="Arial"/>
        </w:rPr>
        <w:t>.</w:t>
      </w:r>
      <w:r w:rsidR="0080517C">
        <w:rPr>
          <w:rFonts w:ascii="Arial" w:hAnsi="Arial" w:cs="Arial"/>
        </w:rPr>
        <w:t xml:space="preserve"> </w:t>
      </w:r>
    </w:p>
    <w:p w:rsidR="0084430B" w:rsidRPr="0084430B" w:rsidRDefault="0084430B" w:rsidP="0084430B">
      <w:pPr>
        <w:spacing w:after="0" w:line="240" w:lineRule="auto"/>
        <w:rPr>
          <w:rFonts w:ascii="Arial" w:hAnsi="Arial" w:cs="Arial"/>
        </w:rPr>
      </w:pP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b/>
          <w:lang w:val="sk-SK"/>
        </w:rPr>
      </w:pPr>
      <w:r w:rsidRPr="00C45298">
        <w:rPr>
          <w:rFonts w:ascii="Arial" w:hAnsi="Arial" w:cs="Arial"/>
          <w:b/>
          <w:lang w:val="sk-SK"/>
        </w:rPr>
        <w:t xml:space="preserve">Kontakt </w:t>
      </w:r>
      <w:proofErr w:type="spellStart"/>
      <w:r w:rsidRPr="00C45298">
        <w:rPr>
          <w:rFonts w:ascii="Arial" w:hAnsi="Arial" w:cs="Arial"/>
          <w:b/>
          <w:lang w:val="sk-SK"/>
        </w:rPr>
        <w:t>pro</w:t>
      </w:r>
      <w:proofErr w:type="spellEnd"/>
      <w:r w:rsidRPr="00C45298">
        <w:rPr>
          <w:rFonts w:ascii="Arial" w:hAnsi="Arial" w:cs="Arial"/>
          <w:b/>
          <w:lang w:val="sk-SK"/>
        </w:rPr>
        <w:t xml:space="preserve"> média:</w:t>
      </w: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lang w:val="sk-SK"/>
        </w:rPr>
      </w:pPr>
      <w:r w:rsidRPr="00C45298">
        <w:rPr>
          <w:rFonts w:ascii="Arial" w:hAnsi="Arial" w:cs="Arial"/>
          <w:b/>
          <w:lang w:val="sk-SK"/>
        </w:rPr>
        <w:br/>
      </w:r>
      <w:r w:rsidRPr="00C45298">
        <w:rPr>
          <w:rFonts w:ascii="Arial" w:hAnsi="Arial" w:cs="Arial"/>
          <w:lang w:val="sk-SK"/>
        </w:rPr>
        <w:t xml:space="preserve">Alena </w:t>
      </w:r>
      <w:proofErr w:type="spellStart"/>
      <w:r w:rsidR="00B718C2">
        <w:rPr>
          <w:rFonts w:ascii="Arial" w:hAnsi="Arial" w:cs="Arial"/>
          <w:lang w:val="sk-SK"/>
        </w:rPr>
        <w:t>Bradáčová</w:t>
      </w:r>
      <w:proofErr w:type="spellEnd"/>
      <w:r w:rsidRPr="00C45298">
        <w:rPr>
          <w:rFonts w:ascii="Arial" w:hAnsi="Arial" w:cs="Arial"/>
          <w:lang w:val="sk-SK"/>
        </w:rPr>
        <w:br/>
        <w:t xml:space="preserve">PR &amp; </w:t>
      </w:r>
      <w:proofErr w:type="spellStart"/>
      <w:r w:rsidRPr="00C45298">
        <w:rPr>
          <w:rFonts w:ascii="Arial" w:hAnsi="Arial" w:cs="Arial"/>
          <w:lang w:val="sk-SK"/>
        </w:rPr>
        <w:t>Communication</w:t>
      </w:r>
      <w:proofErr w:type="spellEnd"/>
      <w:r w:rsidRPr="00C45298">
        <w:rPr>
          <w:rFonts w:ascii="Arial" w:hAnsi="Arial" w:cs="Arial"/>
          <w:lang w:val="sk-SK"/>
        </w:rPr>
        <w:t xml:space="preserve"> </w:t>
      </w:r>
      <w:proofErr w:type="spellStart"/>
      <w:r w:rsidRPr="00C45298">
        <w:rPr>
          <w:rFonts w:ascii="Arial" w:hAnsi="Arial" w:cs="Arial"/>
          <w:lang w:val="sk-SK"/>
        </w:rPr>
        <w:t>Director</w:t>
      </w:r>
      <w:proofErr w:type="spellEnd"/>
      <w:r w:rsidRPr="00C45298">
        <w:rPr>
          <w:rFonts w:ascii="Arial" w:hAnsi="Arial" w:cs="Arial"/>
          <w:lang w:val="sk-SK"/>
        </w:rPr>
        <w:br/>
      </w:r>
      <w:r w:rsidR="00B718C2">
        <w:rPr>
          <w:rFonts w:ascii="Arial" w:hAnsi="Arial" w:cs="Arial"/>
          <w:lang w:val="sk-SK"/>
        </w:rPr>
        <w:t>CEEC Research</w:t>
      </w:r>
      <w:r w:rsidR="00B718C2">
        <w:rPr>
          <w:rFonts w:ascii="Arial" w:hAnsi="Arial" w:cs="Arial"/>
          <w:lang w:val="sk-SK"/>
        </w:rPr>
        <w:br/>
        <w:t xml:space="preserve">E-mail: </w:t>
      </w:r>
      <w:proofErr w:type="spellStart"/>
      <w:r w:rsidR="00B718C2">
        <w:rPr>
          <w:rFonts w:ascii="Arial" w:hAnsi="Arial" w:cs="Arial"/>
          <w:lang w:val="sk-SK"/>
        </w:rPr>
        <w:t>bradacova</w:t>
      </w:r>
      <w:r w:rsidRPr="00C45298">
        <w:rPr>
          <w:rFonts w:ascii="Arial" w:hAnsi="Arial" w:cs="Arial"/>
          <w:lang w:val="sk-SK"/>
        </w:rPr>
        <w:t>@ceec.eu</w:t>
      </w:r>
      <w:proofErr w:type="spellEnd"/>
      <w:r w:rsidRPr="00C45298">
        <w:rPr>
          <w:rFonts w:ascii="Arial" w:hAnsi="Arial" w:cs="Arial"/>
          <w:lang w:val="sk-SK"/>
        </w:rPr>
        <w:br/>
        <w:t>Tel.: +420 777 299</w:t>
      </w:r>
      <w:r w:rsidR="005F0F7B">
        <w:rPr>
          <w:rFonts w:ascii="Arial" w:hAnsi="Arial" w:cs="Arial"/>
          <w:lang w:val="sk-SK"/>
        </w:rPr>
        <w:t> </w:t>
      </w:r>
      <w:r w:rsidRPr="00C45298">
        <w:rPr>
          <w:rFonts w:ascii="Arial" w:hAnsi="Arial" w:cs="Arial"/>
          <w:lang w:val="sk-SK"/>
        </w:rPr>
        <w:t>790</w:t>
      </w:r>
    </w:p>
    <w:p w:rsidR="007C55A2" w:rsidRDefault="007C55A2" w:rsidP="00D668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5F0F7B" w:rsidRDefault="005F0F7B" w:rsidP="00D668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5F0F7B" w:rsidRDefault="005F0F7B" w:rsidP="005F0F7B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CEEC Research</w:t>
      </w:r>
      <w:r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založeny výhradně na údajích získaných z pravidelných strukturovaných interview s klíčovými představiteli vybraných největších, středních i malých společností. </w:t>
      </w:r>
    </w:p>
    <w:p w:rsidR="005F0F7B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5F0F7B" w:rsidRDefault="005F0F7B" w:rsidP="005F0F7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 xml:space="preserve">CEEC Research </w:t>
      </w:r>
      <w:r>
        <w:rPr>
          <w:rFonts w:ascii="Arial" w:hAnsi="Arial" w:cs="Arial"/>
          <w:i/>
          <w:sz w:val="16"/>
          <w:szCs w:val="16"/>
        </w:rPr>
        <w:t xml:space="preserve">navíc k pravidelným a bezplatným analýzám stavebního, projektového, developerského, strojírenského a veřejného sektoru také organizuje </w:t>
      </w:r>
      <w:r w:rsidR="00EF1F69">
        <w:rPr>
          <w:rFonts w:ascii="Arial" w:hAnsi="Arial" w:cs="Arial"/>
          <w:i/>
          <w:sz w:val="16"/>
          <w:szCs w:val="16"/>
        </w:rPr>
        <w:t>specializované</w:t>
      </w:r>
      <w:r>
        <w:rPr>
          <w:rFonts w:ascii="Arial" w:hAnsi="Arial" w:cs="Arial"/>
          <w:i/>
          <w:sz w:val="16"/>
          <w:szCs w:val="16"/>
        </w:rPr>
        <w:t xml:space="preserve"> konference, kterých se účastní generální ředitelé nejvýznamnějš</w:t>
      </w:r>
      <w:r w:rsidR="006A23EE">
        <w:rPr>
          <w:rFonts w:ascii="Arial" w:hAnsi="Arial" w:cs="Arial"/>
          <w:i/>
          <w:sz w:val="16"/>
          <w:szCs w:val="16"/>
        </w:rPr>
        <w:t>ích stavebních, developerských,</w:t>
      </w:r>
      <w:r>
        <w:rPr>
          <w:rFonts w:ascii="Arial" w:hAnsi="Arial" w:cs="Arial"/>
          <w:i/>
          <w:sz w:val="16"/>
          <w:szCs w:val="16"/>
        </w:rPr>
        <w:t xml:space="preserve"> projektových a strojírenských společností, prezidenti svazů,</w:t>
      </w:r>
      <w:r w:rsidR="00F546D9">
        <w:rPr>
          <w:rFonts w:ascii="Arial" w:hAnsi="Arial" w:cs="Arial"/>
          <w:i/>
          <w:sz w:val="16"/>
          <w:szCs w:val="16"/>
        </w:rPr>
        <w:t xml:space="preserve"> cechů a komor z těchto oblastí</w:t>
      </w:r>
      <w:r w:rsidR="00EF1F69"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t xml:space="preserve"> aby diskutovali s nejvyššími představiteli státu vybraných zemí. </w:t>
      </w:r>
      <w:r w:rsidR="00EF1F69">
        <w:rPr>
          <w:rFonts w:ascii="Arial" w:hAnsi="Arial" w:cs="Arial"/>
          <w:i/>
          <w:sz w:val="16"/>
          <w:szCs w:val="16"/>
        </w:rPr>
        <w:t xml:space="preserve"> </w:t>
      </w:r>
    </w:p>
    <w:p w:rsidR="005F0F7B" w:rsidRPr="00D66843" w:rsidRDefault="005F0F7B" w:rsidP="00D6684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5F0F7B" w:rsidRPr="00D66843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47D" w:rsidRDefault="0028347D" w:rsidP="00A76E50">
      <w:pPr>
        <w:spacing w:after="0" w:line="240" w:lineRule="auto"/>
      </w:pPr>
      <w:r>
        <w:separator/>
      </w:r>
    </w:p>
  </w:endnote>
  <w:endnote w:type="continuationSeparator" w:id="0">
    <w:p w:rsidR="0028347D" w:rsidRDefault="0028347D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47D" w:rsidRDefault="0028347D" w:rsidP="00A76E50">
      <w:pPr>
        <w:spacing w:after="0" w:line="240" w:lineRule="auto"/>
      </w:pPr>
      <w:r>
        <w:separator/>
      </w:r>
    </w:p>
  </w:footnote>
  <w:footnote w:type="continuationSeparator" w:id="0">
    <w:p w:rsidR="0028347D" w:rsidRDefault="0028347D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BA5" w:rsidRDefault="00155BA5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55BA5" w:rsidRDefault="00155BA5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155BA5" w:rsidRPr="00AC2D6D" w:rsidRDefault="00155BA5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155BA5" w:rsidRDefault="00155BA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1697"/>
    <w:rsid w:val="00003552"/>
    <w:rsid w:val="000039CF"/>
    <w:rsid w:val="00012CB9"/>
    <w:rsid w:val="00016986"/>
    <w:rsid w:val="00026B61"/>
    <w:rsid w:val="00030F20"/>
    <w:rsid w:val="00034237"/>
    <w:rsid w:val="00040AF2"/>
    <w:rsid w:val="0004318D"/>
    <w:rsid w:val="000431B3"/>
    <w:rsid w:val="00052956"/>
    <w:rsid w:val="00055D25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53CA"/>
    <w:rsid w:val="00092923"/>
    <w:rsid w:val="00093D49"/>
    <w:rsid w:val="000957C6"/>
    <w:rsid w:val="000A0C73"/>
    <w:rsid w:val="000A2E0E"/>
    <w:rsid w:val="000A593D"/>
    <w:rsid w:val="000A7221"/>
    <w:rsid w:val="000B0EFB"/>
    <w:rsid w:val="000B2314"/>
    <w:rsid w:val="000B3A8B"/>
    <w:rsid w:val="000C0093"/>
    <w:rsid w:val="000C079A"/>
    <w:rsid w:val="000C2B3C"/>
    <w:rsid w:val="000C5911"/>
    <w:rsid w:val="000D031A"/>
    <w:rsid w:val="000D3395"/>
    <w:rsid w:val="000D5EC9"/>
    <w:rsid w:val="000E0FE0"/>
    <w:rsid w:val="000E5419"/>
    <w:rsid w:val="000E620E"/>
    <w:rsid w:val="000E71B9"/>
    <w:rsid w:val="000F4820"/>
    <w:rsid w:val="000F58C9"/>
    <w:rsid w:val="000F5D71"/>
    <w:rsid w:val="001037D9"/>
    <w:rsid w:val="00104FFE"/>
    <w:rsid w:val="001111BA"/>
    <w:rsid w:val="001131DD"/>
    <w:rsid w:val="00116678"/>
    <w:rsid w:val="00116FFB"/>
    <w:rsid w:val="00121151"/>
    <w:rsid w:val="00125253"/>
    <w:rsid w:val="00127951"/>
    <w:rsid w:val="001350E0"/>
    <w:rsid w:val="001536EE"/>
    <w:rsid w:val="00155BA5"/>
    <w:rsid w:val="00172C66"/>
    <w:rsid w:val="001748DC"/>
    <w:rsid w:val="00180560"/>
    <w:rsid w:val="001854A9"/>
    <w:rsid w:val="0018743F"/>
    <w:rsid w:val="00196346"/>
    <w:rsid w:val="0019645D"/>
    <w:rsid w:val="00197EB7"/>
    <w:rsid w:val="001A281A"/>
    <w:rsid w:val="001A6A6E"/>
    <w:rsid w:val="001B76D5"/>
    <w:rsid w:val="001C6F33"/>
    <w:rsid w:val="001C7E05"/>
    <w:rsid w:val="001D0C46"/>
    <w:rsid w:val="001D36EB"/>
    <w:rsid w:val="001D5798"/>
    <w:rsid w:val="001D7AEC"/>
    <w:rsid w:val="001E715E"/>
    <w:rsid w:val="001F128B"/>
    <w:rsid w:val="001F22BC"/>
    <w:rsid w:val="00206362"/>
    <w:rsid w:val="00211533"/>
    <w:rsid w:val="00212725"/>
    <w:rsid w:val="002168D5"/>
    <w:rsid w:val="002262A5"/>
    <w:rsid w:val="00233D6F"/>
    <w:rsid w:val="002353AC"/>
    <w:rsid w:val="00237274"/>
    <w:rsid w:val="00255CAF"/>
    <w:rsid w:val="002560EF"/>
    <w:rsid w:val="00257FF1"/>
    <w:rsid w:val="00260DD4"/>
    <w:rsid w:val="0026597A"/>
    <w:rsid w:val="002678EB"/>
    <w:rsid w:val="00271171"/>
    <w:rsid w:val="00275AD4"/>
    <w:rsid w:val="002818F3"/>
    <w:rsid w:val="0028347D"/>
    <w:rsid w:val="0029021E"/>
    <w:rsid w:val="0029157C"/>
    <w:rsid w:val="00293553"/>
    <w:rsid w:val="002A05C0"/>
    <w:rsid w:val="002A6CC8"/>
    <w:rsid w:val="002A7D2C"/>
    <w:rsid w:val="002B1925"/>
    <w:rsid w:val="002B69EB"/>
    <w:rsid w:val="002B7003"/>
    <w:rsid w:val="002C007B"/>
    <w:rsid w:val="002C5F1D"/>
    <w:rsid w:val="002C6870"/>
    <w:rsid w:val="002E1B68"/>
    <w:rsid w:val="002E1CCD"/>
    <w:rsid w:val="002F3CFF"/>
    <w:rsid w:val="002F4916"/>
    <w:rsid w:val="002F5151"/>
    <w:rsid w:val="002F5850"/>
    <w:rsid w:val="002F7E3F"/>
    <w:rsid w:val="003008A7"/>
    <w:rsid w:val="003016AD"/>
    <w:rsid w:val="00311BF9"/>
    <w:rsid w:val="00312535"/>
    <w:rsid w:val="00315CF9"/>
    <w:rsid w:val="00317CBD"/>
    <w:rsid w:val="00320FF8"/>
    <w:rsid w:val="00324918"/>
    <w:rsid w:val="00325137"/>
    <w:rsid w:val="00326977"/>
    <w:rsid w:val="00327098"/>
    <w:rsid w:val="00331342"/>
    <w:rsid w:val="00332EC1"/>
    <w:rsid w:val="00336791"/>
    <w:rsid w:val="00341337"/>
    <w:rsid w:val="00343FE1"/>
    <w:rsid w:val="00345FAA"/>
    <w:rsid w:val="00350B86"/>
    <w:rsid w:val="003567AD"/>
    <w:rsid w:val="00357CBB"/>
    <w:rsid w:val="00367B43"/>
    <w:rsid w:val="00372C7A"/>
    <w:rsid w:val="00376E15"/>
    <w:rsid w:val="003820D9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FD1"/>
    <w:rsid w:val="003A6F3A"/>
    <w:rsid w:val="003A7A48"/>
    <w:rsid w:val="003B2226"/>
    <w:rsid w:val="003B24B6"/>
    <w:rsid w:val="003B2E18"/>
    <w:rsid w:val="003B64E7"/>
    <w:rsid w:val="003D48F8"/>
    <w:rsid w:val="003D52F2"/>
    <w:rsid w:val="003E2666"/>
    <w:rsid w:val="003E3DE2"/>
    <w:rsid w:val="003E40D1"/>
    <w:rsid w:val="003E77A1"/>
    <w:rsid w:val="003F1964"/>
    <w:rsid w:val="00402D9F"/>
    <w:rsid w:val="00410FFE"/>
    <w:rsid w:val="00426A92"/>
    <w:rsid w:val="004316C7"/>
    <w:rsid w:val="00433364"/>
    <w:rsid w:val="0043543D"/>
    <w:rsid w:val="004370C0"/>
    <w:rsid w:val="00437237"/>
    <w:rsid w:val="00437D6C"/>
    <w:rsid w:val="00440E02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50F4"/>
    <w:rsid w:val="00466AB9"/>
    <w:rsid w:val="00471F4D"/>
    <w:rsid w:val="00475411"/>
    <w:rsid w:val="00477E8F"/>
    <w:rsid w:val="004861FD"/>
    <w:rsid w:val="004907FF"/>
    <w:rsid w:val="00493E4C"/>
    <w:rsid w:val="00497993"/>
    <w:rsid w:val="004A0CA5"/>
    <w:rsid w:val="004A1A95"/>
    <w:rsid w:val="004A4778"/>
    <w:rsid w:val="004A714A"/>
    <w:rsid w:val="004B2FEB"/>
    <w:rsid w:val="004C14E3"/>
    <w:rsid w:val="004C778E"/>
    <w:rsid w:val="004D3CE0"/>
    <w:rsid w:val="004D75BF"/>
    <w:rsid w:val="004F5B25"/>
    <w:rsid w:val="004F5B5A"/>
    <w:rsid w:val="005171E3"/>
    <w:rsid w:val="00517883"/>
    <w:rsid w:val="0052175E"/>
    <w:rsid w:val="00524ADB"/>
    <w:rsid w:val="00530C65"/>
    <w:rsid w:val="00532BE3"/>
    <w:rsid w:val="00540E43"/>
    <w:rsid w:val="00545502"/>
    <w:rsid w:val="0054668A"/>
    <w:rsid w:val="0054748B"/>
    <w:rsid w:val="0055065F"/>
    <w:rsid w:val="005556C1"/>
    <w:rsid w:val="00565634"/>
    <w:rsid w:val="00567421"/>
    <w:rsid w:val="005677BC"/>
    <w:rsid w:val="005708AF"/>
    <w:rsid w:val="0057268D"/>
    <w:rsid w:val="005733C7"/>
    <w:rsid w:val="005826BC"/>
    <w:rsid w:val="0058771B"/>
    <w:rsid w:val="005912F8"/>
    <w:rsid w:val="005A0E2F"/>
    <w:rsid w:val="005A4048"/>
    <w:rsid w:val="005A498E"/>
    <w:rsid w:val="005C03A3"/>
    <w:rsid w:val="005C0FA8"/>
    <w:rsid w:val="005D15C7"/>
    <w:rsid w:val="005D32BF"/>
    <w:rsid w:val="005D3E08"/>
    <w:rsid w:val="005E06F2"/>
    <w:rsid w:val="005E2954"/>
    <w:rsid w:val="005E295F"/>
    <w:rsid w:val="005E30D6"/>
    <w:rsid w:val="005E76DC"/>
    <w:rsid w:val="005F0F7B"/>
    <w:rsid w:val="005F436D"/>
    <w:rsid w:val="0060359F"/>
    <w:rsid w:val="00605FD4"/>
    <w:rsid w:val="006134B4"/>
    <w:rsid w:val="00620D56"/>
    <w:rsid w:val="00625010"/>
    <w:rsid w:val="0063643D"/>
    <w:rsid w:val="0065684B"/>
    <w:rsid w:val="00656C38"/>
    <w:rsid w:val="00660BD6"/>
    <w:rsid w:val="0066111C"/>
    <w:rsid w:val="00661312"/>
    <w:rsid w:val="00665B5E"/>
    <w:rsid w:val="006718DD"/>
    <w:rsid w:val="00672B58"/>
    <w:rsid w:val="00672B96"/>
    <w:rsid w:val="00672BB7"/>
    <w:rsid w:val="00673835"/>
    <w:rsid w:val="006744DE"/>
    <w:rsid w:val="00677213"/>
    <w:rsid w:val="006801BB"/>
    <w:rsid w:val="006820C2"/>
    <w:rsid w:val="00684B67"/>
    <w:rsid w:val="00693E78"/>
    <w:rsid w:val="006953F2"/>
    <w:rsid w:val="00697385"/>
    <w:rsid w:val="006A13CF"/>
    <w:rsid w:val="006A231E"/>
    <w:rsid w:val="006A23EE"/>
    <w:rsid w:val="006A528C"/>
    <w:rsid w:val="006A594B"/>
    <w:rsid w:val="006A59D6"/>
    <w:rsid w:val="006B7618"/>
    <w:rsid w:val="006C5597"/>
    <w:rsid w:val="006C735B"/>
    <w:rsid w:val="006E4E8A"/>
    <w:rsid w:val="006F0F71"/>
    <w:rsid w:val="006F281B"/>
    <w:rsid w:val="006F29EF"/>
    <w:rsid w:val="006F2C05"/>
    <w:rsid w:val="00702F17"/>
    <w:rsid w:val="00703983"/>
    <w:rsid w:val="00703F7F"/>
    <w:rsid w:val="00704903"/>
    <w:rsid w:val="007076E0"/>
    <w:rsid w:val="00710EF9"/>
    <w:rsid w:val="0071470C"/>
    <w:rsid w:val="007151ED"/>
    <w:rsid w:val="00721DB4"/>
    <w:rsid w:val="0072523F"/>
    <w:rsid w:val="00725A3E"/>
    <w:rsid w:val="007262F3"/>
    <w:rsid w:val="00726668"/>
    <w:rsid w:val="00733E20"/>
    <w:rsid w:val="00737158"/>
    <w:rsid w:val="0074021E"/>
    <w:rsid w:val="00741C6E"/>
    <w:rsid w:val="007430B7"/>
    <w:rsid w:val="00744A97"/>
    <w:rsid w:val="00752F10"/>
    <w:rsid w:val="007547AB"/>
    <w:rsid w:val="00756A20"/>
    <w:rsid w:val="00757E18"/>
    <w:rsid w:val="00760BCE"/>
    <w:rsid w:val="00763269"/>
    <w:rsid w:val="00766B88"/>
    <w:rsid w:val="0077612F"/>
    <w:rsid w:val="00782680"/>
    <w:rsid w:val="00785B22"/>
    <w:rsid w:val="00797377"/>
    <w:rsid w:val="007A4BC1"/>
    <w:rsid w:val="007A52D2"/>
    <w:rsid w:val="007B2BC0"/>
    <w:rsid w:val="007B67E8"/>
    <w:rsid w:val="007C2E9D"/>
    <w:rsid w:val="007C55A2"/>
    <w:rsid w:val="007C7D83"/>
    <w:rsid w:val="007D01D4"/>
    <w:rsid w:val="007D51D0"/>
    <w:rsid w:val="007D7AC6"/>
    <w:rsid w:val="007E2491"/>
    <w:rsid w:val="007F0ADF"/>
    <w:rsid w:val="007F5413"/>
    <w:rsid w:val="007F7BD4"/>
    <w:rsid w:val="0080517C"/>
    <w:rsid w:val="00825E03"/>
    <w:rsid w:val="00832635"/>
    <w:rsid w:val="0084004E"/>
    <w:rsid w:val="008428C9"/>
    <w:rsid w:val="0084430B"/>
    <w:rsid w:val="00862954"/>
    <w:rsid w:val="00871E1E"/>
    <w:rsid w:val="0087210A"/>
    <w:rsid w:val="008723C5"/>
    <w:rsid w:val="00872C5B"/>
    <w:rsid w:val="00873C3E"/>
    <w:rsid w:val="00875846"/>
    <w:rsid w:val="00875B48"/>
    <w:rsid w:val="0088009B"/>
    <w:rsid w:val="00882E09"/>
    <w:rsid w:val="008878D0"/>
    <w:rsid w:val="00890743"/>
    <w:rsid w:val="00892803"/>
    <w:rsid w:val="008A1918"/>
    <w:rsid w:val="008A1F89"/>
    <w:rsid w:val="008A2FB6"/>
    <w:rsid w:val="008B1388"/>
    <w:rsid w:val="008B2FE8"/>
    <w:rsid w:val="008B50B9"/>
    <w:rsid w:val="008B7DCF"/>
    <w:rsid w:val="008C716E"/>
    <w:rsid w:val="008D414B"/>
    <w:rsid w:val="008E2231"/>
    <w:rsid w:val="008E4090"/>
    <w:rsid w:val="008E51E4"/>
    <w:rsid w:val="008E70F3"/>
    <w:rsid w:val="008F20F7"/>
    <w:rsid w:val="008F4D01"/>
    <w:rsid w:val="00902A00"/>
    <w:rsid w:val="00906B01"/>
    <w:rsid w:val="00914FF6"/>
    <w:rsid w:val="00917465"/>
    <w:rsid w:val="00930100"/>
    <w:rsid w:val="00930BEC"/>
    <w:rsid w:val="00930CA6"/>
    <w:rsid w:val="00931E7E"/>
    <w:rsid w:val="00932481"/>
    <w:rsid w:val="009356AB"/>
    <w:rsid w:val="00935BE4"/>
    <w:rsid w:val="00941616"/>
    <w:rsid w:val="00942613"/>
    <w:rsid w:val="009443F0"/>
    <w:rsid w:val="009452AD"/>
    <w:rsid w:val="00951E32"/>
    <w:rsid w:val="009522FC"/>
    <w:rsid w:val="00955701"/>
    <w:rsid w:val="009564A3"/>
    <w:rsid w:val="0095783E"/>
    <w:rsid w:val="00957D0D"/>
    <w:rsid w:val="00962CD2"/>
    <w:rsid w:val="00963B9D"/>
    <w:rsid w:val="00965531"/>
    <w:rsid w:val="00976DBB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41D2"/>
    <w:rsid w:val="009C099A"/>
    <w:rsid w:val="009C265B"/>
    <w:rsid w:val="009C590D"/>
    <w:rsid w:val="009C7C7E"/>
    <w:rsid w:val="009D01E8"/>
    <w:rsid w:val="009D117F"/>
    <w:rsid w:val="009D125D"/>
    <w:rsid w:val="009E295C"/>
    <w:rsid w:val="009E635F"/>
    <w:rsid w:val="009E663B"/>
    <w:rsid w:val="009E6FA2"/>
    <w:rsid w:val="009E72B1"/>
    <w:rsid w:val="009F318A"/>
    <w:rsid w:val="00A0326A"/>
    <w:rsid w:val="00A036DF"/>
    <w:rsid w:val="00A1116D"/>
    <w:rsid w:val="00A13B5D"/>
    <w:rsid w:val="00A13BD2"/>
    <w:rsid w:val="00A1437E"/>
    <w:rsid w:val="00A20750"/>
    <w:rsid w:val="00A25820"/>
    <w:rsid w:val="00A26852"/>
    <w:rsid w:val="00A26A00"/>
    <w:rsid w:val="00A300A2"/>
    <w:rsid w:val="00A32EEE"/>
    <w:rsid w:val="00A3482C"/>
    <w:rsid w:val="00A45442"/>
    <w:rsid w:val="00A5482F"/>
    <w:rsid w:val="00A566F4"/>
    <w:rsid w:val="00A601AE"/>
    <w:rsid w:val="00A6782D"/>
    <w:rsid w:val="00A728A3"/>
    <w:rsid w:val="00A7323A"/>
    <w:rsid w:val="00A76799"/>
    <w:rsid w:val="00A76E50"/>
    <w:rsid w:val="00A84CE9"/>
    <w:rsid w:val="00A906B5"/>
    <w:rsid w:val="00A926D4"/>
    <w:rsid w:val="00A92A37"/>
    <w:rsid w:val="00A94542"/>
    <w:rsid w:val="00A95378"/>
    <w:rsid w:val="00AA1387"/>
    <w:rsid w:val="00AA5D1D"/>
    <w:rsid w:val="00AB2DE8"/>
    <w:rsid w:val="00AB7604"/>
    <w:rsid w:val="00AC0232"/>
    <w:rsid w:val="00AC22A3"/>
    <w:rsid w:val="00AC2395"/>
    <w:rsid w:val="00AC2D6D"/>
    <w:rsid w:val="00AC32E2"/>
    <w:rsid w:val="00AC5F68"/>
    <w:rsid w:val="00AC6AD5"/>
    <w:rsid w:val="00AD0157"/>
    <w:rsid w:val="00AE0527"/>
    <w:rsid w:val="00AE1035"/>
    <w:rsid w:val="00AE16A4"/>
    <w:rsid w:val="00AE6024"/>
    <w:rsid w:val="00AF4BFC"/>
    <w:rsid w:val="00B12D93"/>
    <w:rsid w:val="00B172EC"/>
    <w:rsid w:val="00B273A5"/>
    <w:rsid w:val="00B30D0D"/>
    <w:rsid w:val="00B319B5"/>
    <w:rsid w:val="00B35249"/>
    <w:rsid w:val="00B42338"/>
    <w:rsid w:val="00B42D41"/>
    <w:rsid w:val="00B42E63"/>
    <w:rsid w:val="00B43DE6"/>
    <w:rsid w:val="00B46243"/>
    <w:rsid w:val="00B47BF2"/>
    <w:rsid w:val="00B64398"/>
    <w:rsid w:val="00B660F0"/>
    <w:rsid w:val="00B676BD"/>
    <w:rsid w:val="00B7063C"/>
    <w:rsid w:val="00B718C2"/>
    <w:rsid w:val="00B87D38"/>
    <w:rsid w:val="00BA0468"/>
    <w:rsid w:val="00BA097C"/>
    <w:rsid w:val="00BB3010"/>
    <w:rsid w:val="00BB7537"/>
    <w:rsid w:val="00BB7792"/>
    <w:rsid w:val="00BC3888"/>
    <w:rsid w:val="00BD3F96"/>
    <w:rsid w:val="00BD6790"/>
    <w:rsid w:val="00BD7803"/>
    <w:rsid w:val="00BE0FB2"/>
    <w:rsid w:val="00BE1FCB"/>
    <w:rsid w:val="00BE4C87"/>
    <w:rsid w:val="00BE50C4"/>
    <w:rsid w:val="00BF14DC"/>
    <w:rsid w:val="00C04049"/>
    <w:rsid w:val="00C07B25"/>
    <w:rsid w:val="00C1456C"/>
    <w:rsid w:val="00C17493"/>
    <w:rsid w:val="00C231A7"/>
    <w:rsid w:val="00C231F2"/>
    <w:rsid w:val="00C33A96"/>
    <w:rsid w:val="00C37CD8"/>
    <w:rsid w:val="00C45298"/>
    <w:rsid w:val="00C456A8"/>
    <w:rsid w:val="00C52010"/>
    <w:rsid w:val="00C57142"/>
    <w:rsid w:val="00C66B21"/>
    <w:rsid w:val="00C71648"/>
    <w:rsid w:val="00C71D8B"/>
    <w:rsid w:val="00C76EFB"/>
    <w:rsid w:val="00C86AB5"/>
    <w:rsid w:val="00C91307"/>
    <w:rsid w:val="00C9176D"/>
    <w:rsid w:val="00C93D89"/>
    <w:rsid w:val="00C93F8A"/>
    <w:rsid w:val="00C94082"/>
    <w:rsid w:val="00C945F2"/>
    <w:rsid w:val="00C95A8C"/>
    <w:rsid w:val="00C968F2"/>
    <w:rsid w:val="00CA3F6B"/>
    <w:rsid w:val="00CB19AF"/>
    <w:rsid w:val="00CB2C3F"/>
    <w:rsid w:val="00CB5E6C"/>
    <w:rsid w:val="00CC3C58"/>
    <w:rsid w:val="00CC7F02"/>
    <w:rsid w:val="00CD2EFD"/>
    <w:rsid w:val="00CD6919"/>
    <w:rsid w:val="00CE177F"/>
    <w:rsid w:val="00CF08E7"/>
    <w:rsid w:val="00CF2F03"/>
    <w:rsid w:val="00CF4860"/>
    <w:rsid w:val="00D1081C"/>
    <w:rsid w:val="00D11C20"/>
    <w:rsid w:val="00D14C0C"/>
    <w:rsid w:val="00D16BDE"/>
    <w:rsid w:val="00D17B2A"/>
    <w:rsid w:val="00D17F2B"/>
    <w:rsid w:val="00D262A9"/>
    <w:rsid w:val="00D308FE"/>
    <w:rsid w:val="00D3106C"/>
    <w:rsid w:val="00D335C7"/>
    <w:rsid w:val="00D376F8"/>
    <w:rsid w:val="00D52AE5"/>
    <w:rsid w:val="00D601E1"/>
    <w:rsid w:val="00D61585"/>
    <w:rsid w:val="00D64833"/>
    <w:rsid w:val="00D6525A"/>
    <w:rsid w:val="00D6587A"/>
    <w:rsid w:val="00D66843"/>
    <w:rsid w:val="00D83977"/>
    <w:rsid w:val="00D8719A"/>
    <w:rsid w:val="00DB07A6"/>
    <w:rsid w:val="00DB21E5"/>
    <w:rsid w:val="00DD367E"/>
    <w:rsid w:val="00DE5DFF"/>
    <w:rsid w:val="00DE6045"/>
    <w:rsid w:val="00DE6B4C"/>
    <w:rsid w:val="00DF088F"/>
    <w:rsid w:val="00DF6D0D"/>
    <w:rsid w:val="00E018DE"/>
    <w:rsid w:val="00E12712"/>
    <w:rsid w:val="00E128C6"/>
    <w:rsid w:val="00E15271"/>
    <w:rsid w:val="00E15E35"/>
    <w:rsid w:val="00E22B32"/>
    <w:rsid w:val="00E250FF"/>
    <w:rsid w:val="00E25CA4"/>
    <w:rsid w:val="00E2600D"/>
    <w:rsid w:val="00E27F64"/>
    <w:rsid w:val="00E32B62"/>
    <w:rsid w:val="00E35919"/>
    <w:rsid w:val="00E44FF0"/>
    <w:rsid w:val="00E46B3F"/>
    <w:rsid w:val="00E47B77"/>
    <w:rsid w:val="00E508E4"/>
    <w:rsid w:val="00E50CC2"/>
    <w:rsid w:val="00E529A9"/>
    <w:rsid w:val="00E56EA4"/>
    <w:rsid w:val="00E65EA3"/>
    <w:rsid w:val="00E6646F"/>
    <w:rsid w:val="00E6747F"/>
    <w:rsid w:val="00E758AE"/>
    <w:rsid w:val="00E763DF"/>
    <w:rsid w:val="00E907AC"/>
    <w:rsid w:val="00E9100F"/>
    <w:rsid w:val="00E92382"/>
    <w:rsid w:val="00E9337A"/>
    <w:rsid w:val="00E939EA"/>
    <w:rsid w:val="00E95B38"/>
    <w:rsid w:val="00E96228"/>
    <w:rsid w:val="00EA3F2E"/>
    <w:rsid w:val="00EA4F78"/>
    <w:rsid w:val="00EB37E6"/>
    <w:rsid w:val="00EC008B"/>
    <w:rsid w:val="00EC17F7"/>
    <w:rsid w:val="00EC548D"/>
    <w:rsid w:val="00EC5FD4"/>
    <w:rsid w:val="00EC6620"/>
    <w:rsid w:val="00ED76BA"/>
    <w:rsid w:val="00EE0F00"/>
    <w:rsid w:val="00EF1F69"/>
    <w:rsid w:val="00EF6BE0"/>
    <w:rsid w:val="00F15EB5"/>
    <w:rsid w:val="00F17FD0"/>
    <w:rsid w:val="00F20E32"/>
    <w:rsid w:val="00F21FD4"/>
    <w:rsid w:val="00F24528"/>
    <w:rsid w:val="00F3095E"/>
    <w:rsid w:val="00F342D0"/>
    <w:rsid w:val="00F36129"/>
    <w:rsid w:val="00F40CAA"/>
    <w:rsid w:val="00F5151A"/>
    <w:rsid w:val="00F5346D"/>
    <w:rsid w:val="00F546D9"/>
    <w:rsid w:val="00F740B9"/>
    <w:rsid w:val="00F90113"/>
    <w:rsid w:val="00F94DB2"/>
    <w:rsid w:val="00F976FB"/>
    <w:rsid w:val="00FA048C"/>
    <w:rsid w:val="00FA3564"/>
    <w:rsid w:val="00FA7766"/>
    <w:rsid w:val="00FB282F"/>
    <w:rsid w:val="00FB55E5"/>
    <w:rsid w:val="00FB5A6A"/>
    <w:rsid w:val="00FB74B4"/>
    <w:rsid w:val="00FC2A47"/>
    <w:rsid w:val="00FD0C4C"/>
    <w:rsid w:val="00FD1948"/>
    <w:rsid w:val="00FE1F07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D:\VZ3\ozn_celkem2014.xls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1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Oznámení o zakázce (hodnota)</a:t>
            </a:r>
          </a:p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0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struktura v roce 2014 podle druhu zadavatele</a:t>
            </a:r>
          </a:p>
        </c:rich>
      </c:tx>
      <c:layout>
        <c:manualLayout>
          <c:xMode val="edge"/>
          <c:yMode val="edge"/>
          <c:x val="0.14399641905226965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2767014588292742"/>
          <c:y val="0.33952194991892798"/>
          <c:w val="0.56336039390425041"/>
          <c:h val="0.66047805008107197"/>
        </c:manualLayout>
      </c:layout>
      <c:pie3DChart>
        <c:varyColors val="1"/>
        <c:ser>
          <c:idx val="0"/>
          <c:order val="0"/>
          <c:spPr>
            <a:ln>
              <a:solidFill>
                <a:schemeClr val="bg1">
                  <a:lumMod val="50000"/>
                </a:schemeClr>
              </a:solidFill>
            </a:ln>
          </c:spPr>
          <c:dPt>
            <c:idx val="0"/>
            <c:bubble3D val="0"/>
            <c:spPr>
              <a:solidFill>
                <a:srgbClr val="FF9933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1"/>
            <c:bubble3D val="0"/>
            <c:spPr>
              <a:solidFill>
                <a:srgbClr val="92D05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2"/>
            <c:bubble3D val="0"/>
            <c:spPr>
              <a:solidFill>
                <a:srgbClr val="0070C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3"/>
            <c:bubble3D val="0"/>
            <c:spPr>
              <a:solidFill>
                <a:srgbClr val="7030A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Lbls>
            <c:txPr>
              <a:bodyPr/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druh!$C$127:$F$127</c:f>
              <c:strCache>
                <c:ptCount val="4"/>
                <c:pt idx="0">
                  <c:v>ministerstva a další celostátní úřady</c:v>
                </c:pt>
                <c:pt idx="1">
                  <c:v>ostatní subjekty</c:v>
                </c:pt>
                <c:pt idx="2">
                  <c:v>regionální úřady a sdružení</c:v>
                </c:pt>
                <c:pt idx="3">
                  <c:v>státní podniky</c:v>
                </c:pt>
              </c:strCache>
            </c:strRef>
          </c:cat>
          <c:val>
            <c:numRef>
              <c:f>druh!$H$139:$K$139</c:f>
              <c:numCache>
                <c:formatCode>0.0</c:formatCode>
                <c:ptCount val="4"/>
                <c:pt idx="0">
                  <c:v>61.69714338283363</c:v>
                </c:pt>
                <c:pt idx="1">
                  <c:v>19.702630644481523</c:v>
                </c:pt>
                <c:pt idx="2">
                  <c:v>14.881579012390464</c:v>
                </c:pt>
                <c:pt idx="3">
                  <c:v>3.7186469602943784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0.21664</cdr:x>
      <cdr:y>0.15198</cdr:y>
    </cdr:from>
    <cdr:to>
      <cdr:x>0.82245</cdr:x>
      <cdr:y>0.2295</cdr:y>
    </cdr:to>
    <cdr:sp macro="" textlink="">
      <cdr:nvSpPr>
        <cdr:cNvPr id="2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784225" y="355600"/>
          <a:ext cx="2246580" cy="18025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xtLst xmlns:a="http://schemas.openxmlformats.org/drawingml/2006/main"/>
      </cdr:spPr>
      <cdr:txBody>
        <a:bodyPr xmlns:a="http://schemas.openxmlformats.org/drawingml/2006/main" wrap="square" lIns="0" tIns="22860" rIns="27432" bIns="0" anchor="t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 rtl="0">
            <a:defRPr sz="1000"/>
          </a:pPr>
          <a:r>
            <a:rPr lang="cs-CZ" sz="800" b="0" i="1" u="none" strike="noStrike" baseline="0">
              <a:solidFill>
                <a:srgbClr val="000000"/>
              </a:solidFill>
              <a:latin typeface="Arial"/>
              <a:cs typeface="Arial"/>
            </a:rPr>
            <a:t>veřejné zakázky projekční</a:t>
          </a:r>
          <a:endParaRPr lang="cs-CZ"/>
        </a:p>
      </cdr:txBody>
    </cdr:sp>
  </cdr:relSizeAnchor>
  <cdr:relSizeAnchor xmlns:cdr="http://schemas.openxmlformats.org/drawingml/2006/chartDrawing">
    <cdr:from>
      <cdr:x>0.00086</cdr:x>
      <cdr:y>0.92112</cdr:y>
    </cdr:from>
    <cdr:to>
      <cdr:x>0.67011</cdr:x>
      <cdr:y>0.99585</cdr:y>
    </cdr:to>
    <cdr:sp macro="" textlink="">
      <cdr:nvSpPr>
        <cdr:cNvPr id="3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3175" y="2298700"/>
          <a:ext cx="2466974" cy="186501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xtLst xmlns:a="http://schemas.openxmlformats.org/drawingml/2006/main"/>
      </cdr:spPr>
      <cdr:txBody>
        <a:bodyPr xmlns:a="http://schemas.openxmlformats.org/drawingml/2006/main" wrap="square" lIns="0" tIns="22860" rIns="27432" bIns="0" anchor="t" upright="1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l" rtl="0">
            <a:defRPr sz="1000"/>
          </a:pPr>
          <a:r>
            <a:rPr lang="cs-CZ" sz="700" b="0" i="0" u="none" strike="noStrike" baseline="0">
              <a:solidFill>
                <a:srgbClr val="000000"/>
              </a:solidFill>
              <a:latin typeface="Arial"/>
              <a:cs typeface="Arial"/>
            </a:rPr>
            <a:t>Zdroj: Věstník veřejných zakázek, výpočty CEEC Research</a:t>
          </a:r>
        </a:p>
      </cdr:txBody>
    </cdr:sp>
  </cdr:relSizeAnchor>
</c:userShape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Kancelář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Kancelář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640DA-1CB8-4CE5-B044-6A443FC03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1153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7942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21</cp:revision>
  <dcterms:created xsi:type="dcterms:W3CDTF">2015-02-04T14:57:00Z</dcterms:created>
  <dcterms:modified xsi:type="dcterms:W3CDTF">2015-02-20T07:21:00Z</dcterms:modified>
</cp:coreProperties>
</file>