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6DF" w:rsidRDefault="00A036DF" w:rsidP="00A036DF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 xml:space="preserve">Veřejné investice do stavebnictví v 2014 </w:t>
      </w:r>
      <w:r w:rsidR="00A566F4">
        <w:rPr>
          <w:rFonts w:ascii="Arial" w:hAnsi="Arial" w:cs="Arial"/>
          <w:b/>
          <w:bCs/>
          <w:sz w:val="32"/>
          <w:szCs w:val="32"/>
        </w:rPr>
        <w:t>vz</w:t>
      </w:r>
      <w:r>
        <w:rPr>
          <w:rFonts w:ascii="Arial" w:hAnsi="Arial" w:cs="Arial"/>
          <w:b/>
          <w:bCs/>
          <w:sz w:val="32"/>
          <w:szCs w:val="32"/>
        </w:rPr>
        <w:t xml:space="preserve">rostly o 18,7 % </w:t>
      </w:r>
      <w:r w:rsidR="00A566F4">
        <w:rPr>
          <w:rFonts w:ascii="Arial" w:hAnsi="Arial" w:cs="Arial"/>
          <w:b/>
          <w:bCs/>
          <w:sz w:val="32"/>
          <w:szCs w:val="32"/>
        </w:rPr>
        <w:t xml:space="preserve">a dosáhly </w:t>
      </w:r>
      <w:r>
        <w:rPr>
          <w:rFonts w:ascii="Arial" w:hAnsi="Arial" w:cs="Arial"/>
          <w:b/>
          <w:bCs/>
          <w:sz w:val="32"/>
          <w:szCs w:val="32"/>
        </w:rPr>
        <w:t>116,9 miliard korun</w:t>
      </w:r>
    </w:p>
    <w:p w:rsidR="00F36129" w:rsidRDefault="00F36129" w:rsidP="00030F20">
      <w:pPr>
        <w:spacing w:after="0" w:line="360" w:lineRule="auto"/>
        <w:jc w:val="both"/>
        <w:rPr>
          <w:rFonts w:ascii="Arial" w:eastAsia="SimSun" w:hAnsi="Arial" w:cs="Arial"/>
          <w:b/>
          <w:bCs/>
          <w:kern w:val="1"/>
          <w:sz w:val="32"/>
          <w:szCs w:val="32"/>
        </w:rPr>
      </w:pPr>
    </w:p>
    <w:p w:rsidR="00B64398" w:rsidRPr="00C45298" w:rsidRDefault="00B718C2" w:rsidP="00030F20">
      <w:pPr>
        <w:spacing w:after="0" w:line="360" w:lineRule="auto"/>
        <w:jc w:val="both"/>
        <w:rPr>
          <w:rFonts w:ascii="Arial" w:eastAsia="SimSun" w:hAnsi="Arial" w:cs="Arial"/>
          <w:b/>
          <w:kern w:val="1"/>
        </w:rPr>
      </w:pPr>
      <w:r>
        <w:rPr>
          <w:rFonts w:ascii="Arial" w:eastAsia="SimSun" w:hAnsi="Arial" w:cs="Arial"/>
          <w:b/>
          <w:kern w:val="1"/>
        </w:rPr>
        <w:t xml:space="preserve">Praha </w:t>
      </w:r>
      <w:r w:rsidR="00440E02">
        <w:rPr>
          <w:rFonts w:ascii="Arial" w:eastAsia="SimSun" w:hAnsi="Arial" w:cs="Arial"/>
          <w:b/>
          <w:kern w:val="1"/>
        </w:rPr>
        <w:t>5</w:t>
      </w:r>
      <w:r w:rsidR="00D83977">
        <w:rPr>
          <w:rFonts w:ascii="Arial" w:eastAsia="SimSun" w:hAnsi="Arial" w:cs="Arial"/>
          <w:b/>
          <w:kern w:val="1"/>
        </w:rPr>
        <w:t>. února</w:t>
      </w:r>
      <w:r w:rsidR="00C968F2" w:rsidRPr="00C45298">
        <w:rPr>
          <w:rFonts w:ascii="Arial" w:eastAsia="SimSun" w:hAnsi="Arial" w:cs="Arial"/>
          <w:b/>
          <w:kern w:val="1"/>
        </w:rPr>
        <w:t xml:space="preserve"> </w:t>
      </w:r>
      <w:r w:rsidR="002A7D2C" w:rsidRPr="00C45298">
        <w:rPr>
          <w:rFonts w:ascii="Arial" w:eastAsia="SimSun" w:hAnsi="Arial" w:cs="Arial"/>
          <w:b/>
          <w:kern w:val="1"/>
        </w:rPr>
        <w:t>–</w:t>
      </w:r>
      <w:r w:rsidR="00A95378">
        <w:rPr>
          <w:rFonts w:ascii="Arial" w:eastAsia="SimSun" w:hAnsi="Arial" w:cs="Arial"/>
          <w:b/>
          <w:kern w:val="1"/>
        </w:rPr>
        <w:t xml:space="preserve"> Investice státu do výstavby a rekonstrukcí </w:t>
      </w:r>
      <w:r w:rsidR="00440E02">
        <w:rPr>
          <w:rFonts w:ascii="Arial" w:eastAsia="SimSun" w:hAnsi="Arial" w:cs="Arial"/>
          <w:b/>
          <w:kern w:val="1"/>
        </w:rPr>
        <w:t xml:space="preserve">v roce </w:t>
      </w:r>
      <w:r w:rsidR="00A566F4">
        <w:rPr>
          <w:rFonts w:ascii="Arial" w:eastAsia="SimSun" w:hAnsi="Arial" w:cs="Arial"/>
          <w:b/>
          <w:kern w:val="1"/>
        </w:rPr>
        <w:t xml:space="preserve">2014 </w:t>
      </w:r>
      <w:r w:rsidR="00440E02">
        <w:rPr>
          <w:rFonts w:ascii="Arial" w:eastAsia="SimSun" w:hAnsi="Arial" w:cs="Arial"/>
          <w:b/>
          <w:kern w:val="1"/>
        </w:rPr>
        <w:t xml:space="preserve">znatelně vzrostly. </w:t>
      </w:r>
      <w:r w:rsidR="005708AF">
        <w:rPr>
          <w:rFonts w:ascii="Arial" w:eastAsia="SimSun" w:hAnsi="Arial" w:cs="Arial"/>
          <w:b/>
          <w:kern w:val="1"/>
        </w:rPr>
        <w:t xml:space="preserve"> </w:t>
      </w:r>
      <w:r w:rsidR="00A566F4">
        <w:rPr>
          <w:rFonts w:ascii="Arial" w:eastAsia="SimSun" w:hAnsi="Arial" w:cs="Arial"/>
          <w:b/>
          <w:kern w:val="1"/>
        </w:rPr>
        <w:t xml:space="preserve">Téměř o </w:t>
      </w:r>
      <w:r w:rsidR="005708AF">
        <w:rPr>
          <w:rFonts w:ascii="Arial" w:eastAsia="SimSun" w:hAnsi="Arial" w:cs="Arial"/>
          <w:b/>
          <w:kern w:val="1"/>
        </w:rPr>
        <w:t>pětin</w:t>
      </w:r>
      <w:r w:rsidR="00A566F4">
        <w:rPr>
          <w:rFonts w:ascii="Arial" w:eastAsia="SimSun" w:hAnsi="Arial" w:cs="Arial"/>
          <w:b/>
          <w:kern w:val="1"/>
        </w:rPr>
        <w:t>u</w:t>
      </w:r>
      <w:r w:rsidR="005708AF">
        <w:rPr>
          <w:rFonts w:ascii="Arial" w:eastAsia="SimSun" w:hAnsi="Arial" w:cs="Arial"/>
          <w:b/>
          <w:kern w:val="1"/>
        </w:rPr>
        <w:t xml:space="preserve"> (18,2 procenta) </w:t>
      </w:r>
      <w:r w:rsidR="00A566F4">
        <w:rPr>
          <w:rFonts w:ascii="Arial" w:eastAsia="SimSun" w:hAnsi="Arial" w:cs="Arial"/>
          <w:b/>
          <w:kern w:val="1"/>
        </w:rPr>
        <w:t xml:space="preserve">přibylo </w:t>
      </w:r>
      <w:r w:rsidR="005708AF">
        <w:rPr>
          <w:rFonts w:ascii="Arial" w:eastAsia="SimSun" w:hAnsi="Arial" w:cs="Arial"/>
          <w:b/>
          <w:kern w:val="1"/>
        </w:rPr>
        <w:t xml:space="preserve">výběrových řízení. </w:t>
      </w:r>
      <w:r w:rsidR="00440E02">
        <w:rPr>
          <w:rFonts w:ascii="Arial" w:eastAsia="SimSun" w:hAnsi="Arial" w:cs="Arial"/>
          <w:b/>
          <w:kern w:val="1"/>
        </w:rPr>
        <w:t>Jejich h</w:t>
      </w:r>
      <w:r w:rsidR="005708AF">
        <w:rPr>
          <w:rFonts w:ascii="Arial" w:eastAsia="SimSun" w:hAnsi="Arial" w:cs="Arial"/>
          <w:b/>
          <w:kern w:val="1"/>
        </w:rPr>
        <w:t xml:space="preserve">odnota stoupla v porovnání s rokem 2013 o 8,4 miliardy korun </w:t>
      </w:r>
      <w:r w:rsidR="00A566F4">
        <w:rPr>
          <w:rFonts w:ascii="Arial" w:eastAsia="SimSun" w:hAnsi="Arial" w:cs="Arial"/>
          <w:b/>
          <w:kern w:val="1"/>
        </w:rPr>
        <w:t xml:space="preserve">a dosáhla </w:t>
      </w:r>
      <w:r w:rsidR="005708AF">
        <w:rPr>
          <w:rFonts w:ascii="Arial" w:eastAsia="SimSun" w:hAnsi="Arial" w:cs="Arial"/>
          <w:b/>
          <w:kern w:val="1"/>
        </w:rPr>
        <w:t>133,8 miliardy korun</w:t>
      </w:r>
      <w:r w:rsidR="00766B88">
        <w:rPr>
          <w:rFonts w:ascii="Arial" w:eastAsia="SimSun" w:hAnsi="Arial" w:cs="Arial"/>
          <w:b/>
          <w:kern w:val="1"/>
        </w:rPr>
        <w:t xml:space="preserve">. </w:t>
      </w:r>
      <w:r w:rsidR="00A566F4">
        <w:rPr>
          <w:rFonts w:ascii="Arial" w:eastAsia="SimSun" w:hAnsi="Arial" w:cs="Arial"/>
          <w:b/>
          <w:kern w:val="1"/>
        </w:rPr>
        <w:t>O 18,7 procenta vzr</w:t>
      </w:r>
      <w:r w:rsidR="005708AF">
        <w:rPr>
          <w:rFonts w:ascii="Arial" w:eastAsia="SimSun" w:hAnsi="Arial" w:cs="Arial"/>
          <w:b/>
          <w:kern w:val="1"/>
        </w:rPr>
        <w:t>ostl také objem zakázek, které byly zadány konkrétním firmám</w:t>
      </w:r>
      <w:r w:rsidR="00A566F4">
        <w:rPr>
          <w:rFonts w:ascii="Arial" w:eastAsia="SimSun" w:hAnsi="Arial" w:cs="Arial"/>
          <w:b/>
          <w:kern w:val="1"/>
        </w:rPr>
        <w:t>.</w:t>
      </w:r>
      <w:r w:rsidR="00026B61">
        <w:rPr>
          <w:rFonts w:ascii="Arial" w:eastAsia="SimSun" w:hAnsi="Arial" w:cs="Arial"/>
          <w:b/>
          <w:kern w:val="1"/>
        </w:rPr>
        <w:t xml:space="preserve"> </w:t>
      </w:r>
      <w:r w:rsidR="005708AF">
        <w:rPr>
          <w:rFonts w:ascii="Arial" w:eastAsia="SimSun" w:hAnsi="Arial" w:cs="Arial"/>
          <w:b/>
          <w:kern w:val="1"/>
        </w:rPr>
        <w:t xml:space="preserve"> </w:t>
      </w:r>
      <w:r w:rsidR="006F29EF" w:rsidRPr="007F7BD4">
        <w:rPr>
          <w:rFonts w:ascii="Arial" w:eastAsia="SimSun" w:hAnsi="Arial" w:cs="Arial"/>
          <w:b/>
          <w:kern w:val="1"/>
        </w:rPr>
        <w:t>Vyplývá to z</w:t>
      </w:r>
      <w:r w:rsidR="00437237" w:rsidRPr="007F7BD4">
        <w:rPr>
          <w:rFonts w:ascii="Arial" w:eastAsia="SimSun" w:hAnsi="Arial" w:cs="Arial"/>
          <w:b/>
          <w:kern w:val="1"/>
        </w:rPr>
        <w:t> </w:t>
      </w:r>
      <w:r w:rsidR="000C079A" w:rsidRPr="007F7BD4">
        <w:rPr>
          <w:rFonts w:ascii="Arial" w:eastAsia="SimSun" w:hAnsi="Arial" w:cs="Arial"/>
          <w:b/>
          <w:kern w:val="1"/>
        </w:rPr>
        <w:t>nejnovější</w:t>
      </w:r>
      <w:r w:rsidR="00437237" w:rsidRPr="007F7BD4">
        <w:rPr>
          <w:rFonts w:ascii="Arial" w:eastAsia="SimSun" w:hAnsi="Arial" w:cs="Arial"/>
          <w:b/>
          <w:kern w:val="1"/>
        </w:rPr>
        <w:t xml:space="preserve"> analýzy </w:t>
      </w:r>
      <w:r w:rsidR="00F20E32" w:rsidRPr="007F7BD4">
        <w:rPr>
          <w:rFonts w:ascii="Arial" w:eastAsia="SimSun" w:hAnsi="Arial" w:cs="Arial"/>
          <w:b/>
          <w:kern w:val="1"/>
        </w:rPr>
        <w:t xml:space="preserve">zpracované </w:t>
      </w:r>
      <w:r w:rsidR="005A4048" w:rsidRPr="007F7BD4">
        <w:rPr>
          <w:rFonts w:ascii="Arial" w:eastAsia="SimSun" w:hAnsi="Arial" w:cs="Arial"/>
          <w:b/>
          <w:kern w:val="1"/>
        </w:rPr>
        <w:t>analytick</w:t>
      </w:r>
      <w:r w:rsidR="00F20E32" w:rsidRPr="007F7BD4">
        <w:rPr>
          <w:rFonts w:ascii="Arial" w:eastAsia="SimSun" w:hAnsi="Arial" w:cs="Arial"/>
          <w:b/>
          <w:kern w:val="1"/>
        </w:rPr>
        <w:t>ou</w:t>
      </w:r>
      <w:r w:rsidR="005A4048" w:rsidRPr="007F7BD4">
        <w:rPr>
          <w:rFonts w:ascii="Arial" w:eastAsia="SimSun" w:hAnsi="Arial" w:cs="Arial"/>
          <w:b/>
          <w:kern w:val="1"/>
        </w:rPr>
        <w:t xml:space="preserve"> společnost</w:t>
      </w:r>
      <w:r w:rsidR="00F20E32" w:rsidRPr="007F7BD4">
        <w:rPr>
          <w:rFonts w:ascii="Arial" w:eastAsia="SimSun" w:hAnsi="Arial" w:cs="Arial"/>
          <w:b/>
          <w:kern w:val="1"/>
        </w:rPr>
        <w:t>í</w:t>
      </w:r>
      <w:r w:rsidR="005A4048" w:rsidRPr="007F7BD4">
        <w:rPr>
          <w:rFonts w:ascii="Arial" w:eastAsia="SimSun" w:hAnsi="Arial" w:cs="Arial"/>
          <w:b/>
          <w:kern w:val="1"/>
        </w:rPr>
        <w:t xml:space="preserve"> </w:t>
      </w:r>
      <w:r w:rsidR="007A4BC1" w:rsidRPr="007F7BD4">
        <w:rPr>
          <w:rFonts w:ascii="Arial" w:eastAsia="SimSun" w:hAnsi="Arial" w:cs="Arial"/>
          <w:b/>
          <w:kern w:val="1"/>
        </w:rPr>
        <w:t xml:space="preserve">CEEC </w:t>
      </w:r>
      <w:proofErr w:type="spellStart"/>
      <w:r w:rsidR="007A4BC1" w:rsidRPr="007F7BD4">
        <w:rPr>
          <w:rFonts w:ascii="Arial" w:eastAsia="SimSun" w:hAnsi="Arial" w:cs="Arial"/>
          <w:b/>
          <w:kern w:val="1"/>
        </w:rPr>
        <w:t>Research</w:t>
      </w:r>
      <w:proofErr w:type="spellEnd"/>
      <w:r w:rsidR="008C716E">
        <w:rPr>
          <w:rFonts w:ascii="Arial" w:eastAsia="SimSun" w:hAnsi="Arial" w:cs="Arial"/>
          <w:b/>
          <w:kern w:val="1"/>
        </w:rPr>
        <w:t xml:space="preserve"> </w:t>
      </w:r>
      <w:r w:rsidR="005A4048" w:rsidRPr="00C45298">
        <w:rPr>
          <w:rFonts w:ascii="Arial" w:eastAsia="SimSun" w:hAnsi="Arial" w:cs="Arial"/>
          <w:b/>
          <w:kern w:val="1"/>
        </w:rPr>
        <w:t xml:space="preserve">na základě dat uveřejněných </w:t>
      </w:r>
      <w:r w:rsidR="003A6F3A" w:rsidRPr="00C45298">
        <w:rPr>
          <w:rFonts w:ascii="Arial" w:eastAsia="SimSun" w:hAnsi="Arial" w:cs="Arial"/>
          <w:b/>
          <w:kern w:val="1"/>
        </w:rPr>
        <w:t xml:space="preserve">na </w:t>
      </w:r>
      <w:r w:rsidR="00D11C20">
        <w:rPr>
          <w:rFonts w:ascii="Arial" w:eastAsia="SimSun" w:hAnsi="Arial" w:cs="Arial"/>
          <w:b/>
          <w:kern w:val="1"/>
        </w:rPr>
        <w:t xml:space="preserve">konci prosince </w:t>
      </w:r>
      <w:r w:rsidR="00F20E32" w:rsidRPr="00C45298">
        <w:rPr>
          <w:rFonts w:ascii="Arial" w:eastAsia="SimSun" w:hAnsi="Arial" w:cs="Arial"/>
          <w:b/>
          <w:kern w:val="1"/>
        </w:rPr>
        <w:t xml:space="preserve">2014 </w:t>
      </w:r>
      <w:r w:rsidR="005A4048" w:rsidRPr="00C45298">
        <w:rPr>
          <w:rFonts w:ascii="Arial" w:eastAsia="SimSun" w:hAnsi="Arial" w:cs="Arial"/>
          <w:b/>
          <w:kern w:val="1"/>
        </w:rPr>
        <w:t>ve Věstníku veřejných zakázek</w:t>
      </w:r>
      <w:r w:rsidR="000D031A" w:rsidRPr="00C45298">
        <w:rPr>
          <w:rFonts w:ascii="Arial" w:eastAsia="SimSun" w:hAnsi="Arial" w:cs="Arial"/>
          <w:b/>
          <w:kern w:val="1"/>
        </w:rPr>
        <w:t>.</w:t>
      </w:r>
      <w:r w:rsidR="00672B96" w:rsidRPr="00C45298">
        <w:rPr>
          <w:rFonts w:ascii="Arial" w:eastAsia="SimSun" w:hAnsi="Arial" w:cs="Arial"/>
          <w:b/>
          <w:kern w:val="1"/>
        </w:rPr>
        <w:t xml:space="preserve"> </w:t>
      </w:r>
    </w:p>
    <w:p w:rsidR="009522FC" w:rsidRDefault="009522FC" w:rsidP="0054748B">
      <w:pPr>
        <w:spacing w:after="0" w:line="360" w:lineRule="auto"/>
        <w:jc w:val="both"/>
        <w:rPr>
          <w:rFonts w:ascii="Arial" w:hAnsi="Arial" w:cs="Arial"/>
        </w:rPr>
      </w:pPr>
    </w:p>
    <w:p w:rsidR="000E5419" w:rsidRPr="000E5419" w:rsidRDefault="008E2231" w:rsidP="000E541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Zakázek na výstavbu a rekonstrukce přibylo. </w:t>
      </w:r>
      <w:r w:rsidR="00440E02">
        <w:rPr>
          <w:rFonts w:ascii="Arial" w:hAnsi="Arial" w:cs="Arial"/>
        </w:rPr>
        <w:t xml:space="preserve">Veřejné </w:t>
      </w:r>
      <w:r>
        <w:rPr>
          <w:rFonts w:ascii="Arial" w:hAnsi="Arial" w:cs="Arial"/>
        </w:rPr>
        <w:t>instituce jich</w:t>
      </w:r>
      <w:r w:rsidR="00A566F4">
        <w:rPr>
          <w:rFonts w:ascii="Arial" w:hAnsi="Arial" w:cs="Arial"/>
        </w:rPr>
        <w:t xml:space="preserve"> v roce </w:t>
      </w:r>
      <w:proofErr w:type="gramStart"/>
      <w:r w:rsidR="00A566F4">
        <w:rPr>
          <w:rFonts w:ascii="Arial" w:hAnsi="Arial" w:cs="Arial"/>
        </w:rPr>
        <w:t xml:space="preserve">2014 </w:t>
      </w:r>
      <w:r>
        <w:rPr>
          <w:rFonts w:ascii="Arial" w:hAnsi="Arial" w:cs="Arial"/>
        </w:rPr>
        <w:t xml:space="preserve"> vypsaly</w:t>
      </w:r>
      <w:proofErr w:type="gramEnd"/>
      <w:r>
        <w:rPr>
          <w:rFonts w:ascii="Arial" w:hAnsi="Arial" w:cs="Arial"/>
        </w:rPr>
        <w:t xml:space="preserve"> o pětinu (18,2 procenta) víc</w:t>
      </w:r>
      <w:r w:rsidR="00A566F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než v roce </w:t>
      </w:r>
      <w:r w:rsidR="00A566F4">
        <w:rPr>
          <w:rFonts w:ascii="Arial" w:hAnsi="Arial" w:cs="Arial"/>
        </w:rPr>
        <w:t>předchozím</w:t>
      </w:r>
      <w:r>
        <w:rPr>
          <w:rFonts w:ascii="Arial" w:hAnsi="Arial" w:cs="Arial"/>
        </w:rPr>
        <w:t xml:space="preserve">. Oproti roku </w:t>
      </w:r>
      <w:r w:rsidR="00A566F4">
        <w:rPr>
          <w:rFonts w:ascii="Arial" w:hAnsi="Arial" w:cs="Arial"/>
        </w:rPr>
        <w:t xml:space="preserve">2013 </w:t>
      </w:r>
      <w:r>
        <w:rPr>
          <w:rFonts w:ascii="Arial" w:hAnsi="Arial" w:cs="Arial"/>
        </w:rPr>
        <w:t>stoupla také předpokládaná hodnota vypsaných soutěží</w:t>
      </w:r>
      <w:r w:rsidR="00A566F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to téměř o 6,7 procenta. Stavební firmy našly v období </w:t>
      </w:r>
      <w:r w:rsidR="00A566F4">
        <w:rPr>
          <w:rFonts w:ascii="Arial" w:hAnsi="Arial" w:cs="Arial"/>
        </w:rPr>
        <w:t xml:space="preserve">od </w:t>
      </w:r>
      <w:r>
        <w:rPr>
          <w:rFonts w:ascii="Arial" w:hAnsi="Arial" w:cs="Arial"/>
        </w:rPr>
        <w:t xml:space="preserve">ledna </w:t>
      </w:r>
      <w:r w:rsidR="00A566F4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 xml:space="preserve">prosince 2014 ve Věstníku veřejných zakázek </w:t>
      </w:r>
      <w:r w:rsidRPr="008E2231">
        <w:rPr>
          <w:rFonts w:ascii="Arial" w:hAnsi="Arial" w:cs="Arial"/>
        </w:rPr>
        <w:t>3</w:t>
      </w:r>
      <w:r>
        <w:rPr>
          <w:rFonts w:ascii="Arial" w:hAnsi="Arial" w:cs="Arial"/>
        </w:rPr>
        <w:t> </w:t>
      </w:r>
      <w:r w:rsidRPr="008E2231">
        <w:rPr>
          <w:rFonts w:ascii="Arial" w:hAnsi="Arial" w:cs="Arial"/>
        </w:rPr>
        <w:t>433</w:t>
      </w:r>
      <w:r>
        <w:rPr>
          <w:rFonts w:ascii="Arial" w:hAnsi="Arial" w:cs="Arial"/>
        </w:rPr>
        <w:t xml:space="preserve"> výběrových řízení za 133,8 miliardy korun. </w:t>
      </w:r>
      <w:r w:rsidR="00026B61" w:rsidRPr="00026B61">
        <w:rPr>
          <w:rFonts w:ascii="Arial" w:hAnsi="Arial" w:cs="Arial"/>
          <w:i/>
        </w:rPr>
        <w:t xml:space="preserve">„Růst </w:t>
      </w:r>
      <w:r w:rsidR="00255CAF">
        <w:rPr>
          <w:rFonts w:ascii="Arial" w:hAnsi="Arial" w:cs="Arial"/>
          <w:i/>
        </w:rPr>
        <w:t xml:space="preserve">veřejných </w:t>
      </w:r>
      <w:r w:rsidR="00026B61" w:rsidRPr="00026B61">
        <w:rPr>
          <w:rFonts w:ascii="Arial" w:hAnsi="Arial" w:cs="Arial"/>
          <w:i/>
        </w:rPr>
        <w:t xml:space="preserve">investic </w:t>
      </w:r>
      <w:r w:rsidR="00DF088F" w:rsidRPr="00026B61">
        <w:rPr>
          <w:rFonts w:ascii="Arial" w:hAnsi="Arial" w:cs="Arial"/>
          <w:i/>
        </w:rPr>
        <w:t xml:space="preserve">v roce </w:t>
      </w:r>
      <w:r w:rsidR="00DF088F">
        <w:rPr>
          <w:rFonts w:ascii="Arial" w:hAnsi="Arial" w:cs="Arial"/>
          <w:i/>
        </w:rPr>
        <w:t xml:space="preserve">2014 </w:t>
      </w:r>
      <w:r w:rsidR="00026B61" w:rsidRPr="00026B61">
        <w:rPr>
          <w:rFonts w:ascii="Arial" w:hAnsi="Arial" w:cs="Arial"/>
          <w:i/>
        </w:rPr>
        <w:t>byl jedním z klíčových důvod</w:t>
      </w:r>
      <w:r w:rsidR="00026B61">
        <w:rPr>
          <w:rFonts w:ascii="Arial" w:hAnsi="Arial" w:cs="Arial"/>
          <w:i/>
        </w:rPr>
        <w:t>ů</w:t>
      </w:r>
      <w:r w:rsidR="00026B61" w:rsidRPr="00026B61">
        <w:rPr>
          <w:rFonts w:ascii="Arial" w:hAnsi="Arial" w:cs="Arial"/>
          <w:i/>
        </w:rPr>
        <w:t xml:space="preserve"> nastartování českého stavebnictví po předchozí pětileté krizi. Významně rostl např</w:t>
      </w:r>
      <w:r w:rsidR="00DF088F">
        <w:rPr>
          <w:rFonts w:ascii="Arial" w:hAnsi="Arial" w:cs="Arial"/>
          <w:i/>
        </w:rPr>
        <w:t>íklad</w:t>
      </w:r>
      <w:r w:rsidR="00026B61" w:rsidRPr="00026B61">
        <w:rPr>
          <w:rFonts w:ascii="Arial" w:hAnsi="Arial" w:cs="Arial"/>
          <w:i/>
        </w:rPr>
        <w:t xml:space="preserve"> objem zakázek na železnici, kde již řada firem hlásí plné vytížení svých kapacit</w:t>
      </w:r>
      <w:r w:rsidR="00255CAF">
        <w:rPr>
          <w:rFonts w:ascii="Arial" w:hAnsi="Arial" w:cs="Arial"/>
          <w:i/>
        </w:rPr>
        <w:t>,</w:t>
      </w:r>
      <w:r w:rsidR="00026B61" w:rsidRPr="00026B61">
        <w:rPr>
          <w:rFonts w:ascii="Arial" w:hAnsi="Arial" w:cs="Arial"/>
          <w:i/>
        </w:rPr>
        <w:t xml:space="preserve"> </w:t>
      </w:r>
      <w:r w:rsidR="00DF088F">
        <w:rPr>
          <w:rFonts w:ascii="Arial" w:hAnsi="Arial" w:cs="Arial"/>
          <w:i/>
        </w:rPr>
        <w:t xml:space="preserve">přičemž </w:t>
      </w:r>
      <w:r w:rsidR="00026B61" w:rsidRPr="00026B61">
        <w:rPr>
          <w:rFonts w:ascii="Arial" w:hAnsi="Arial" w:cs="Arial"/>
          <w:i/>
        </w:rPr>
        <w:t>dodávky některých materiálů p</w:t>
      </w:r>
      <w:r w:rsidR="00026B61">
        <w:rPr>
          <w:rFonts w:ascii="Arial" w:hAnsi="Arial" w:cs="Arial"/>
          <w:i/>
        </w:rPr>
        <w:t>r</w:t>
      </w:r>
      <w:r w:rsidR="00026B61" w:rsidRPr="00026B61">
        <w:rPr>
          <w:rFonts w:ascii="Arial" w:hAnsi="Arial" w:cs="Arial"/>
          <w:i/>
        </w:rPr>
        <w:t>o výstavbu jsou na několik měsíců zcela vyprodané. Naopak ale na silnicích a dálnicích je zakázek ještě stále nedostatek</w:t>
      </w:r>
      <w:r w:rsidR="00DF088F">
        <w:rPr>
          <w:rFonts w:ascii="Arial" w:hAnsi="Arial" w:cs="Arial"/>
          <w:i/>
        </w:rPr>
        <w:t>,</w:t>
      </w:r>
      <w:r w:rsidR="00026B61">
        <w:rPr>
          <w:rFonts w:ascii="Arial" w:hAnsi="Arial" w:cs="Arial"/>
        </w:rPr>
        <w:t xml:space="preserve">“ vysvětluje </w:t>
      </w:r>
      <w:r w:rsidR="00026B61" w:rsidRPr="00E2600D">
        <w:rPr>
          <w:rFonts w:ascii="Arial" w:hAnsi="Arial" w:cs="Arial"/>
          <w:b/>
          <w:i/>
        </w:rPr>
        <w:t xml:space="preserve">Jiří Vacek, ředitel analytické společností CEEC </w:t>
      </w:r>
      <w:proofErr w:type="spellStart"/>
      <w:r w:rsidR="00026B61" w:rsidRPr="00E2600D">
        <w:rPr>
          <w:rFonts w:ascii="Arial" w:hAnsi="Arial" w:cs="Arial"/>
          <w:b/>
          <w:i/>
        </w:rPr>
        <w:t>Research</w:t>
      </w:r>
      <w:proofErr w:type="spellEnd"/>
      <w:r w:rsidR="00026B61" w:rsidRPr="000E5419">
        <w:rPr>
          <w:rFonts w:ascii="Arial" w:hAnsi="Arial" w:cs="Arial"/>
          <w:i/>
        </w:rPr>
        <w:t>.</w:t>
      </w:r>
      <w:r w:rsidR="00E44FF0" w:rsidRPr="000E5419">
        <w:rPr>
          <w:rFonts w:ascii="Arial" w:hAnsi="Arial" w:cs="Arial"/>
          <w:i/>
        </w:rPr>
        <w:t xml:space="preserve"> </w:t>
      </w:r>
      <w:r w:rsidR="000E5419" w:rsidRPr="000E5419">
        <w:rPr>
          <w:rFonts w:ascii="Arial" w:hAnsi="Arial" w:cs="Arial"/>
          <w:i/>
        </w:rPr>
        <w:t xml:space="preserve"> „</w:t>
      </w:r>
      <w:r w:rsidR="000E5419" w:rsidRPr="000E5419">
        <w:rPr>
          <w:rFonts w:ascii="Arial" w:hAnsi="Arial" w:cs="Arial"/>
        </w:rPr>
        <w:t xml:space="preserve">Přes tento oproti minulým obdobím pozitivní výsledek však dosud není ve stavebnictví vyhráno. K plynulejšímu růstu investic musí přispět též připravovaná legislativní opatření, např. v oblasti zadávání veřejných zakázek a předpisů stavebního práva s cílem zjednodušit a zkrátit příslušné procesy tak, aby příprava staveb byla v žádoucí míře </w:t>
      </w:r>
      <w:r w:rsidR="00DF088F">
        <w:rPr>
          <w:rFonts w:ascii="Arial" w:hAnsi="Arial" w:cs="Arial"/>
        </w:rPr>
        <w:t xml:space="preserve">urychlena </w:t>
      </w:r>
      <w:r w:rsidR="000E5419" w:rsidRPr="000E5419">
        <w:rPr>
          <w:rFonts w:ascii="Arial" w:hAnsi="Arial" w:cs="Arial"/>
        </w:rPr>
        <w:t>(při zachování potřebné kvalit</w:t>
      </w:r>
      <w:r w:rsidR="000E5419">
        <w:rPr>
          <w:rFonts w:ascii="Arial" w:hAnsi="Arial" w:cs="Arial"/>
        </w:rPr>
        <w:t>y a transparentnosti)</w:t>
      </w:r>
      <w:r w:rsidR="00DF088F">
        <w:rPr>
          <w:rFonts w:ascii="Arial" w:hAnsi="Arial" w:cs="Arial"/>
        </w:rPr>
        <w:t>,“</w:t>
      </w:r>
      <w:r w:rsidR="000E5419">
        <w:rPr>
          <w:rFonts w:ascii="Arial" w:hAnsi="Arial" w:cs="Arial"/>
        </w:rPr>
        <w:t xml:space="preserve"> připomíná </w:t>
      </w:r>
      <w:r w:rsidR="000E5419" w:rsidRPr="00704903">
        <w:rPr>
          <w:rFonts w:ascii="Arial" w:hAnsi="Arial" w:cs="Arial"/>
          <w:b/>
          <w:i/>
        </w:rPr>
        <w:t>Jiří Koliba, náměstek ministra průmyslu a obchodu.</w:t>
      </w:r>
    </w:p>
    <w:p w:rsidR="00AC0232" w:rsidRDefault="00AC0232" w:rsidP="00F546D9">
      <w:pPr>
        <w:spacing w:after="0" w:line="360" w:lineRule="auto"/>
        <w:jc w:val="both"/>
        <w:rPr>
          <w:rFonts w:ascii="Arial" w:hAnsi="Arial" w:cs="Arial"/>
        </w:rPr>
      </w:pPr>
    </w:p>
    <w:p w:rsidR="00331342" w:rsidRDefault="00AC0232" w:rsidP="00F546D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Téměř u poloviny (45 procent) z</w:t>
      </w:r>
      <w:r w:rsidR="00DF088F">
        <w:rPr>
          <w:rFonts w:ascii="Arial" w:hAnsi="Arial" w:cs="Arial"/>
        </w:rPr>
        <w:t>akázek</w:t>
      </w:r>
      <w:r>
        <w:rPr>
          <w:rFonts w:ascii="Arial" w:hAnsi="Arial" w:cs="Arial"/>
        </w:rPr>
        <w:t> </w:t>
      </w:r>
      <w:r w:rsidR="00DF088F">
        <w:rPr>
          <w:rFonts w:ascii="Arial" w:hAnsi="Arial" w:cs="Arial"/>
        </w:rPr>
        <w:t xml:space="preserve">už </w:t>
      </w:r>
      <w:r>
        <w:rPr>
          <w:rFonts w:ascii="Arial" w:hAnsi="Arial" w:cs="Arial"/>
        </w:rPr>
        <w:t xml:space="preserve">stát ukončil výběrová řízení a </w:t>
      </w:r>
      <w:proofErr w:type="gramStart"/>
      <w:r>
        <w:rPr>
          <w:rFonts w:ascii="Arial" w:hAnsi="Arial" w:cs="Arial"/>
        </w:rPr>
        <w:t xml:space="preserve">zadal </w:t>
      </w:r>
      <w:r w:rsidR="00DF088F">
        <w:rPr>
          <w:rFonts w:ascii="Arial" w:hAnsi="Arial" w:cs="Arial"/>
        </w:rPr>
        <w:t xml:space="preserve"> </w:t>
      </w:r>
      <w:r w:rsidR="003820D9">
        <w:rPr>
          <w:rFonts w:ascii="Arial" w:hAnsi="Arial" w:cs="Arial"/>
        </w:rPr>
        <w:t>je</w:t>
      </w:r>
      <w:proofErr w:type="gramEnd"/>
      <w:r w:rsidR="003820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konkrétním společnostem</w:t>
      </w:r>
      <w:r w:rsidR="00440E02">
        <w:rPr>
          <w:rFonts w:ascii="Arial" w:hAnsi="Arial" w:cs="Arial"/>
        </w:rPr>
        <w:t xml:space="preserve"> k realizaci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Vysoutěžená</w:t>
      </w:r>
      <w:proofErr w:type="spellEnd"/>
      <w:r>
        <w:rPr>
          <w:rFonts w:ascii="Arial" w:hAnsi="Arial" w:cs="Arial"/>
        </w:rPr>
        <w:t xml:space="preserve"> cena byla v průměru o 15 procent nižší, než ta, kterou měly veřejné instituce v plánu do staveb investovat. Přesto</w:t>
      </w:r>
      <w:r w:rsidR="00DF088F">
        <w:rPr>
          <w:rFonts w:ascii="Arial" w:hAnsi="Arial" w:cs="Arial"/>
        </w:rPr>
        <w:t>že</w:t>
      </w:r>
      <w:r>
        <w:rPr>
          <w:rFonts w:ascii="Arial" w:hAnsi="Arial" w:cs="Arial"/>
        </w:rPr>
        <w:t xml:space="preserve"> </w:t>
      </w:r>
      <w:r w:rsidR="00DF088F">
        <w:rPr>
          <w:rFonts w:ascii="Arial" w:hAnsi="Arial" w:cs="Arial"/>
        </w:rPr>
        <w:t xml:space="preserve">se jedná </w:t>
      </w:r>
      <w:r>
        <w:rPr>
          <w:rFonts w:ascii="Arial" w:hAnsi="Arial" w:cs="Arial"/>
        </w:rPr>
        <w:t xml:space="preserve">o vysoké číslo, v porovnání s předchozími lety rozdíl klesá (2012 – rozdíl 22 procent, 2013 – rozdíl 24 procent). Desetinu zakázek v hodnotě </w:t>
      </w:r>
      <w:r w:rsidR="00DF088F">
        <w:rPr>
          <w:rFonts w:ascii="Arial" w:hAnsi="Arial" w:cs="Arial"/>
        </w:rPr>
        <w:t xml:space="preserve">čtrnácti </w:t>
      </w:r>
      <w:r>
        <w:rPr>
          <w:rFonts w:ascii="Arial" w:hAnsi="Arial" w:cs="Arial"/>
        </w:rPr>
        <w:t>miliard korun zadavatelé zrušili</w:t>
      </w:r>
      <w:r w:rsidRPr="00E44FF0">
        <w:rPr>
          <w:rFonts w:ascii="Arial" w:hAnsi="Arial" w:cs="Arial"/>
          <w:i/>
        </w:rPr>
        <w:t>.</w:t>
      </w:r>
      <w:r w:rsidR="00E2600D" w:rsidRPr="00E44FF0">
        <w:rPr>
          <w:rFonts w:ascii="Arial" w:hAnsi="Arial" w:cs="Arial"/>
          <w:i/>
        </w:rPr>
        <w:t xml:space="preserve"> </w:t>
      </w:r>
      <w:r w:rsidR="00E44FF0" w:rsidRPr="00E44FF0">
        <w:rPr>
          <w:rFonts w:ascii="Arial" w:hAnsi="Arial" w:cs="Arial"/>
          <w:i/>
        </w:rPr>
        <w:t xml:space="preserve">„Uvítali jsme, že Ředitelství silnic a dálnic ČR nyní aktivně vypisuje množství tendrů na přípravu projektů </w:t>
      </w:r>
      <w:r w:rsidR="00E44FF0" w:rsidRPr="00E44FF0">
        <w:rPr>
          <w:rFonts w:ascii="Arial" w:hAnsi="Arial" w:cs="Arial"/>
          <w:i/>
        </w:rPr>
        <w:lastRenderedPageBreak/>
        <w:t>dálnic a rychlostních silnic. V současné době je jen na projekty ve hře 28 tendrů v celkové hodnotě předpokládaných cen cca 930 mil. Kč. Dle dosavadního průběhu to vypadá na rychlejší administraci</w:t>
      </w:r>
      <w:r w:rsidR="00DF088F">
        <w:rPr>
          <w:rFonts w:ascii="Arial" w:hAnsi="Arial" w:cs="Arial"/>
          <w:i/>
        </w:rPr>
        <w:t>,</w:t>
      </w:r>
      <w:r w:rsidR="00E44FF0" w:rsidRPr="00E44FF0">
        <w:rPr>
          <w:rFonts w:ascii="Arial" w:hAnsi="Arial" w:cs="Arial"/>
          <w:i/>
        </w:rPr>
        <w:t xml:space="preserve"> a tím pádem i na rychlejší cestu k započetí prací vítězných uchazečů,“</w:t>
      </w:r>
      <w:r w:rsidR="00E44FF0">
        <w:rPr>
          <w:rFonts w:ascii="Arial" w:hAnsi="Arial" w:cs="Arial"/>
        </w:rPr>
        <w:t xml:space="preserve"> říká </w:t>
      </w:r>
      <w:r w:rsidR="00E44FF0" w:rsidRPr="00E44FF0">
        <w:rPr>
          <w:rFonts w:ascii="Arial" w:hAnsi="Arial" w:cs="Arial"/>
          <w:b/>
          <w:i/>
        </w:rPr>
        <w:t xml:space="preserve">Lukáš </w:t>
      </w:r>
      <w:proofErr w:type="spellStart"/>
      <w:r w:rsidR="00E44FF0" w:rsidRPr="00E44FF0">
        <w:rPr>
          <w:rFonts w:ascii="Arial" w:hAnsi="Arial" w:cs="Arial"/>
          <w:b/>
          <w:i/>
        </w:rPr>
        <w:t>Hruboň</w:t>
      </w:r>
      <w:proofErr w:type="spellEnd"/>
      <w:r w:rsidR="00E44FF0" w:rsidRPr="00E44FF0">
        <w:rPr>
          <w:rFonts w:ascii="Arial" w:hAnsi="Arial" w:cs="Arial"/>
          <w:b/>
          <w:i/>
        </w:rPr>
        <w:t>, obchodní ředitel společnosti VALBEK-EU.</w:t>
      </w:r>
    </w:p>
    <w:p w:rsidR="00E44FF0" w:rsidRDefault="00E44FF0" w:rsidP="00F546D9">
      <w:pPr>
        <w:spacing w:after="0" w:line="360" w:lineRule="auto"/>
        <w:jc w:val="both"/>
        <w:rPr>
          <w:rFonts w:ascii="Arial" w:hAnsi="Arial" w:cs="Arial"/>
        </w:rPr>
      </w:pPr>
    </w:p>
    <w:p w:rsidR="00951E32" w:rsidRDefault="00331342" w:rsidP="0033134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Dvě třetiny soutěží (62 procent) vypsal</w:t>
      </w:r>
      <w:r w:rsidR="00DF088F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regionální úřady a sdružení, mezi které patří </w:t>
      </w:r>
      <w:r w:rsidR="00951E32">
        <w:rPr>
          <w:rFonts w:ascii="Arial" w:hAnsi="Arial" w:cs="Arial"/>
        </w:rPr>
        <w:t xml:space="preserve">kraje, města, obce a </w:t>
      </w:r>
      <w:r w:rsidRPr="00331342">
        <w:rPr>
          <w:rFonts w:ascii="Arial" w:hAnsi="Arial" w:cs="Arial"/>
        </w:rPr>
        <w:t>správy komunikací</w:t>
      </w:r>
      <w:r>
        <w:rPr>
          <w:rFonts w:ascii="Arial" w:hAnsi="Arial" w:cs="Arial"/>
        </w:rPr>
        <w:t xml:space="preserve">. Více než </w:t>
      </w:r>
      <w:proofErr w:type="gramStart"/>
      <w:r>
        <w:rPr>
          <w:rFonts w:ascii="Arial" w:hAnsi="Arial" w:cs="Arial"/>
        </w:rPr>
        <w:t>pětinu</w:t>
      </w:r>
      <w:proofErr w:type="gramEnd"/>
      <w:r>
        <w:rPr>
          <w:rFonts w:ascii="Arial" w:hAnsi="Arial" w:cs="Arial"/>
        </w:rPr>
        <w:t xml:space="preserve"> (23 procent) zakázek poptávají </w:t>
      </w:r>
      <w:r w:rsidR="00440E02">
        <w:rPr>
          <w:rFonts w:ascii="Arial" w:hAnsi="Arial" w:cs="Arial"/>
        </w:rPr>
        <w:t>„ostatní subjekty</w:t>
      </w:r>
      <w:r w:rsidR="00DF088F">
        <w:rPr>
          <w:rFonts w:ascii="Arial" w:hAnsi="Arial" w:cs="Arial"/>
        </w:rPr>
        <w:t>,</w:t>
      </w:r>
      <w:r w:rsidR="00440E02">
        <w:rPr>
          <w:rFonts w:ascii="Arial" w:hAnsi="Arial" w:cs="Arial"/>
        </w:rPr>
        <w:t xml:space="preserve">“ např. </w:t>
      </w:r>
      <w:r w:rsidRPr="00331342">
        <w:rPr>
          <w:rFonts w:ascii="Arial" w:hAnsi="Arial" w:cs="Arial"/>
        </w:rPr>
        <w:t>školy, nemoc</w:t>
      </w:r>
      <w:r w:rsidR="00440E02">
        <w:rPr>
          <w:rFonts w:ascii="Arial" w:hAnsi="Arial" w:cs="Arial"/>
        </w:rPr>
        <w:t>nice, církevní instituce, svazy, atd.</w:t>
      </w:r>
      <w:r w:rsidRPr="00331342">
        <w:rPr>
          <w:rFonts w:ascii="Arial" w:hAnsi="Arial" w:cs="Arial"/>
        </w:rPr>
        <w:t xml:space="preserve"> </w:t>
      </w:r>
      <w:r w:rsidR="00951E32" w:rsidRPr="00951E32">
        <w:rPr>
          <w:rFonts w:ascii="Arial" w:hAnsi="Arial" w:cs="Arial"/>
        </w:rPr>
        <w:t>Zbytek oznámení o zakázce zadávaj</w:t>
      </w:r>
      <w:r w:rsidR="00951E32">
        <w:rPr>
          <w:rFonts w:ascii="Arial" w:hAnsi="Arial" w:cs="Arial"/>
        </w:rPr>
        <w:t xml:space="preserve">í </w:t>
      </w:r>
      <w:r w:rsidR="00440E02">
        <w:rPr>
          <w:rFonts w:ascii="Arial" w:hAnsi="Arial" w:cs="Arial"/>
        </w:rPr>
        <w:t xml:space="preserve">ministerstva a další celostátní úřady (12 %) a státní podniky (3 %). </w:t>
      </w:r>
    </w:p>
    <w:p w:rsidR="00951E32" w:rsidRDefault="00951E32" w:rsidP="00951E32">
      <w:pPr>
        <w:spacing w:after="0" w:line="360" w:lineRule="auto"/>
        <w:jc w:val="center"/>
        <w:rPr>
          <w:rFonts w:ascii="Arial" w:hAnsi="Arial" w:cs="Arial"/>
        </w:rPr>
      </w:pPr>
      <w:r>
        <w:rPr>
          <w:noProof/>
          <w:lang w:eastAsia="cs-CZ"/>
        </w:rPr>
        <w:drawing>
          <wp:inline distT="0" distB="0" distL="0" distR="0">
            <wp:extent cx="3681730" cy="2465070"/>
            <wp:effectExtent l="0" t="0" r="0" b="0"/>
            <wp:docPr id="1" name="Graf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31342" w:rsidRPr="00E44FF0" w:rsidRDefault="00EF1F69" w:rsidP="00951E32">
      <w:pPr>
        <w:spacing w:after="0"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Z hlediska</w:t>
      </w:r>
      <w:r w:rsidRPr="00951E32">
        <w:rPr>
          <w:rFonts w:ascii="Arial" w:hAnsi="Arial" w:cs="Arial"/>
        </w:rPr>
        <w:t xml:space="preserve"> </w:t>
      </w:r>
      <w:r w:rsidR="00951E32" w:rsidRPr="00951E32">
        <w:rPr>
          <w:rFonts w:ascii="Arial" w:hAnsi="Arial" w:cs="Arial"/>
        </w:rPr>
        <w:t>hodnocení</w:t>
      </w:r>
      <w:r w:rsidR="00440E02">
        <w:rPr>
          <w:rFonts w:ascii="Arial" w:hAnsi="Arial" w:cs="Arial"/>
        </w:rPr>
        <w:t xml:space="preserve"> finančního</w:t>
      </w:r>
      <w:r w:rsidR="00951E32" w:rsidRPr="00951E32">
        <w:rPr>
          <w:rFonts w:ascii="Arial" w:hAnsi="Arial" w:cs="Arial"/>
        </w:rPr>
        <w:t xml:space="preserve"> objemu oznámených zakázek je</w:t>
      </w:r>
      <w:r w:rsidR="00440E02">
        <w:rPr>
          <w:rFonts w:ascii="Arial" w:hAnsi="Arial" w:cs="Arial"/>
        </w:rPr>
        <w:t xml:space="preserve"> rozdělení podílů částečně odlišné. </w:t>
      </w:r>
      <w:r w:rsidR="00951E32">
        <w:rPr>
          <w:rFonts w:ascii="Arial" w:hAnsi="Arial" w:cs="Arial"/>
        </w:rPr>
        <w:t>Nejv</w:t>
      </w:r>
      <w:r w:rsidR="007A52D2">
        <w:rPr>
          <w:rFonts w:ascii="Arial" w:hAnsi="Arial" w:cs="Arial"/>
        </w:rPr>
        <w:t>íce</w:t>
      </w:r>
      <w:r w:rsidR="00951E32">
        <w:rPr>
          <w:rFonts w:ascii="Arial" w:hAnsi="Arial" w:cs="Arial"/>
        </w:rPr>
        <w:t xml:space="preserve"> peněz investují</w:t>
      </w:r>
      <w:r w:rsidR="00951E32" w:rsidRPr="00951E32">
        <w:rPr>
          <w:rFonts w:ascii="Arial" w:hAnsi="Arial" w:cs="Arial"/>
        </w:rPr>
        <w:t xml:space="preserve"> r</w:t>
      </w:r>
      <w:r w:rsidR="00951E32">
        <w:rPr>
          <w:rFonts w:ascii="Arial" w:hAnsi="Arial" w:cs="Arial"/>
        </w:rPr>
        <w:t>egionální úřady a sdružení (40 procent</w:t>
      </w:r>
      <w:r w:rsidR="00951E32" w:rsidRPr="00951E32">
        <w:rPr>
          <w:rFonts w:ascii="Arial" w:hAnsi="Arial" w:cs="Arial"/>
        </w:rPr>
        <w:t>), s odstu</w:t>
      </w:r>
      <w:r w:rsidR="00951E32">
        <w:rPr>
          <w:rFonts w:ascii="Arial" w:hAnsi="Arial" w:cs="Arial"/>
        </w:rPr>
        <w:t xml:space="preserve">pem následují ministerstva </w:t>
      </w:r>
      <w:r w:rsidR="0029021E">
        <w:rPr>
          <w:rFonts w:ascii="Arial" w:hAnsi="Arial" w:cs="Arial"/>
        </w:rPr>
        <w:t xml:space="preserve">a celostátní úřady </w:t>
      </w:r>
      <w:r w:rsidR="00951E32">
        <w:rPr>
          <w:rFonts w:ascii="Arial" w:hAnsi="Arial" w:cs="Arial"/>
        </w:rPr>
        <w:t>(30 procent)</w:t>
      </w:r>
      <w:r w:rsidR="0029021E">
        <w:rPr>
          <w:rFonts w:ascii="Arial" w:hAnsi="Arial" w:cs="Arial"/>
        </w:rPr>
        <w:t>,</w:t>
      </w:r>
      <w:r w:rsidR="00951E32">
        <w:rPr>
          <w:rFonts w:ascii="Arial" w:hAnsi="Arial" w:cs="Arial"/>
        </w:rPr>
        <w:t xml:space="preserve"> </w:t>
      </w:r>
      <w:r w:rsidR="0029021E">
        <w:rPr>
          <w:rFonts w:ascii="Arial" w:hAnsi="Arial" w:cs="Arial"/>
        </w:rPr>
        <w:t>„</w:t>
      </w:r>
      <w:r w:rsidR="00951E32">
        <w:rPr>
          <w:rFonts w:ascii="Arial" w:hAnsi="Arial" w:cs="Arial"/>
        </w:rPr>
        <w:t>ostatní</w:t>
      </w:r>
      <w:r w:rsidR="0029021E">
        <w:rPr>
          <w:rFonts w:ascii="Arial" w:hAnsi="Arial" w:cs="Arial"/>
        </w:rPr>
        <w:t>“</w:t>
      </w:r>
      <w:r w:rsidR="00951E32">
        <w:rPr>
          <w:rFonts w:ascii="Arial" w:hAnsi="Arial" w:cs="Arial"/>
        </w:rPr>
        <w:t xml:space="preserve"> subjekty (28 procent</w:t>
      </w:r>
      <w:r w:rsidR="00951E32" w:rsidRPr="00951E32">
        <w:rPr>
          <w:rFonts w:ascii="Arial" w:hAnsi="Arial" w:cs="Arial"/>
        </w:rPr>
        <w:t>)</w:t>
      </w:r>
      <w:r w:rsidR="0029021E">
        <w:rPr>
          <w:rFonts w:ascii="Arial" w:hAnsi="Arial" w:cs="Arial"/>
        </w:rPr>
        <w:t xml:space="preserve"> a státní podniky (2 %)</w:t>
      </w:r>
      <w:r w:rsidR="00951E32" w:rsidRPr="00951E32">
        <w:rPr>
          <w:rFonts w:ascii="Arial" w:hAnsi="Arial" w:cs="Arial"/>
        </w:rPr>
        <w:t>.</w:t>
      </w:r>
      <w:r w:rsidR="00E44FF0">
        <w:rPr>
          <w:rFonts w:ascii="Arial" w:hAnsi="Arial" w:cs="Arial"/>
        </w:rPr>
        <w:t xml:space="preserve"> „</w:t>
      </w:r>
      <w:r w:rsidR="00E44FF0" w:rsidRPr="00E44FF0">
        <w:rPr>
          <w:rFonts w:ascii="Arial" w:hAnsi="Arial" w:cs="Arial"/>
        </w:rPr>
        <w:t>Růst veřejných investic byl očekávanou záležitostí. Je však potřeba tento relativně vysoký nárůst částečně korigovat. Jednak základna, ze které nastal růst, se díky mnoha předchozím letům poklesu dostala nízko</w:t>
      </w:r>
      <w:r>
        <w:rPr>
          <w:rFonts w:ascii="Arial" w:hAnsi="Arial" w:cs="Arial"/>
        </w:rPr>
        <w:t>,</w:t>
      </w:r>
      <w:r w:rsidR="00E44FF0" w:rsidRPr="00E44FF0">
        <w:rPr>
          <w:rFonts w:ascii="Arial" w:hAnsi="Arial" w:cs="Arial"/>
        </w:rPr>
        <w:t xml:space="preserve"> a pak růst v jednotlivých segmentech je velmi nevyrovnaný. Například investice do železniční infrastruktury jsou, a v následujících letech budou, rekordní, zatímco v jiných oblastech veřejný</w:t>
      </w:r>
      <w:r w:rsidR="00E44FF0">
        <w:rPr>
          <w:rFonts w:ascii="Arial" w:hAnsi="Arial" w:cs="Arial"/>
        </w:rPr>
        <w:t xml:space="preserve">ch investic k nárůstu nedochází,“ upozorňuje na nevýhody nekoncepčního přístupu </w:t>
      </w:r>
      <w:r w:rsidR="00E44FF0" w:rsidRPr="00E44FF0">
        <w:rPr>
          <w:rFonts w:ascii="Arial" w:hAnsi="Arial" w:cs="Arial"/>
          <w:b/>
          <w:i/>
        </w:rPr>
        <w:t xml:space="preserve">Pavel </w:t>
      </w:r>
      <w:proofErr w:type="spellStart"/>
      <w:r w:rsidR="00E44FF0" w:rsidRPr="00E44FF0">
        <w:rPr>
          <w:rFonts w:ascii="Arial" w:hAnsi="Arial" w:cs="Arial"/>
          <w:b/>
          <w:i/>
        </w:rPr>
        <w:t>Schlitter</w:t>
      </w:r>
      <w:proofErr w:type="spellEnd"/>
      <w:r w:rsidR="00E44FF0" w:rsidRPr="00E44FF0">
        <w:rPr>
          <w:rFonts w:ascii="Arial" w:hAnsi="Arial" w:cs="Arial"/>
          <w:b/>
          <w:i/>
        </w:rPr>
        <w:t>, obchodní ředitel společnosti SITEL, spol. s r.o.</w:t>
      </w:r>
    </w:p>
    <w:p w:rsidR="00331342" w:rsidRDefault="00951E32" w:rsidP="00951E32">
      <w:pPr>
        <w:spacing w:after="0" w:line="360" w:lineRule="auto"/>
        <w:jc w:val="center"/>
        <w:rPr>
          <w:rFonts w:ascii="Arial" w:hAnsi="Arial" w:cs="Arial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3681730" cy="2346325"/>
            <wp:effectExtent l="0" t="0" r="0" b="0"/>
            <wp:docPr id="2" name="Graf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35249" w:rsidRDefault="00B35249" w:rsidP="00951E32">
      <w:pPr>
        <w:spacing w:after="0" w:line="360" w:lineRule="auto"/>
        <w:jc w:val="center"/>
        <w:rPr>
          <w:rFonts w:ascii="Arial" w:hAnsi="Arial" w:cs="Arial"/>
        </w:rPr>
      </w:pPr>
    </w:p>
    <w:p w:rsidR="00B35249" w:rsidRDefault="00B35249" w:rsidP="00951E32">
      <w:pPr>
        <w:spacing w:after="0" w:line="360" w:lineRule="auto"/>
        <w:jc w:val="center"/>
        <w:rPr>
          <w:rFonts w:ascii="Arial" w:hAnsi="Arial" w:cs="Arial"/>
        </w:rPr>
      </w:pPr>
    </w:p>
    <w:p w:rsidR="00B35249" w:rsidRDefault="00116678" w:rsidP="00B35249">
      <w:pPr>
        <w:spacing w:after="0" w:line="360" w:lineRule="auto"/>
        <w:jc w:val="both"/>
        <w:rPr>
          <w:rFonts w:ascii="Arial" w:hAnsi="Arial" w:cs="Arial"/>
          <w:i/>
        </w:rPr>
      </w:pPr>
      <w:r w:rsidRPr="00116678">
        <w:rPr>
          <w:rFonts w:ascii="Arial" w:hAnsi="Arial" w:cs="Arial"/>
        </w:rPr>
        <w:t>Stavby a rekonstrukce za nejvíc peněz naplánoval (vypsal) Moravskoslezský kraj, následuje kraj Jihomoravský a Středočeský.</w:t>
      </w:r>
      <w:r>
        <w:rPr>
          <w:rFonts w:ascii="Arial" w:hAnsi="Arial" w:cs="Arial"/>
        </w:rPr>
        <w:t xml:space="preserve"> </w:t>
      </w:r>
      <w:r w:rsidR="00197EB7">
        <w:rPr>
          <w:rFonts w:ascii="Arial" w:hAnsi="Arial" w:cs="Arial"/>
        </w:rPr>
        <w:t xml:space="preserve">V porovnání s rokem 2013 byl nejaktivnější kraj Olomoucký (meziroční nárůst 87 procent), kraj Jihomoravský (meziroční nárůst 50 procent) a kraj Ústecký (meziroční nárůst </w:t>
      </w:r>
      <w:r w:rsidR="0029021E">
        <w:rPr>
          <w:rFonts w:ascii="Arial" w:hAnsi="Arial" w:cs="Arial"/>
        </w:rPr>
        <w:t xml:space="preserve">o </w:t>
      </w:r>
      <w:r w:rsidR="00197EB7">
        <w:rPr>
          <w:rFonts w:ascii="Arial" w:hAnsi="Arial" w:cs="Arial"/>
        </w:rPr>
        <w:t>47 procent).</w:t>
      </w:r>
      <w:r w:rsidR="00E2600D">
        <w:rPr>
          <w:rFonts w:ascii="Arial" w:hAnsi="Arial" w:cs="Arial"/>
        </w:rPr>
        <w:t xml:space="preserve"> </w:t>
      </w:r>
      <w:r w:rsidR="00620D56" w:rsidRPr="00620D56">
        <w:rPr>
          <w:rFonts w:ascii="Arial" w:hAnsi="Arial" w:cs="Arial"/>
          <w:i/>
        </w:rPr>
        <w:t xml:space="preserve">„Přestože investice do výstavby i rekonstrukcí rostou, veřejní či soukromí investoři často odkládají nebo opomíjejí výměnu zastaralých a mnohdy nebezpečných výtahů. Modernizaci přitom vyžaduje téměř polovina zařízení, která jsou v provozu!“ </w:t>
      </w:r>
      <w:r w:rsidR="00620D56" w:rsidRPr="00620D56">
        <w:rPr>
          <w:rFonts w:ascii="Arial" w:hAnsi="Arial" w:cs="Arial"/>
        </w:rPr>
        <w:t xml:space="preserve">říká </w:t>
      </w:r>
      <w:r w:rsidR="00620D56" w:rsidRPr="00620D56">
        <w:rPr>
          <w:rFonts w:ascii="Arial" w:hAnsi="Arial" w:cs="Arial"/>
          <w:b/>
          <w:i/>
        </w:rPr>
        <w:t>Vladimír Steiner</w:t>
      </w:r>
      <w:r w:rsidR="00EF1F69">
        <w:rPr>
          <w:rFonts w:ascii="Arial" w:hAnsi="Arial" w:cs="Arial"/>
          <w:b/>
          <w:i/>
        </w:rPr>
        <w:t>,</w:t>
      </w:r>
      <w:r w:rsidR="00620D56" w:rsidRPr="00620D56">
        <w:rPr>
          <w:rFonts w:ascii="Arial" w:hAnsi="Arial" w:cs="Arial"/>
          <w:b/>
          <w:i/>
        </w:rPr>
        <w:t xml:space="preserve"> provozní ředitel společnosti Schindler CZ.</w:t>
      </w:r>
    </w:p>
    <w:p w:rsidR="00620D56" w:rsidRDefault="00620D56" w:rsidP="00B35249">
      <w:pPr>
        <w:spacing w:after="0" w:line="360" w:lineRule="auto"/>
        <w:jc w:val="both"/>
        <w:rPr>
          <w:rFonts w:ascii="Arial" w:hAnsi="Arial" w:cs="Arial"/>
        </w:rPr>
      </w:pPr>
    </w:p>
    <w:p w:rsidR="00197EB7" w:rsidRDefault="00197EB7" w:rsidP="00197EB7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lastRenderedPageBreak/>
        <w:drawing>
          <wp:inline distT="0" distB="0" distL="0" distR="0" wp14:anchorId="75AED0A8">
            <wp:extent cx="5494655" cy="3942715"/>
            <wp:effectExtent l="0" t="0" r="0" b="63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655" cy="3942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14DC" w:rsidRDefault="00BF14DC" w:rsidP="00030F20">
      <w:pPr>
        <w:spacing w:after="0" w:line="240" w:lineRule="auto"/>
        <w:jc w:val="center"/>
        <w:rPr>
          <w:rFonts w:ascii="Arial" w:hAnsi="Arial" w:cs="Arial"/>
          <w:b/>
        </w:rPr>
      </w:pPr>
    </w:p>
    <w:p w:rsidR="0084430B" w:rsidRDefault="0084430B" w:rsidP="0084430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Stavební společnosti loni </w:t>
      </w:r>
      <w:r w:rsidR="0029021E">
        <w:rPr>
          <w:rFonts w:ascii="Arial" w:hAnsi="Arial" w:cs="Arial"/>
        </w:rPr>
        <w:t xml:space="preserve">získaly větší objem zakázek </w:t>
      </w:r>
      <w:r>
        <w:rPr>
          <w:rFonts w:ascii="Arial" w:hAnsi="Arial" w:cs="Arial"/>
        </w:rPr>
        <w:t>než v roce 2013</w:t>
      </w:r>
      <w:r w:rsidR="00EF1F6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to téměř o pětinu (18,7 procenta). </w:t>
      </w:r>
      <w:r w:rsidR="007A52D2">
        <w:rPr>
          <w:rFonts w:ascii="Arial" w:hAnsi="Arial" w:cs="Arial"/>
        </w:rPr>
        <w:t xml:space="preserve">Veřejné </w:t>
      </w:r>
      <w:r>
        <w:rPr>
          <w:rFonts w:ascii="Arial" w:hAnsi="Arial" w:cs="Arial"/>
        </w:rPr>
        <w:t>instituce vybraly realizační firm</w:t>
      </w:r>
      <w:r w:rsidR="002902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na 5631 staveb v celkové hodnotě 116,9 miliard korun.</w:t>
      </w:r>
    </w:p>
    <w:p w:rsidR="0084430B" w:rsidRPr="0084430B" w:rsidRDefault="0084430B" w:rsidP="0084430B">
      <w:pPr>
        <w:spacing w:after="0" w:line="240" w:lineRule="auto"/>
        <w:rPr>
          <w:rFonts w:ascii="Arial" w:hAnsi="Arial" w:cs="Arial"/>
        </w:rPr>
      </w:pPr>
    </w:p>
    <w:p w:rsidR="00C968F2" w:rsidRPr="00C45298" w:rsidRDefault="00C968F2" w:rsidP="00C45298">
      <w:pPr>
        <w:spacing w:after="0" w:line="240" w:lineRule="auto"/>
        <w:rPr>
          <w:rFonts w:ascii="Arial" w:hAnsi="Arial" w:cs="Arial"/>
          <w:b/>
          <w:lang w:val="sk-SK"/>
        </w:rPr>
      </w:pPr>
      <w:r w:rsidRPr="00C45298">
        <w:rPr>
          <w:rFonts w:ascii="Arial" w:hAnsi="Arial" w:cs="Arial"/>
          <w:b/>
          <w:lang w:val="sk-SK"/>
        </w:rPr>
        <w:t xml:space="preserve">Kontakt </w:t>
      </w:r>
      <w:proofErr w:type="spellStart"/>
      <w:r w:rsidRPr="00C45298">
        <w:rPr>
          <w:rFonts w:ascii="Arial" w:hAnsi="Arial" w:cs="Arial"/>
          <w:b/>
          <w:lang w:val="sk-SK"/>
        </w:rPr>
        <w:t>pro</w:t>
      </w:r>
      <w:proofErr w:type="spellEnd"/>
      <w:r w:rsidRPr="00C45298">
        <w:rPr>
          <w:rFonts w:ascii="Arial" w:hAnsi="Arial" w:cs="Arial"/>
          <w:b/>
          <w:lang w:val="sk-SK"/>
        </w:rPr>
        <w:t xml:space="preserve"> média:</w:t>
      </w:r>
    </w:p>
    <w:p w:rsidR="00C968F2" w:rsidRPr="00C45298" w:rsidRDefault="00C968F2" w:rsidP="00C45298">
      <w:pPr>
        <w:spacing w:after="0" w:line="240" w:lineRule="auto"/>
        <w:rPr>
          <w:rFonts w:ascii="Arial" w:hAnsi="Arial" w:cs="Arial"/>
          <w:lang w:val="sk-SK"/>
        </w:rPr>
      </w:pPr>
      <w:r w:rsidRPr="00C45298">
        <w:rPr>
          <w:rFonts w:ascii="Arial" w:hAnsi="Arial" w:cs="Arial"/>
          <w:b/>
          <w:lang w:val="sk-SK"/>
        </w:rPr>
        <w:br/>
      </w:r>
      <w:r w:rsidRPr="00C45298">
        <w:rPr>
          <w:rFonts w:ascii="Arial" w:hAnsi="Arial" w:cs="Arial"/>
          <w:lang w:val="sk-SK"/>
        </w:rPr>
        <w:t xml:space="preserve">Alena </w:t>
      </w:r>
      <w:proofErr w:type="spellStart"/>
      <w:r w:rsidR="00B718C2">
        <w:rPr>
          <w:rFonts w:ascii="Arial" w:hAnsi="Arial" w:cs="Arial"/>
          <w:lang w:val="sk-SK"/>
        </w:rPr>
        <w:t>Bradáčová</w:t>
      </w:r>
      <w:proofErr w:type="spellEnd"/>
      <w:r w:rsidRPr="00C45298">
        <w:rPr>
          <w:rFonts w:ascii="Arial" w:hAnsi="Arial" w:cs="Arial"/>
          <w:lang w:val="sk-SK"/>
        </w:rPr>
        <w:br/>
        <w:t xml:space="preserve">PR &amp; </w:t>
      </w:r>
      <w:proofErr w:type="spellStart"/>
      <w:r w:rsidRPr="00C45298">
        <w:rPr>
          <w:rFonts w:ascii="Arial" w:hAnsi="Arial" w:cs="Arial"/>
          <w:lang w:val="sk-SK"/>
        </w:rPr>
        <w:t>Communication</w:t>
      </w:r>
      <w:proofErr w:type="spellEnd"/>
      <w:r w:rsidRPr="00C45298">
        <w:rPr>
          <w:rFonts w:ascii="Arial" w:hAnsi="Arial" w:cs="Arial"/>
          <w:lang w:val="sk-SK"/>
        </w:rPr>
        <w:t xml:space="preserve"> </w:t>
      </w:r>
      <w:proofErr w:type="spellStart"/>
      <w:r w:rsidRPr="00C45298">
        <w:rPr>
          <w:rFonts w:ascii="Arial" w:hAnsi="Arial" w:cs="Arial"/>
          <w:lang w:val="sk-SK"/>
        </w:rPr>
        <w:t>Director</w:t>
      </w:r>
      <w:proofErr w:type="spellEnd"/>
      <w:r w:rsidRPr="00C45298">
        <w:rPr>
          <w:rFonts w:ascii="Arial" w:hAnsi="Arial" w:cs="Arial"/>
          <w:lang w:val="sk-SK"/>
        </w:rPr>
        <w:br/>
      </w:r>
      <w:r w:rsidR="00B718C2">
        <w:rPr>
          <w:rFonts w:ascii="Arial" w:hAnsi="Arial" w:cs="Arial"/>
          <w:lang w:val="sk-SK"/>
        </w:rPr>
        <w:t xml:space="preserve">CEEC </w:t>
      </w:r>
      <w:proofErr w:type="spellStart"/>
      <w:r w:rsidR="00B718C2">
        <w:rPr>
          <w:rFonts w:ascii="Arial" w:hAnsi="Arial" w:cs="Arial"/>
          <w:lang w:val="sk-SK"/>
        </w:rPr>
        <w:t>Research</w:t>
      </w:r>
      <w:proofErr w:type="spellEnd"/>
      <w:r w:rsidR="00B718C2">
        <w:rPr>
          <w:rFonts w:ascii="Arial" w:hAnsi="Arial" w:cs="Arial"/>
          <w:lang w:val="sk-SK"/>
        </w:rPr>
        <w:br/>
        <w:t xml:space="preserve">E-mail: </w:t>
      </w:r>
      <w:proofErr w:type="spellStart"/>
      <w:r w:rsidR="00B718C2">
        <w:rPr>
          <w:rFonts w:ascii="Arial" w:hAnsi="Arial" w:cs="Arial"/>
          <w:lang w:val="sk-SK"/>
        </w:rPr>
        <w:t>bradacova</w:t>
      </w:r>
      <w:r w:rsidRPr="00C45298">
        <w:rPr>
          <w:rFonts w:ascii="Arial" w:hAnsi="Arial" w:cs="Arial"/>
          <w:lang w:val="sk-SK"/>
        </w:rPr>
        <w:t>@ceec.eu</w:t>
      </w:r>
      <w:proofErr w:type="spellEnd"/>
      <w:r w:rsidRPr="00C45298">
        <w:rPr>
          <w:rFonts w:ascii="Arial" w:hAnsi="Arial" w:cs="Arial"/>
          <w:lang w:val="sk-SK"/>
        </w:rPr>
        <w:br/>
        <w:t>Tel.: +420 777 299</w:t>
      </w:r>
      <w:r w:rsidR="005F0F7B">
        <w:rPr>
          <w:rFonts w:ascii="Arial" w:hAnsi="Arial" w:cs="Arial"/>
          <w:lang w:val="sk-SK"/>
        </w:rPr>
        <w:t> </w:t>
      </w:r>
      <w:r w:rsidRPr="00C45298">
        <w:rPr>
          <w:rFonts w:ascii="Arial" w:hAnsi="Arial" w:cs="Arial"/>
          <w:lang w:val="sk-SK"/>
        </w:rPr>
        <w:t>790</w:t>
      </w:r>
    </w:p>
    <w:p w:rsidR="007C55A2" w:rsidRDefault="007C55A2" w:rsidP="00D6684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F0F7B" w:rsidRDefault="005F0F7B" w:rsidP="00D6684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F0F7B" w:rsidRDefault="005F0F7B" w:rsidP="005F0F7B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CEEC </w:t>
      </w:r>
      <w:proofErr w:type="spellStart"/>
      <w:r>
        <w:rPr>
          <w:rFonts w:ascii="Arial" w:hAnsi="Arial" w:cs="Arial"/>
          <w:b/>
          <w:i/>
          <w:sz w:val="16"/>
          <w:szCs w:val="16"/>
        </w:rPr>
        <w:t>Research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je největší analytickou společností specializující se na stavebnictví, projektový a developerský sektor, strojírenství a oblast veřejných zakázek v zemích střední a východní Evropy. Byla založena v roce 2005 a od té doby bezplatně poskytuje studie o aktuálním stavu a očekávaném vývoji v těchto segmentech v deseti zemích střední a východní Evropy. Všechny studie a analýzy CEEC </w:t>
      </w:r>
      <w:proofErr w:type="spellStart"/>
      <w:r>
        <w:rPr>
          <w:rFonts w:ascii="Arial" w:hAnsi="Arial" w:cs="Arial"/>
          <w:i/>
          <w:sz w:val="16"/>
          <w:szCs w:val="16"/>
        </w:rPr>
        <w:t>Research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jsou založeny výhradně na údajích získaných z pravidelných strukturovaných interview s klíčovými představiteli vybraných největších, středních i malých společností. </w:t>
      </w:r>
    </w:p>
    <w:p w:rsidR="005F0F7B" w:rsidRDefault="005F0F7B" w:rsidP="005F0F7B">
      <w:pPr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5F0F7B" w:rsidRDefault="005F0F7B" w:rsidP="005F0F7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CEEC </w:t>
      </w:r>
      <w:proofErr w:type="spellStart"/>
      <w:r>
        <w:rPr>
          <w:rFonts w:ascii="Arial" w:hAnsi="Arial" w:cs="Arial"/>
          <w:b/>
          <w:i/>
          <w:sz w:val="16"/>
          <w:szCs w:val="16"/>
        </w:rPr>
        <w:t>Research</w:t>
      </w:r>
      <w:proofErr w:type="spellEnd"/>
      <w:r>
        <w:rPr>
          <w:rFonts w:ascii="Arial" w:hAnsi="Arial" w:cs="Arial"/>
          <w:b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navíc k pravidelným a bezplatným analýzám stavebního, projektového, developerského, strojírenského a veřejného sektoru také organizuje </w:t>
      </w:r>
      <w:r w:rsidR="00EF1F69">
        <w:rPr>
          <w:rFonts w:ascii="Arial" w:hAnsi="Arial" w:cs="Arial"/>
          <w:i/>
          <w:sz w:val="16"/>
          <w:szCs w:val="16"/>
        </w:rPr>
        <w:t>specializované</w:t>
      </w:r>
      <w:r>
        <w:rPr>
          <w:rFonts w:ascii="Arial" w:hAnsi="Arial" w:cs="Arial"/>
          <w:i/>
          <w:sz w:val="16"/>
          <w:szCs w:val="16"/>
        </w:rPr>
        <w:t xml:space="preserve"> konference, kterých se účastní generální ředitelé nejvýznamnějš</w:t>
      </w:r>
      <w:r w:rsidR="006A23EE">
        <w:rPr>
          <w:rFonts w:ascii="Arial" w:hAnsi="Arial" w:cs="Arial"/>
          <w:i/>
          <w:sz w:val="16"/>
          <w:szCs w:val="16"/>
        </w:rPr>
        <w:t>ích stavebních, developerských,</w:t>
      </w:r>
      <w:r>
        <w:rPr>
          <w:rFonts w:ascii="Arial" w:hAnsi="Arial" w:cs="Arial"/>
          <w:i/>
          <w:sz w:val="16"/>
          <w:szCs w:val="16"/>
        </w:rPr>
        <w:t xml:space="preserve"> projektových a strojírenských společností, prezidenti svazů,</w:t>
      </w:r>
      <w:r w:rsidR="00F546D9">
        <w:rPr>
          <w:rFonts w:ascii="Arial" w:hAnsi="Arial" w:cs="Arial"/>
          <w:i/>
          <w:sz w:val="16"/>
          <w:szCs w:val="16"/>
        </w:rPr>
        <w:t xml:space="preserve"> cechů a komor z těchto oblastí</w:t>
      </w:r>
      <w:r w:rsidR="00EF1F69"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t xml:space="preserve"> aby diskutovali s nejvyššími představiteli státu vybraných zemí. </w:t>
      </w:r>
      <w:r w:rsidR="00EF1F69">
        <w:rPr>
          <w:rFonts w:ascii="Arial" w:hAnsi="Arial" w:cs="Arial"/>
          <w:i/>
          <w:sz w:val="16"/>
          <w:szCs w:val="16"/>
        </w:rPr>
        <w:t xml:space="preserve"> </w:t>
      </w:r>
    </w:p>
    <w:p w:rsidR="005F0F7B" w:rsidRPr="00D66843" w:rsidRDefault="005F0F7B" w:rsidP="00D6684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sectPr w:rsidR="005F0F7B" w:rsidRPr="00D66843" w:rsidSect="00CB19AF">
      <w:headerReference w:type="default" r:id="rId11"/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618" w:rsidRDefault="006B7618" w:rsidP="00A76E50">
      <w:pPr>
        <w:spacing w:after="0" w:line="240" w:lineRule="auto"/>
      </w:pPr>
      <w:r>
        <w:separator/>
      </w:r>
    </w:p>
  </w:endnote>
  <w:endnote w:type="continuationSeparator" w:id="0">
    <w:p w:rsidR="006B7618" w:rsidRDefault="006B7618" w:rsidP="00A7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618" w:rsidRDefault="006B7618" w:rsidP="00A76E50">
      <w:pPr>
        <w:spacing w:after="0" w:line="240" w:lineRule="auto"/>
      </w:pPr>
      <w:r>
        <w:separator/>
      </w:r>
    </w:p>
  </w:footnote>
  <w:footnote w:type="continuationSeparator" w:id="0">
    <w:p w:rsidR="006B7618" w:rsidRDefault="006B7618" w:rsidP="00A76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B77" w:rsidRDefault="00E47B77" w:rsidP="00BD7803">
    <w:pPr>
      <w:pStyle w:val="Zhlav"/>
      <w:tabs>
        <w:tab w:val="clear" w:pos="4536"/>
        <w:tab w:val="clear" w:pos="9072"/>
        <w:tab w:val="left" w:pos="3585"/>
      </w:tabs>
      <w:jc w:val="center"/>
      <w:rPr>
        <w:b/>
        <w:noProof/>
        <w:color w:val="808080" w:themeColor="background1" w:themeShade="80"/>
        <w:sz w:val="60"/>
        <w:szCs w:val="60"/>
        <w:lang w:eastAsia="cs-CZ"/>
      </w:rPr>
    </w:pPr>
    <w:r>
      <w:rPr>
        <w:b/>
        <w:noProof/>
        <w:color w:val="808080" w:themeColor="background1" w:themeShade="80"/>
        <w:sz w:val="60"/>
        <w:szCs w:val="60"/>
        <w:lang w:eastAsia="cs-CZ"/>
      </w:rPr>
      <w:t xml:space="preserve">                                                       </w: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58FCA44" wp14:editId="284F8259">
          <wp:simplePos x="0" y="0"/>
          <wp:positionH relativeFrom="column">
            <wp:posOffset>-238760</wp:posOffset>
          </wp:positionH>
          <wp:positionV relativeFrom="paragraph">
            <wp:posOffset>-199390</wp:posOffset>
          </wp:positionV>
          <wp:extent cx="1285240" cy="758825"/>
          <wp:effectExtent l="0" t="0" r="0" b="3175"/>
          <wp:wrapSquare wrapText="bothSides"/>
          <wp:docPr id="19" name="obrázek 6" descr="Popis: Popis: Popis: Popis: Popis: Popis: Popis: logo CEEC Resea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Popis: Popis: Popis: Popis: Popis: Popis: Popis: logo CEEC Resear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47B77" w:rsidRDefault="00E47B77" w:rsidP="00BD7803">
    <w:pPr>
      <w:pStyle w:val="Zhlav"/>
      <w:tabs>
        <w:tab w:val="clear" w:pos="4536"/>
        <w:tab w:val="clear" w:pos="9072"/>
        <w:tab w:val="left" w:pos="3585"/>
      </w:tabs>
      <w:jc w:val="center"/>
      <w:rPr>
        <w:b/>
        <w:noProof/>
        <w:color w:val="808080" w:themeColor="background1" w:themeShade="80"/>
        <w:sz w:val="60"/>
        <w:szCs w:val="60"/>
        <w:lang w:eastAsia="cs-CZ"/>
      </w:rPr>
    </w:pPr>
    <w:r w:rsidRPr="00484806">
      <w:rPr>
        <w:b/>
        <w:noProof/>
        <w:color w:val="808080" w:themeColor="background1" w:themeShade="80"/>
        <w:sz w:val="60"/>
        <w:szCs w:val="60"/>
        <w:lang w:eastAsia="cs-CZ"/>
      </w:rPr>
      <w:t>Tisková zpráva</w:t>
    </w:r>
  </w:p>
  <w:p w:rsidR="00AC2D6D" w:rsidRPr="00AC2D6D" w:rsidRDefault="00AC2D6D" w:rsidP="00BD7803">
    <w:pPr>
      <w:pStyle w:val="Zhlav"/>
      <w:tabs>
        <w:tab w:val="clear" w:pos="4536"/>
        <w:tab w:val="clear" w:pos="9072"/>
        <w:tab w:val="left" w:pos="3585"/>
      </w:tabs>
      <w:jc w:val="center"/>
      <w:rPr>
        <w:b/>
        <w:color w:val="808080" w:themeColor="background1" w:themeShade="80"/>
        <w:sz w:val="18"/>
        <w:szCs w:val="18"/>
      </w:rPr>
    </w:pPr>
  </w:p>
  <w:p w:rsidR="00E47B77" w:rsidRDefault="00E47B7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5A2"/>
    <w:rsid w:val="00001257"/>
    <w:rsid w:val="00001697"/>
    <w:rsid w:val="00003552"/>
    <w:rsid w:val="000039CF"/>
    <w:rsid w:val="00012CB9"/>
    <w:rsid w:val="00016986"/>
    <w:rsid w:val="00026B61"/>
    <w:rsid w:val="00030F20"/>
    <w:rsid w:val="00034237"/>
    <w:rsid w:val="00040AF2"/>
    <w:rsid w:val="0004318D"/>
    <w:rsid w:val="000431B3"/>
    <w:rsid w:val="00052956"/>
    <w:rsid w:val="00055D25"/>
    <w:rsid w:val="000633FF"/>
    <w:rsid w:val="00064569"/>
    <w:rsid w:val="0006538F"/>
    <w:rsid w:val="00067C5F"/>
    <w:rsid w:val="00072FDF"/>
    <w:rsid w:val="00072FE8"/>
    <w:rsid w:val="00073FC5"/>
    <w:rsid w:val="00076EE1"/>
    <w:rsid w:val="000803AD"/>
    <w:rsid w:val="000853CA"/>
    <w:rsid w:val="00092923"/>
    <w:rsid w:val="00093D49"/>
    <w:rsid w:val="000957C6"/>
    <w:rsid w:val="000A0C73"/>
    <w:rsid w:val="000A2E0E"/>
    <w:rsid w:val="000A593D"/>
    <w:rsid w:val="000A7221"/>
    <w:rsid w:val="000B0EFB"/>
    <w:rsid w:val="000B2314"/>
    <w:rsid w:val="000B3A8B"/>
    <w:rsid w:val="000C0093"/>
    <w:rsid w:val="000C079A"/>
    <w:rsid w:val="000C2B3C"/>
    <w:rsid w:val="000C5911"/>
    <w:rsid w:val="000D031A"/>
    <w:rsid w:val="000D3395"/>
    <w:rsid w:val="000D5EC9"/>
    <w:rsid w:val="000E0FE0"/>
    <w:rsid w:val="000E5419"/>
    <w:rsid w:val="000E620E"/>
    <w:rsid w:val="000E71B9"/>
    <w:rsid w:val="000F4820"/>
    <w:rsid w:val="000F58C9"/>
    <w:rsid w:val="000F5D71"/>
    <w:rsid w:val="001037D9"/>
    <w:rsid w:val="00104FFE"/>
    <w:rsid w:val="001111BA"/>
    <w:rsid w:val="001131DD"/>
    <w:rsid w:val="00116678"/>
    <w:rsid w:val="00116FFB"/>
    <w:rsid w:val="00121151"/>
    <w:rsid w:val="00125253"/>
    <w:rsid w:val="00127951"/>
    <w:rsid w:val="001350E0"/>
    <w:rsid w:val="001536EE"/>
    <w:rsid w:val="00172C66"/>
    <w:rsid w:val="001748DC"/>
    <w:rsid w:val="00180560"/>
    <w:rsid w:val="001854A9"/>
    <w:rsid w:val="0018743F"/>
    <w:rsid w:val="00196346"/>
    <w:rsid w:val="0019645D"/>
    <w:rsid w:val="00197EB7"/>
    <w:rsid w:val="001A281A"/>
    <w:rsid w:val="001A6A6E"/>
    <w:rsid w:val="001B76D5"/>
    <w:rsid w:val="001C6F33"/>
    <w:rsid w:val="001C7E05"/>
    <w:rsid w:val="001D0C46"/>
    <w:rsid w:val="001D36EB"/>
    <w:rsid w:val="001D5798"/>
    <w:rsid w:val="001D7AEC"/>
    <w:rsid w:val="001E715E"/>
    <w:rsid w:val="001F128B"/>
    <w:rsid w:val="001F22BC"/>
    <w:rsid w:val="00211533"/>
    <w:rsid w:val="00212725"/>
    <w:rsid w:val="002168D5"/>
    <w:rsid w:val="002262A5"/>
    <w:rsid w:val="00233D6F"/>
    <w:rsid w:val="002353AC"/>
    <w:rsid w:val="00237274"/>
    <w:rsid w:val="00255CAF"/>
    <w:rsid w:val="002560EF"/>
    <w:rsid w:val="00257FF1"/>
    <w:rsid w:val="00260DD4"/>
    <w:rsid w:val="0026597A"/>
    <w:rsid w:val="002678EB"/>
    <w:rsid w:val="00271171"/>
    <w:rsid w:val="00275AD4"/>
    <w:rsid w:val="002818F3"/>
    <w:rsid w:val="0029021E"/>
    <w:rsid w:val="0029157C"/>
    <w:rsid w:val="00293553"/>
    <w:rsid w:val="002A05C0"/>
    <w:rsid w:val="002A6CC8"/>
    <w:rsid w:val="002A7D2C"/>
    <w:rsid w:val="002B1925"/>
    <w:rsid w:val="002B69EB"/>
    <w:rsid w:val="002B7003"/>
    <w:rsid w:val="002C007B"/>
    <w:rsid w:val="002C5F1D"/>
    <w:rsid w:val="002C6870"/>
    <w:rsid w:val="002E1B68"/>
    <w:rsid w:val="002E1CCD"/>
    <w:rsid w:val="002F3CFF"/>
    <w:rsid w:val="002F4916"/>
    <w:rsid w:val="002F5151"/>
    <w:rsid w:val="002F5850"/>
    <w:rsid w:val="002F7E3F"/>
    <w:rsid w:val="003008A7"/>
    <w:rsid w:val="003016AD"/>
    <w:rsid w:val="00311BF9"/>
    <w:rsid w:val="00317CBD"/>
    <w:rsid w:val="00320FF8"/>
    <w:rsid w:val="00324918"/>
    <w:rsid w:val="00325137"/>
    <w:rsid w:val="00326977"/>
    <w:rsid w:val="00327098"/>
    <w:rsid w:val="00331342"/>
    <w:rsid w:val="00332EC1"/>
    <w:rsid w:val="00336791"/>
    <w:rsid w:val="00341337"/>
    <w:rsid w:val="00343FE1"/>
    <w:rsid w:val="00345FAA"/>
    <w:rsid w:val="00350B86"/>
    <w:rsid w:val="003567AD"/>
    <w:rsid w:val="00357CBB"/>
    <w:rsid w:val="00367B43"/>
    <w:rsid w:val="00376E15"/>
    <w:rsid w:val="003820D9"/>
    <w:rsid w:val="00383358"/>
    <w:rsid w:val="00387314"/>
    <w:rsid w:val="00387937"/>
    <w:rsid w:val="00390E15"/>
    <w:rsid w:val="003953D3"/>
    <w:rsid w:val="003964E1"/>
    <w:rsid w:val="003A14B6"/>
    <w:rsid w:val="003A181B"/>
    <w:rsid w:val="003A3434"/>
    <w:rsid w:val="003A4FD1"/>
    <w:rsid w:val="003A6F3A"/>
    <w:rsid w:val="003A7A48"/>
    <w:rsid w:val="003B2226"/>
    <w:rsid w:val="003B24B6"/>
    <w:rsid w:val="003B2E18"/>
    <w:rsid w:val="003D48F8"/>
    <w:rsid w:val="003E3DE2"/>
    <w:rsid w:val="003E40D1"/>
    <w:rsid w:val="003E77A1"/>
    <w:rsid w:val="003F1964"/>
    <w:rsid w:val="00402D9F"/>
    <w:rsid w:val="00426A92"/>
    <w:rsid w:val="004316C7"/>
    <w:rsid w:val="00433364"/>
    <w:rsid w:val="0043543D"/>
    <w:rsid w:val="004370C0"/>
    <w:rsid w:val="00437237"/>
    <w:rsid w:val="00437D6C"/>
    <w:rsid w:val="00440E02"/>
    <w:rsid w:val="00441736"/>
    <w:rsid w:val="0044390B"/>
    <w:rsid w:val="0044519F"/>
    <w:rsid w:val="004462F7"/>
    <w:rsid w:val="00446BD0"/>
    <w:rsid w:val="004503E6"/>
    <w:rsid w:val="00454A85"/>
    <w:rsid w:val="00460C42"/>
    <w:rsid w:val="0046114D"/>
    <w:rsid w:val="00461766"/>
    <w:rsid w:val="00466AB9"/>
    <w:rsid w:val="00471F4D"/>
    <w:rsid w:val="00475411"/>
    <w:rsid w:val="00477E8F"/>
    <w:rsid w:val="004861FD"/>
    <w:rsid w:val="004907FF"/>
    <w:rsid w:val="00493E4C"/>
    <w:rsid w:val="00497993"/>
    <w:rsid w:val="004A1A95"/>
    <w:rsid w:val="004A4778"/>
    <w:rsid w:val="004A714A"/>
    <w:rsid w:val="004B2FEB"/>
    <w:rsid w:val="004C14E3"/>
    <w:rsid w:val="004C778E"/>
    <w:rsid w:val="004D3CE0"/>
    <w:rsid w:val="004D75BF"/>
    <w:rsid w:val="004F5B25"/>
    <w:rsid w:val="004F5B5A"/>
    <w:rsid w:val="005171E3"/>
    <w:rsid w:val="00517883"/>
    <w:rsid w:val="0052175E"/>
    <w:rsid w:val="00524ADB"/>
    <w:rsid w:val="00530C65"/>
    <w:rsid w:val="00532BE3"/>
    <w:rsid w:val="00540E43"/>
    <w:rsid w:val="00545502"/>
    <w:rsid w:val="0054668A"/>
    <w:rsid w:val="0054748B"/>
    <w:rsid w:val="0055065F"/>
    <w:rsid w:val="005556C1"/>
    <w:rsid w:val="00565634"/>
    <w:rsid w:val="00567421"/>
    <w:rsid w:val="005677BC"/>
    <w:rsid w:val="005708AF"/>
    <w:rsid w:val="0057268D"/>
    <w:rsid w:val="005733C7"/>
    <w:rsid w:val="005826BC"/>
    <w:rsid w:val="0058771B"/>
    <w:rsid w:val="005912F8"/>
    <w:rsid w:val="005A4048"/>
    <w:rsid w:val="005A498E"/>
    <w:rsid w:val="005C03A3"/>
    <w:rsid w:val="005C0FA8"/>
    <w:rsid w:val="005D15C7"/>
    <w:rsid w:val="005D32BF"/>
    <w:rsid w:val="005D3E08"/>
    <w:rsid w:val="005E06F2"/>
    <w:rsid w:val="005E2954"/>
    <w:rsid w:val="005E295F"/>
    <w:rsid w:val="005E30D6"/>
    <w:rsid w:val="005E76DC"/>
    <w:rsid w:val="005F0F7B"/>
    <w:rsid w:val="005F436D"/>
    <w:rsid w:val="0060359F"/>
    <w:rsid w:val="00605FD4"/>
    <w:rsid w:val="006134B4"/>
    <w:rsid w:val="00620D56"/>
    <w:rsid w:val="00625010"/>
    <w:rsid w:val="0063643D"/>
    <w:rsid w:val="0065684B"/>
    <w:rsid w:val="00656C38"/>
    <w:rsid w:val="0066111C"/>
    <w:rsid w:val="00661312"/>
    <w:rsid w:val="00665B5E"/>
    <w:rsid w:val="006718DD"/>
    <w:rsid w:val="00672B58"/>
    <w:rsid w:val="00672B96"/>
    <w:rsid w:val="00672BB7"/>
    <w:rsid w:val="00673835"/>
    <w:rsid w:val="006744DE"/>
    <w:rsid w:val="00677213"/>
    <w:rsid w:val="006801BB"/>
    <w:rsid w:val="00684B67"/>
    <w:rsid w:val="00693E78"/>
    <w:rsid w:val="006953F2"/>
    <w:rsid w:val="00697385"/>
    <w:rsid w:val="006A13CF"/>
    <w:rsid w:val="006A231E"/>
    <w:rsid w:val="006A23EE"/>
    <w:rsid w:val="006A528C"/>
    <w:rsid w:val="006A594B"/>
    <w:rsid w:val="006B7618"/>
    <w:rsid w:val="006C5597"/>
    <w:rsid w:val="006C735B"/>
    <w:rsid w:val="006E4E8A"/>
    <w:rsid w:val="006F0F71"/>
    <w:rsid w:val="006F281B"/>
    <w:rsid w:val="006F29EF"/>
    <w:rsid w:val="006F2C05"/>
    <w:rsid w:val="00702F17"/>
    <w:rsid w:val="00703F7F"/>
    <w:rsid w:val="00704903"/>
    <w:rsid w:val="007076E0"/>
    <w:rsid w:val="00710EF9"/>
    <w:rsid w:val="0071470C"/>
    <w:rsid w:val="007151ED"/>
    <w:rsid w:val="00721DB4"/>
    <w:rsid w:val="0072523F"/>
    <w:rsid w:val="00725A3E"/>
    <w:rsid w:val="007262F3"/>
    <w:rsid w:val="00733E20"/>
    <w:rsid w:val="00737158"/>
    <w:rsid w:val="0074021E"/>
    <w:rsid w:val="00741C6E"/>
    <w:rsid w:val="007430B7"/>
    <w:rsid w:val="00744A97"/>
    <w:rsid w:val="00752F10"/>
    <w:rsid w:val="007547AB"/>
    <w:rsid w:val="00756A20"/>
    <w:rsid w:val="00757E18"/>
    <w:rsid w:val="00760BCE"/>
    <w:rsid w:val="00763269"/>
    <w:rsid w:val="00766B88"/>
    <w:rsid w:val="0077612F"/>
    <w:rsid w:val="00782680"/>
    <w:rsid w:val="00785B22"/>
    <w:rsid w:val="00797377"/>
    <w:rsid w:val="007A4BC1"/>
    <w:rsid w:val="007A52D2"/>
    <w:rsid w:val="007B2BC0"/>
    <w:rsid w:val="007B67E8"/>
    <w:rsid w:val="007C55A2"/>
    <w:rsid w:val="007C7D83"/>
    <w:rsid w:val="007D01D4"/>
    <w:rsid w:val="007D51D0"/>
    <w:rsid w:val="007E2491"/>
    <w:rsid w:val="007F0ADF"/>
    <w:rsid w:val="007F5413"/>
    <w:rsid w:val="007F7BD4"/>
    <w:rsid w:val="00825E03"/>
    <w:rsid w:val="00832635"/>
    <w:rsid w:val="0084004E"/>
    <w:rsid w:val="008428C9"/>
    <w:rsid w:val="0084430B"/>
    <w:rsid w:val="00862954"/>
    <w:rsid w:val="00871E1E"/>
    <w:rsid w:val="0087210A"/>
    <w:rsid w:val="00872C5B"/>
    <w:rsid w:val="00873C3E"/>
    <w:rsid w:val="00875846"/>
    <w:rsid w:val="00875B48"/>
    <w:rsid w:val="0088009B"/>
    <w:rsid w:val="00882E09"/>
    <w:rsid w:val="008878D0"/>
    <w:rsid w:val="00890743"/>
    <w:rsid w:val="00892803"/>
    <w:rsid w:val="008A1918"/>
    <w:rsid w:val="008A2FB6"/>
    <w:rsid w:val="008B1388"/>
    <w:rsid w:val="008B2FE8"/>
    <w:rsid w:val="008B50B9"/>
    <w:rsid w:val="008B7DCF"/>
    <w:rsid w:val="008C716E"/>
    <w:rsid w:val="008D414B"/>
    <w:rsid w:val="008E2231"/>
    <w:rsid w:val="008E4090"/>
    <w:rsid w:val="008E51E4"/>
    <w:rsid w:val="008E70F3"/>
    <w:rsid w:val="008F20F7"/>
    <w:rsid w:val="008F4D01"/>
    <w:rsid w:val="00902A00"/>
    <w:rsid w:val="00906B01"/>
    <w:rsid w:val="00914FF6"/>
    <w:rsid w:val="00917465"/>
    <w:rsid w:val="00930100"/>
    <w:rsid w:val="00930BEC"/>
    <w:rsid w:val="00930CA6"/>
    <w:rsid w:val="00931E7E"/>
    <w:rsid w:val="00932481"/>
    <w:rsid w:val="009356AB"/>
    <w:rsid w:val="00935BE4"/>
    <w:rsid w:val="00941616"/>
    <w:rsid w:val="00942613"/>
    <w:rsid w:val="009443F0"/>
    <w:rsid w:val="009452AD"/>
    <w:rsid w:val="00951E32"/>
    <w:rsid w:val="009522FC"/>
    <w:rsid w:val="00955701"/>
    <w:rsid w:val="009564A3"/>
    <w:rsid w:val="0095783E"/>
    <w:rsid w:val="00957D0D"/>
    <w:rsid w:val="00962CD2"/>
    <w:rsid w:val="00965531"/>
    <w:rsid w:val="00976DBB"/>
    <w:rsid w:val="00984994"/>
    <w:rsid w:val="00985694"/>
    <w:rsid w:val="00985F9A"/>
    <w:rsid w:val="00987D32"/>
    <w:rsid w:val="00990B27"/>
    <w:rsid w:val="00992BC3"/>
    <w:rsid w:val="009A1D73"/>
    <w:rsid w:val="009A38B8"/>
    <w:rsid w:val="009A58B4"/>
    <w:rsid w:val="009A6632"/>
    <w:rsid w:val="009B41D2"/>
    <w:rsid w:val="009C099A"/>
    <w:rsid w:val="009C265B"/>
    <w:rsid w:val="009C590D"/>
    <w:rsid w:val="009C7C7E"/>
    <w:rsid w:val="009D01E8"/>
    <w:rsid w:val="009D117F"/>
    <w:rsid w:val="009D125D"/>
    <w:rsid w:val="009E295C"/>
    <w:rsid w:val="009E635F"/>
    <w:rsid w:val="009E663B"/>
    <w:rsid w:val="009E6FA2"/>
    <w:rsid w:val="009E72B1"/>
    <w:rsid w:val="009F318A"/>
    <w:rsid w:val="00A036DF"/>
    <w:rsid w:val="00A13B5D"/>
    <w:rsid w:val="00A13BD2"/>
    <w:rsid w:val="00A26852"/>
    <w:rsid w:val="00A26A00"/>
    <w:rsid w:val="00A300A2"/>
    <w:rsid w:val="00A32EEE"/>
    <w:rsid w:val="00A3482C"/>
    <w:rsid w:val="00A45442"/>
    <w:rsid w:val="00A5482F"/>
    <w:rsid w:val="00A566F4"/>
    <w:rsid w:val="00A601AE"/>
    <w:rsid w:val="00A6782D"/>
    <w:rsid w:val="00A728A3"/>
    <w:rsid w:val="00A7323A"/>
    <w:rsid w:val="00A76799"/>
    <w:rsid w:val="00A76E50"/>
    <w:rsid w:val="00A84CE9"/>
    <w:rsid w:val="00A906B5"/>
    <w:rsid w:val="00A926D4"/>
    <w:rsid w:val="00A94542"/>
    <w:rsid w:val="00A95378"/>
    <w:rsid w:val="00AA1387"/>
    <w:rsid w:val="00AB2DE8"/>
    <w:rsid w:val="00AC0232"/>
    <w:rsid w:val="00AC22A3"/>
    <w:rsid w:val="00AC2395"/>
    <w:rsid w:val="00AC2D6D"/>
    <w:rsid w:val="00AC32E2"/>
    <w:rsid w:val="00AC5F68"/>
    <w:rsid w:val="00AC6AD5"/>
    <w:rsid w:val="00AD0157"/>
    <w:rsid w:val="00AE0527"/>
    <w:rsid w:val="00AE1035"/>
    <w:rsid w:val="00AE16A4"/>
    <w:rsid w:val="00AE6024"/>
    <w:rsid w:val="00AF4BFC"/>
    <w:rsid w:val="00B12D93"/>
    <w:rsid w:val="00B172EC"/>
    <w:rsid w:val="00B273A5"/>
    <w:rsid w:val="00B30D0D"/>
    <w:rsid w:val="00B319B5"/>
    <w:rsid w:val="00B35249"/>
    <w:rsid w:val="00B42338"/>
    <w:rsid w:val="00B42D41"/>
    <w:rsid w:val="00B42E63"/>
    <w:rsid w:val="00B43DE6"/>
    <w:rsid w:val="00B46243"/>
    <w:rsid w:val="00B47BF2"/>
    <w:rsid w:val="00B64398"/>
    <w:rsid w:val="00B660F0"/>
    <w:rsid w:val="00B676BD"/>
    <w:rsid w:val="00B7063C"/>
    <w:rsid w:val="00B718C2"/>
    <w:rsid w:val="00B87D38"/>
    <w:rsid w:val="00BA0468"/>
    <w:rsid w:val="00BA097C"/>
    <w:rsid w:val="00BB3010"/>
    <w:rsid w:val="00BB7537"/>
    <w:rsid w:val="00BB7792"/>
    <w:rsid w:val="00BC3888"/>
    <w:rsid w:val="00BD3F96"/>
    <w:rsid w:val="00BD6790"/>
    <w:rsid w:val="00BD7803"/>
    <w:rsid w:val="00BE0FB2"/>
    <w:rsid w:val="00BE1FCB"/>
    <w:rsid w:val="00BE4C87"/>
    <w:rsid w:val="00BE50C4"/>
    <w:rsid w:val="00BF14DC"/>
    <w:rsid w:val="00C04049"/>
    <w:rsid w:val="00C07B25"/>
    <w:rsid w:val="00C1456C"/>
    <w:rsid w:val="00C17493"/>
    <w:rsid w:val="00C231A7"/>
    <w:rsid w:val="00C231F2"/>
    <w:rsid w:val="00C33A96"/>
    <w:rsid w:val="00C45298"/>
    <w:rsid w:val="00C456A8"/>
    <w:rsid w:val="00C52010"/>
    <w:rsid w:val="00C57142"/>
    <w:rsid w:val="00C66B21"/>
    <w:rsid w:val="00C71D8B"/>
    <w:rsid w:val="00C76EFB"/>
    <w:rsid w:val="00C91307"/>
    <w:rsid w:val="00C9176D"/>
    <w:rsid w:val="00C93D89"/>
    <w:rsid w:val="00C93F8A"/>
    <w:rsid w:val="00C94082"/>
    <w:rsid w:val="00C945F2"/>
    <w:rsid w:val="00C95A8C"/>
    <w:rsid w:val="00C968F2"/>
    <w:rsid w:val="00CA3F6B"/>
    <w:rsid w:val="00CB19AF"/>
    <w:rsid w:val="00CB2C3F"/>
    <w:rsid w:val="00CB5E6C"/>
    <w:rsid w:val="00CC3C58"/>
    <w:rsid w:val="00CC7F02"/>
    <w:rsid w:val="00CD2EFD"/>
    <w:rsid w:val="00CD6919"/>
    <w:rsid w:val="00CE177F"/>
    <w:rsid w:val="00CF08E7"/>
    <w:rsid w:val="00CF2F03"/>
    <w:rsid w:val="00D1081C"/>
    <w:rsid w:val="00D11C20"/>
    <w:rsid w:val="00D14C0C"/>
    <w:rsid w:val="00D16BDE"/>
    <w:rsid w:val="00D17B2A"/>
    <w:rsid w:val="00D17F2B"/>
    <w:rsid w:val="00D262A9"/>
    <w:rsid w:val="00D308FE"/>
    <w:rsid w:val="00D3106C"/>
    <w:rsid w:val="00D335C7"/>
    <w:rsid w:val="00D376F8"/>
    <w:rsid w:val="00D52AE5"/>
    <w:rsid w:val="00D601E1"/>
    <w:rsid w:val="00D61585"/>
    <w:rsid w:val="00D64833"/>
    <w:rsid w:val="00D6525A"/>
    <w:rsid w:val="00D6587A"/>
    <w:rsid w:val="00D66843"/>
    <w:rsid w:val="00D83977"/>
    <w:rsid w:val="00D8719A"/>
    <w:rsid w:val="00DB07A6"/>
    <w:rsid w:val="00DB21E5"/>
    <w:rsid w:val="00DD367E"/>
    <w:rsid w:val="00DE5DFF"/>
    <w:rsid w:val="00DE6045"/>
    <w:rsid w:val="00DE6B4C"/>
    <w:rsid w:val="00DF088F"/>
    <w:rsid w:val="00E018DE"/>
    <w:rsid w:val="00E12712"/>
    <w:rsid w:val="00E128C6"/>
    <w:rsid w:val="00E15271"/>
    <w:rsid w:val="00E15E35"/>
    <w:rsid w:val="00E22B32"/>
    <w:rsid w:val="00E250FF"/>
    <w:rsid w:val="00E25CA4"/>
    <w:rsid w:val="00E2600D"/>
    <w:rsid w:val="00E27F64"/>
    <w:rsid w:val="00E32B62"/>
    <w:rsid w:val="00E35919"/>
    <w:rsid w:val="00E44FF0"/>
    <w:rsid w:val="00E46B3F"/>
    <w:rsid w:val="00E47B77"/>
    <w:rsid w:val="00E508E4"/>
    <w:rsid w:val="00E50CC2"/>
    <w:rsid w:val="00E529A9"/>
    <w:rsid w:val="00E56EA4"/>
    <w:rsid w:val="00E65EA3"/>
    <w:rsid w:val="00E6747F"/>
    <w:rsid w:val="00E758AE"/>
    <w:rsid w:val="00E763DF"/>
    <w:rsid w:val="00E907AC"/>
    <w:rsid w:val="00E9100F"/>
    <w:rsid w:val="00E92382"/>
    <w:rsid w:val="00E9337A"/>
    <w:rsid w:val="00E95B38"/>
    <w:rsid w:val="00E96228"/>
    <w:rsid w:val="00EA3F2E"/>
    <w:rsid w:val="00EA4F78"/>
    <w:rsid w:val="00EB37E6"/>
    <w:rsid w:val="00EC008B"/>
    <w:rsid w:val="00EC17F7"/>
    <w:rsid w:val="00EC548D"/>
    <w:rsid w:val="00EC5FD4"/>
    <w:rsid w:val="00EC6620"/>
    <w:rsid w:val="00ED76BA"/>
    <w:rsid w:val="00EE0F00"/>
    <w:rsid w:val="00EF1F69"/>
    <w:rsid w:val="00EF6BE0"/>
    <w:rsid w:val="00F15EB5"/>
    <w:rsid w:val="00F17FD0"/>
    <w:rsid w:val="00F20E32"/>
    <w:rsid w:val="00F21FD4"/>
    <w:rsid w:val="00F24528"/>
    <w:rsid w:val="00F36129"/>
    <w:rsid w:val="00F5151A"/>
    <w:rsid w:val="00F5346D"/>
    <w:rsid w:val="00F546D9"/>
    <w:rsid w:val="00F740B9"/>
    <w:rsid w:val="00F90113"/>
    <w:rsid w:val="00F94DB2"/>
    <w:rsid w:val="00F976FB"/>
    <w:rsid w:val="00FA048C"/>
    <w:rsid w:val="00FA3564"/>
    <w:rsid w:val="00FA7766"/>
    <w:rsid w:val="00FB282F"/>
    <w:rsid w:val="00FB55E5"/>
    <w:rsid w:val="00FC2A47"/>
    <w:rsid w:val="00FD0C4C"/>
    <w:rsid w:val="00FD1948"/>
    <w:rsid w:val="00FE1F07"/>
    <w:rsid w:val="00FE4D4F"/>
    <w:rsid w:val="00FF07BB"/>
    <w:rsid w:val="00FF1841"/>
    <w:rsid w:val="00FF1E26"/>
    <w:rsid w:val="00FF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968F2"/>
    <w:rPr>
      <w:color w:val="0000FF"/>
      <w:u w:val="single"/>
    </w:rPr>
  </w:style>
  <w:style w:type="character" w:customStyle="1" w:styleId="hps">
    <w:name w:val="hps"/>
    <w:basedOn w:val="Standardnpsmoodstavce"/>
    <w:rsid w:val="00C968F2"/>
  </w:style>
  <w:style w:type="paragraph" w:styleId="Zhlav">
    <w:name w:val="header"/>
    <w:basedOn w:val="Normln"/>
    <w:link w:val="ZhlavChar"/>
    <w:uiPriority w:val="99"/>
    <w:unhideWhenUsed/>
    <w:rsid w:val="00A7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6E50"/>
  </w:style>
  <w:style w:type="paragraph" w:styleId="Zpat">
    <w:name w:val="footer"/>
    <w:basedOn w:val="Normln"/>
    <w:link w:val="ZpatChar"/>
    <w:uiPriority w:val="99"/>
    <w:unhideWhenUsed/>
    <w:rsid w:val="00A7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6E50"/>
  </w:style>
  <w:style w:type="paragraph" w:styleId="Textbubliny">
    <w:name w:val="Balloon Text"/>
    <w:basedOn w:val="Normln"/>
    <w:link w:val="TextbublinyChar"/>
    <w:uiPriority w:val="99"/>
    <w:semiHidden/>
    <w:unhideWhenUsed/>
    <w:rsid w:val="00FF0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07B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94D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4DB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4DB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4D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4DB2"/>
    <w:rPr>
      <w:b/>
      <w:bCs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84CE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84CE9"/>
    <w:rPr>
      <w:rFonts w:ascii="Calibri" w:hAnsi="Calibri"/>
      <w:szCs w:val="21"/>
    </w:rPr>
  </w:style>
  <w:style w:type="paragraph" w:styleId="Odstavecseseznamem">
    <w:name w:val="List Paragraph"/>
    <w:basedOn w:val="Normln"/>
    <w:uiPriority w:val="34"/>
    <w:qFormat/>
    <w:rsid w:val="005171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968F2"/>
    <w:rPr>
      <w:color w:val="0000FF"/>
      <w:u w:val="single"/>
    </w:rPr>
  </w:style>
  <w:style w:type="character" w:customStyle="1" w:styleId="hps">
    <w:name w:val="hps"/>
    <w:basedOn w:val="Standardnpsmoodstavce"/>
    <w:rsid w:val="00C968F2"/>
  </w:style>
  <w:style w:type="paragraph" w:styleId="Zhlav">
    <w:name w:val="header"/>
    <w:basedOn w:val="Normln"/>
    <w:link w:val="ZhlavChar"/>
    <w:uiPriority w:val="99"/>
    <w:unhideWhenUsed/>
    <w:rsid w:val="00A7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6E50"/>
  </w:style>
  <w:style w:type="paragraph" w:styleId="Zpat">
    <w:name w:val="footer"/>
    <w:basedOn w:val="Normln"/>
    <w:link w:val="ZpatChar"/>
    <w:uiPriority w:val="99"/>
    <w:unhideWhenUsed/>
    <w:rsid w:val="00A7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6E50"/>
  </w:style>
  <w:style w:type="paragraph" w:styleId="Textbubliny">
    <w:name w:val="Balloon Text"/>
    <w:basedOn w:val="Normln"/>
    <w:link w:val="TextbublinyChar"/>
    <w:uiPriority w:val="99"/>
    <w:semiHidden/>
    <w:unhideWhenUsed/>
    <w:rsid w:val="00FF0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07B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94D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4DB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4DB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4D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4DB2"/>
    <w:rPr>
      <w:b/>
      <w:bCs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84CE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84CE9"/>
    <w:rPr>
      <w:rFonts w:ascii="Calibri" w:hAnsi="Calibri"/>
      <w:szCs w:val="21"/>
    </w:rPr>
  </w:style>
  <w:style w:type="paragraph" w:styleId="Odstavecseseznamem">
    <w:name w:val="List Paragraph"/>
    <w:basedOn w:val="Normln"/>
    <w:uiPriority w:val="34"/>
    <w:qFormat/>
    <w:rsid w:val="00517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E:\VZ3\ozn_celkem2014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oleObject" Target="file:///E:\VZ3\ozn_celkem2014.xls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cs-CZ" sz="10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Oznámení o zakázce (počet)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cs-CZ" sz="1000" b="0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struktura v roce 2014 podle druhu zadavatele</a:t>
            </a:r>
          </a:p>
        </c:rich>
      </c:tx>
      <c:layout>
        <c:manualLayout>
          <c:xMode val="edge"/>
          <c:yMode val="edge"/>
          <c:x val="0.14399641905226965"/>
          <c:y val="0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2767014588292742"/>
          <c:y val="0.33952194991892798"/>
          <c:w val="0.56336039390425041"/>
          <c:h val="0.66047805008107197"/>
        </c:manualLayout>
      </c:layout>
      <c:pie3DChart>
        <c:varyColors val="1"/>
        <c:ser>
          <c:idx val="0"/>
          <c:order val="0"/>
          <c:spPr>
            <a:ln>
              <a:solidFill>
                <a:schemeClr val="bg1">
                  <a:lumMod val="50000"/>
                </a:schemeClr>
              </a:solidFill>
            </a:ln>
          </c:spPr>
          <c:dPt>
            <c:idx val="0"/>
            <c:bubble3D val="0"/>
            <c:spPr>
              <a:solidFill>
                <a:srgbClr val="FFC000"/>
              </a:solidFill>
              <a:ln>
                <a:solidFill>
                  <a:schemeClr val="bg1">
                    <a:lumMod val="50000"/>
                  </a:schemeClr>
                </a:solidFill>
              </a:ln>
            </c:spPr>
          </c:dPt>
          <c:dPt>
            <c:idx val="1"/>
            <c:bubble3D val="0"/>
            <c:spPr>
              <a:solidFill>
                <a:srgbClr val="92D050"/>
              </a:solidFill>
              <a:ln>
                <a:solidFill>
                  <a:schemeClr val="bg1">
                    <a:lumMod val="50000"/>
                  </a:schemeClr>
                </a:solidFill>
              </a:ln>
            </c:spPr>
          </c:dPt>
          <c:dPt>
            <c:idx val="2"/>
            <c:bubble3D val="0"/>
            <c:spPr>
              <a:solidFill>
                <a:srgbClr val="0070C0"/>
              </a:solidFill>
              <a:ln>
                <a:solidFill>
                  <a:schemeClr val="bg1">
                    <a:lumMod val="50000"/>
                  </a:schemeClr>
                </a:solidFill>
              </a:ln>
            </c:spPr>
          </c:dPt>
          <c:dPt>
            <c:idx val="3"/>
            <c:bubble3D val="0"/>
            <c:spPr>
              <a:solidFill>
                <a:srgbClr val="7030A0"/>
              </a:solidFill>
              <a:ln>
                <a:solidFill>
                  <a:schemeClr val="bg1">
                    <a:lumMod val="50000"/>
                  </a:schemeClr>
                </a:solidFill>
              </a:ln>
            </c:spPr>
          </c:dPt>
          <c:dLbls>
            <c:txPr>
              <a:bodyPr/>
              <a:lstStyle/>
              <a:p>
                <a:pPr>
                  <a:defRPr sz="7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cs-CZ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1"/>
          </c:dLbls>
          <c:cat>
            <c:strRef>
              <c:f>druh!$C$77:$F$77</c:f>
              <c:strCache>
                <c:ptCount val="4"/>
                <c:pt idx="0">
                  <c:v>ministerstva a další celostátní úřady</c:v>
                </c:pt>
                <c:pt idx="1">
                  <c:v>ostatní subjekty</c:v>
                </c:pt>
                <c:pt idx="2">
                  <c:v>regionální úřady a sdružení</c:v>
                </c:pt>
                <c:pt idx="3">
                  <c:v>státní podniky</c:v>
                </c:pt>
              </c:strCache>
            </c:strRef>
          </c:cat>
          <c:val>
            <c:numRef>
              <c:f>druh!$C$89:$F$89</c:f>
              <c:numCache>
                <c:formatCode>0.0</c:formatCode>
                <c:ptCount val="4"/>
                <c:pt idx="0">
                  <c:v>11.797261870084474</c:v>
                </c:pt>
                <c:pt idx="1">
                  <c:v>22.633265365569471</c:v>
                </c:pt>
                <c:pt idx="2">
                  <c:v>62.423536265656864</c:v>
                </c:pt>
                <c:pt idx="3">
                  <c:v>3.1459364986891933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cs-CZ"/>
    </a:p>
  </c:tx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cs-CZ" sz="10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Oznámení o zakázce (hodnota)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cs-CZ" sz="1000" b="0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struktura v roce 2014 podle druhu zadavatele</a:t>
            </a:r>
          </a:p>
        </c:rich>
      </c:tx>
      <c:layout>
        <c:manualLayout>
          <c:xMode val="edge"/>
          <c:yMode val="edge"/>
          <c:x val="0.14399641905226965"/>
          <c:y val="0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2767014588292742"/>
          <c:y val="0.33952194991892798"/>
          <c:w val="0.56336039390425041"/>
          <c:h val="0.66047805008107197"/>
        </c:manualLayout>
      </c:layout>
      <c:pie3DChart>
        <c:varyColors val="1"/>
        <c:ser>
          <c:idx val="0"/>
          <c:order val="0"/>
          <c:spPr>
            <a:ln>
              <a:solidFill>
                <a:schemeClr val="bg1">
                  <a:lumMod val="50000"/>
                </a:schemeClr>
              </a:solidFill>
            </a:ln>
          </c:spPr>
          <c:dPt>
            <c:idx val="0"/>
            <c:bubble3D val="0"/>
            <c:spPr>
              <a:solidFill>
                <a:srgbClr val="FFC000"/>
              </a:solidFill>
              <a:ln>
                <a:solidFill>
                  <a:schemeClr val="bg1">
                    <a:lumMod val="50000"/>
                  </a:schemeClr>
                </a:solidFill>
              </a:ln>
            </c:spPr>
          </c:dPt>
          <c:dPt>
            <c:idx val="1"/>
            <c:bubble3D val="0"/>
            <c:spPr>
              <a:solidFill>
                <a:srgbClr val="92D050"/>
              </a:solidFill>
              <a:ln>
                <a:solidFill>
                  <a:schemeClr val="bg1">
                    <a:lumMod val="50000"/>
                  </a:schemeClr>
                </a:solidFill>
              </a:ln>
            </c:spPr>
          </c:dPt>
          <c:dPt>
            <c:idx val="2"/>
            <c:bubble3D val="0"/>
            <c:spPr>
              <a:solidFill>
                <a:srgbClr val="0070C0"/>
              </a:solidFill>
              <a:ln>
                <a:solidFill>
                  <a:schemeClr val="bg1">
                    <a:lumMod val="50000"/>
                  </a:schemeClr>
                </a:solidFill>
              </a:ln>
            </c:spPr>
          </c:dPt>
          <c:dPt>
            <c:idx val="3"/>
            <c:bubble3D val="0"/>
            <c:spPr>
              <a:solidFill>
                <a:srgbClr val="7030A0"/>
              </a:solidFill>
              <a:ln>
                <a:solidFill>
                  <a:schemeClr val="bg1">
                    <a:lumMod val="50000"/>
                  </a:schemeClr>
                </a:solidFill>
              </a:ln>
            </c:spPr>
          </c:dPt>
          <c:dLbls>
            <c:txPr>
              <a:bodyPr/>
              <a:lstStyle/>
              <a:p>
                <a:pPr>
                  <a:defRPr sz="7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cs-CZ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1"/>
          </c:dLbls>
          <c:cat>
            <c:strRef>
              <c:f>druh!$C$77:$F$77</c:f>
              <c:strCache>
                <c:ptCount val="4"/>
                <c:pt idx="0">
                  <c:v>ministerstva a další celostátní úřady</c:v>
                </c:pt>
                <c:pt idx="1">
                  <c:v>ostatní subjekty</c:v>
                </c:pt>
                <c:pt idx="2">
                  <c:v>regionální úřady a sdružení</c:v>
                </c:pt>
                <c:pt idx="3">
                  <c:v>státní podniky</c:v>
                </c:pt>
              </c:strCache>
            </c:strRef>
          </c:cat>
          <c:val>
            <c:numRef>
              <c:f>druh!$H$89:$K$89</c:f>
              <c:numCache>
                <c:formatCode>0.0</c:formatCode>
                <c:ptCount val="4"/>
                <c:pt idx="0">
                  <c:v>29.928679209315462</c:v>
                </c:pt>
                <c:pt idx="1">
                  <c:v>28.0412205161701</c:v>
                </c:pt>
                <c:pt idx="2">
                  <c:v>39.93316951310905</c:v>
                </c:pt>
                <c:pt idx="3">
                  <c:v>2.0969307614053823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cs-CZ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0.2147</cdr:x>
      <cdr:y>0.15241</cdr:y>
    </cdr:from>
    <cdr:to>
      <cdr:x>0.82416</cdr:x>
      <cdr:y>0.22968</cdr:y>
    </cdr:to>
    <cdr:sp macro="" textlink="">
      <cdr:nvSpPr>
        <cdr:cNvPr id="2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84225" y="355600"/>
          <a:ext cx="2246580" cy="18025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/>
      </cdr:spPr>
      <cdr:txBody>
        <a:bodyPr xmlns:a="http://schemas.openxmlformats.org/drawingml/2006/main" wrap="square" lIns="0" tIns="22860" rIns="27432" bIns="0" anchor="t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 rtl="0">
            <a:defRPr sz="1000"/>
          </a:pPr>
          <a:r>
            <a:rPr lang="cs-CZ" sz="800" b="0" i="1" u="none" strike="noStrike" baseline="0">
              <a:solidFill>
                <a:srgbClr val="000000"/>
              </a:solidFill>
              <a:latin typeface="Arial"/>
              <a:cs typeface="Arial"/>
            </a:rPr>
            <a:t>veřejné zakázky stavební</a:t>
          </a:r>
          <a:endParaRPr lang="cs-CZ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0.21664</cdr:x>
      <cdr:y>0.15198</cdr:y>
    </cdr:from>
    <cdr:to>
      <cdr:x>0.82245</cdr:x>
      <cdr:y>0.2295</cdr:y>
    </cdr:to>
    <cdr:sp macro="" textlink="">
      <cdr:nvSpPr>
        <cdr:cNvPr id="2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84225" y="355600"/>
          <a:ext cx="2246580" cy="18025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/>
      </cdr:spPr>
      <cdr:txBody>
        <a:bodyPr xmlns:a="http://schemas.openxmlformats.org/drawingml/2006/main" wrap="square" lIns="0" tIns="22860" rIns="27432" bIns="0" anchor="t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 rtl="0">
            <a:defRPr sz="1000"/>
          </a:pPr>
          <a:r>
            <a:rPr lang="cs-CZ" sz="800" b="0" i="1" u="none" strike="noStrike" baseline="0">
              <a:solidFill>
                <a:srgbClr val="000000"/>
              </a:solidFill>
              <a:latin typeface="Arial"/>
              <a:cs typeface="Arial"/>
            </a:rPr>
            <a:t>veřejné zakázky stavební</a:t>
          </a:r>
          <a:endParaRPr lang="cs-CZ"/>
        </a:p>
      </cdr:txBody>
    </cdr:sp>
  </cdr:relSizeAnchor>
</c:userShape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129C5-9089-4CF6-A2F1-ADDDD8208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856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CEEC</dc:creator>
  <cp:lastModifiedBy>CEEC</cp:lastModifiedBy>
  <cp:revision>2</cp:revision>
  <dcterms:created xsi:type="dcterms:W3CDTF">2015-02-04T14:57:00Z</dcterms:created>
  <dcterms:modified xsi:type="dcterms:W3CDTF">2015-02-04T14:57:00Z</dcterms:modified>
</cp:coreProperties>
</file>