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drawings/drawing2.xml" ContentType="application/vnd.openxmlformats-officedocument.drawingml.chartshap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E50" w:rsidRDefault="00A76E50" w:rsidP="004F5B5A">
      <w:pPr>
        <w:spacing w:after="0" w:line="288" w:lineRule="auto"/>
        <w:jc w:val="center"/>
        <w:rPr>
          <w:rFonts w:ascii="Arial" w:eastAsia="SimSun" w:hAnsi="Arial" w:cs="Arial"/>
          <w:b/>
          <w:bCs/>
          <w:kern w:val="1"/>
          <w:sz w:val="32"/>
          <w:szCs w:val="32"/>
        </w:rPr>
      </w:pPr>
    </w:p>
    <w:p w:rsidR="00D14C0C" w:rsidRDefault="00AF4BFC" w:rsidP="004F5B5A">
      <w:pPr>
        <w:spacing w:after="0" w:line="360" w:lineRule="auto"/>
        <w:jc w:val="center"/>
        <w:rPr>
          <w:rFonts w:ascii="Arial" w:eastAsia="SimSun" w:hAnsi="Arial" w:cs="Arial"/>
          <w:b/>
          <w:bCs/>
          <w:kern w:val="1"/>
          <w:sz w:val="32"/>
          <w:szCs w:val="32"/>
        </w:rPr>
      </w:pPr>
      <w:r w:rsidRPr="00AF4BFC">
        <w:rPr>
          <w:rFonts w:ascii="Arial" w:eastAsia="SimSun" w:hAnsi="Arial" w:cs="Arial"/>
          <w:b/>
          <w:bCs/>
          <w:kern w:val="1"/>
          <w:sz w:val="32"/>
          <w:szCs w:val="32"/>
        </w:rPr>
        <w:t>Půlroční bilance</w:t>
      </w:r>
      <w:r w:rsidR="00B42338">
        <w:rPr>
          <w:rFonts w:ascii="Arial" w:eastAsia="SimSun" w:hAnsi="Arial" w:cs="Arial"/>
          <w:b/>
          <w:bCs/>
          <w:kern w:val="1"/>
          <w:sz w:val="32"/>
          <w:szCs w:val="32"/>
        </w:rPr>
        <w:t xml:space="preserve"> veřejných zakázek: </w:t>
      </w:r>
    </w:p>
    <w:p w:rsidR="00E27F64" w:rsidRDefault="004370C0" w:rsidP="004F5B5A">
      <w:pPr>
        <w:spacing w:after="0" w:line="360" w:lineRule="auto"/>
        <w:jc w:val="center"/>
        <w:rPr>
          <w:rFonts w:ascii="Arial" w:eastAsia="SimSun" w:hAnsi="Arial" w:cs="Arial"/>
          <w:b/>
          <w:bCs/>
          <w:kern w:val="1"/>
          <w:sz w:val="32"/>
          <w:szCs w:val="32"/>
        </w:rPr>
      </w:pPr>
      <w:r>
        <w:rPr>
          <w:rFonts w:ascii="Arial" w:eastAsia="SimSun" w:hAnsi="Arial" w:cs="Arial"/>
          <w:b/>
          <w:bCs/>
          <w:kern w:val="1"/>
          <w:sz w:val="32"/>
          <w:szCs w:val="32"/>
        </w:rPr>
        <w:t>objem zakázek roste</w:t>
      </w:r>
    </w:p>
    <w:p w:rsidR="00AF4BFC" w:rsidRPr="0026597A" w:rsidRDefault="00AF4BFC" w:rsidP="004F5B5A">
      <w:pPr>
        <w:spacing w:after="0" w:line="360" w:lineRule="auto"/>
        <w:jc w:val="center"/>
        <w:rPr>
          <w:rFonts w:ascii="Arial" w:eastAsia="SimSun" w:hAnsi="Arial" w:cs="Arial"/>
          <w:b/>
          <w:bCs/>
          <w:kern w:val="1"/>
          <w:sz w:val="32"/>
          <w:szCs w:val="32"/>
        </w:rPr>
      </w:pPr>
    </w:p>
    <w:p w:rsidR="00B64398" w:rsidRPr="0026597A" w:rsidRDefault="009C099A" w:rsidP="004F5B5A">
      <w:pPr>
        <w:spacing w:after="0" w:line="360" w:lineRule="auto"/>
        <w:jc w:val="both"/>
        <w:rPr>
          <w:rFonts w:ascii="Arial" w:eastAsia="SimSun" w:hAnsi="Arial" w:cs="Arial"/>
          <w:b/>
          <w:kern w:val="1"/>
        </w:rPr>
      </w:pPr>
      <w:r>
        <w:rPr>
          <w:rFonts w:ascii="Arial" w:eastAsia="SimSun" w:hAnsi="Arial" w:cs="Arial"/>
          <w:b/>
          <w:kern w:val="1"/>
        </w:rPr>
        <w:t>Praha 1</w:t>
      </w:r>
      <w:r w:rsidR="00EB2EFB">
        <w:rPr>
          <w:rFonts w:ascii="Arial" w:eastAsia="SimSun" w:hAnsi="Arial" w:cs="Arial"/>
          <w:b/>
          <w:kern w:val="1"/>
        </w:rPr>
        <w:t>4</w:t>
      </w:r>
      <w:bookmarkStart w:id="0" w:name="_GoBack"/>
      <w:bookmarkEnd w:id="0"/>
      <w:r w:rsidR="006718DD">
        <w:rPr>
          <w:rFonts w:ascii="Arial" w:eastAsia="SimSun" w:hAnsi="Arial" w:cs="Arial"/>
          <w:b/>
          <w:kern w:val="1"/>
        </w:rPr>
        <w:t xml:space="preserve">. </w:t>
      </w:r>
      <w:r w:rsidR="006F0F71">
        <w:rPr>
          <w:rFonts w:ascii="Arial" w:eastAsia="SimSun" w:hAnsi="Arial" w:cs="Arial"/>
          <w:b/>
          <w:kern w:val="1"/>
        </w:rPr>
        <w:t>srpna</w:t>
      </w:r>
      <w:r w:rsidR="00C968F2" w:rsidRPr="0026597A">
        <w:rPr>
          <w:rFonts w:ascii="Arial" w:eastAsia="SimSun" w:hAnsi="Arial" w:cs="Arial"/>
          <w:b/>
          <w:kern w:val="1"/>
        </w:rPr>
        <w:t xml:space="preserve"> </w:t>
      </w:r>
      <w:r w:rsidR="002A7D2C" w:rsidRPr="0026597A">
        <w:rPr>
          <w:rFonts w:ascii="Arial" w:eastAsia="SimSun" w:hAnsi="Arial" w:cs="Arial"/>
          <w:b/>
          <w:kern w:val="1"/>
        </w:rPr>
        <w:t>–</w:t>
      </w:r>
      <w:r w:rsidR="006F0F71">
        <w:rPr>
          <w:rFonts w:ascii="Arial" w:eastAsia="SimSun" w:hAnsi="Arial" w:cs="Arial"/>
          <w:b/>
          <w:kern w:val="1"/>
        </w:rPr>
        <w:t xml:space="preserve"> </w:t>
      </w:r>
      <w:r w:rsidR="00B42338">
        <w:rPr>
          <w:rFonts w:ascii="Arial" w:eastAsia="SimSun" w:hAnsi="Arial" w:cs="Arial"/>
          <w:b/>
          <w:kern w:val="1"/>
        </w:rPr>
        <w:t>Bilance půlročního vypisování a zadávání veřejných zakázek</w:t>
      </w:r>
      <w:r w:rsidR="00072FE8">
        <w:rPr>
          <w:rFonts w:ascii="Arial" w:eastAsia="SimSun" w:hAnsi="Arial" w:cs="Arial"/>
          <w:b/>
          <w:kern w:val="1"/>
        </w:rPr>
        <w:t xml:space="preserve"> je pozitivní</w:t>
      </w:r>
      <w:r w:rsidR="00AD0157">
        <w:rPr>
          <w:rFonts w:ascii="Arial" w:eastAsia="SimSun" w:hAnsi="Arial" w:cs="Arial"/>
          <w:b/>
          <w:kern w:val="1"/>
        </w:rPr>
        <w:t xml:space="preserve">. </w:t>
      </w:r>
      <w:r w:rsidR="00B42338">
        <w:rPr>
          <w:rFonts w:ascii="Arial" w:eastAsia="SimSun" w:hAnsi="Arial" w:cs="Arial"/>
          <w:b/>
          <w:kern w:val="1"/>
        </w:rPr>
        <w:t>Společnosti</w:t>
      </w:r>
      <w:r w:rsidR="00CB5E6C">
        <w:rPr>
          <w:rFonts w:ascii="Arial" w:eastAsia="SimSun" w:hAnsi="Arial" w:cs="Arial"/>
          <w:b/>
          <w:kern w:val="1"/>
        </w:rPr>
        <w:t xml:space="preserve"> zaměřen</w:t>
      </w:r>
      <w:r w:rsidR="00B42338">
        <w:rPr>
          <w:rFonts w:ascii="Arial" w:eastAsia="SimSun" w:hAnsi="Arial" w:cs="Arial"/>
          <w:b/>
          <w:kern w:val="1"/>
        </w:rPr>
        <w:t>é</w:t>
      </w:r>
      <w:r w:rsidR="00AD0157">
        <w:rPr>
          <w:rFonts w:ascii="Arial" w:eastAsia="SimSun" w:hAnsi="Arial" w:cs="Arial"/>
          <w:b/>
          <w:kern w:val="1"/>
        </w:rPr>
        <w:t xml:space="preserve"> na státní zakázky </w:t>
      </w:r>
      <w:r w:rsidR="00CB5E6C">
        <w:rPr>
          <w:rFonts w:ascii="Arial" w:eastAsia="SimSun" w:hAnsi="Arial" w:cs="Arial"/>
          <w:b/>
          <w:kern w:val="1"/>
        </w:rPr>
        <w:t xml:space="preserve">získaly za prvních šest měsíců zakázky v hodnotě </w:t>
      </w:r>
      <w:r w:rsidR="004370C0">
        <w:rPr>
          <w:rFonts w:ascii="Arial" w:eastAsia="SimSun" w:hAnsi="Arial" w:cs="Arial"/>
          <w:b/>
          <w:kern w:val="1"/>
        </w:rPr>
        <w:t>až 191,7 miliard korun, což je intenzivní nárůst oproti loňsku</w:t>
      </w:r>
      <w:r w:rsidR="00CB5E6C">
        <w:rPr>
          <w:rFonts w:ascii="Arial" w:eastAsia="SimSun" w:hAnsi="Arial" w:cs="Arial"/>
          <w:b/>
          <w:kern w:val="1"/>
        </w:rPr>
        <w:t>. Rovněž roste hodnota</w:t>
      </w:r>
      <w:r w:rsidR="00756A20">
        <w:rPr>
          <w:rFonts w:ascii="Arial" w:eastAsia="SimSun" w:hAnsi="Arial" w:cs="Arial"/>
          <w:b/>
          <w:kern w:val="1"/>
        </w:rPr>
        <w:t xml:space="preserve"> (o 20,1 procenta)</w:t>
      </w:r>
      <w:r w:rsidR="00CB5E6C">
        <w:rPr>
          <w:rFonts w:ascii="Arial" w:eastAsia="SimSun" w:hAnsi="Arial" w:cs="Arial"/>
          <w:b/>
          <w:kern w:val="1"/>
        </w:rPr>
        <w:t xml:space="preserve"> vyhl</w:t>
      </w:r>
      <w:r w:rsidR="00756A20">
        <w:rPr>
          <w:rFonts w:ascii="Arial" w:eastAsia="SimSun" w:hAnsi="Arial" w:cs="Arial"/>
          <w:b/>
          <w:kern w:val="1"/>
        </w:rPr>
        <w:t>ašovaných</w:t>
      </w:r>
      <w:r w:rsidR="00CB5E6C">
        <w:rPr>
          <w:rFonts w:ascii="Arial" w:eastAsia="SimSun" w:hAnsi="Arial" w:cs="Arial"/>
          <w:b/>
          <w:kern w:val="1"/>
        </w:rPr>
        <w:t xml:space="preserve"> výběrových řízení, kde o zakázky</w:t>
      </w:r>
      <w:r w:rsidR="00756A20">
        <w:rPr>
          <w:rFonts w:ascii="Arial" w:eastAsia="SimSun" w:hAnsi="Arial" w:cs="Arial"/>
          <w:b/>
          <w:kern w:val="1"/>
        </w:rPr>
        <w:t>,</w:t>
      </w:r>
      <w:r w:rsidR="00CB5E6C">
        <w:rPr>
          <w:rFonts w:ascii="Arial" w:eastAsia="SimSun" w:hAnsi="Arial" w:cs="Arial"/>
          <w:b/>
          <w:kern w:val="1"/>
        </w:rPr>
        <w:t xml:space="preserve"> </w:t>
      </w:r>
      <w:r w:rsidR="00756A20">
        <w:rPr>
          <w:rFonts w:ascii="Arial" w:eastAsia="SimSun" w:hAnsi="Arial" w:cs="Arial"/>
          <w:b/>
          <w:kern w:val="1"/>
        </w:rPr>
        <w:t xml:space="preserve">které budou </w:t>
      </w:r>
      <w:r w:rsidR="00FE1F07">
        <w:rPr>
          <w:rFonts w:ascii="Arial" w:eastAsia="SimSun" w:hAnsi="Arial" w:cs="Arial"/>
          <w:b/>
          <w:kern w:val="1"/>
        </w:rPr>
        <w:t xml:space="preserve">zadány </w:t>
      </w:r>
      <w:r w:rsidR="00756A20">
        <w:rPr>
          <w:rFonts w:ascii="Arial" w:eastAsia="SimSun" w:hAnsi="Arial" w:cs="Arial"/>
          <w:b/>
          <w:kern w:val="1"/>
        </w:rPr>
        <w:t xml:space="preserve">v následujících měsících, firmy </w:t>
      </w:r>
      <w:r w:rsidR="00CB5E6C">
        <w:rPr>
          <w:rFonts w:ascii="Arial" w:eastAsia="SimSun" w:hAnsi="Arial" w:cs="Arial"/>
          <w:b/>
          <w:kern w:val="1"/>
        </w:rPr>
        <w:t>teprve soutěží</w:t>
      </w:r>
      <w:r w:rsidR="00756A20">
        <w:rPr>
          <w:rFonts w:ascii="Arial" w:eastAsia="SimSun" w:hAnsi="Arial" w:cs="Arial"/>
          <w:b/>
          <w:kern w:val="1"/>
        </w:rPr>
        <w:t>.</w:t>
      </w:r>
      <w:r w:rsidR="00CB5E6C">
        <w:rPr>
          <w:rFonts w:ascii="Arial" w:eastAsia="SimSun" w:hAnsi="Arial" w:cs="Arial"/>
          <w:b/>
          <w:kern w:val="1"/>
        </w:rPr>
        <w:t xml:space="preserve"> </w:t>
      </w:r>
      <w:r w:rsidR="00756A20">
        <w:rPr>
          <w:rFonts w:ascii="Arial" w:eastAsia="SimSun" w:hAnsi="Arial" w:cs="Arial"/>
          <w:b/>
          <w:kern w:val="1"/>
        </w:rPr>
        <w:t>Jak v</w:t>
      </w:r>
      <w:r w:rsidR="005A4048" w:rsidRPr="0026597A">
        <w:rPr>
          <w:rFonts w:ascii="Arial" w:eastAsia="SimSun" w:hAnsi="Arial" w:cs="Arial"/>
          <w:b/>
          <w:kern w:val="1"/>
        </w:rPr>
        <w:t>yplývá z</w:t>
      </w:r>
      <w:r w:rsidR="00437237">
        <w:rPr>
          <w:rFonts w:ascii="Arial" w:eastAsia="SimSun" w:hAnsi="Arial" w:cs="Arial"/>
          <w:b/>
          <w:kern w:val="1"/>
        </w:rPr>
        <w:t> </w:t>
      </w:r>
      <w:r w:rsidR="000C079A" w:rsidRPr="0026597A">
        <w:rPr>
          <w:rFonts w:ascii="Arial" w:eastAsia="SimSun" w:hAnsi="Arial" w:cs="Arial"/>
          <w:b/>
          <w:kern w:val="1"/>
        </w:rPr>
        <w:t>nejnovější</w:t>
      </w:r>
      <w:r w:rsidR="00437237">
        <w:rPr>
          <w:rFonts w:ascii="Arial" w:eastAsia="SimSun" w:hAnsi="Arial" w:cs="Arial"/>
          <w:b/>
          <w:kern w:val="1"/>
        </w:rPr>
        <w:t xml:space="preserve"> analýzy </w:t>
      </w:r>
      <w:r w:rsidR="00F20E32" w:rsidRPr="0026597A">
        <w:rPr>
          <w:rFonts w:ascii="Arial" w:eastAsia="SimSun" w:hAnsi="Arial" w:cs="Arial"/>
          <w:b/>
          <w:kern w:val="1"/>
        </w:rPr>
        <w:t xml:space="preserve">zpracované </w:t>
      </w:r>
      <w:r w:rsidR="005A4048" w:rsidRPr="0026597A">
        <w:rPr>
          <w:rFonts w:ascii="Arial" w:eastAsia="SimSun" w:hAnsi="Arial" w:cs="Arial"/>
          <w:b/>
          <w:kern w:val="1"/>
        </w:rPr>
        <w:t>analytick</w:t>
      </w:r>
      <w:r w:rsidR="00F20E32">
        <w:rPr>
          <w:rFonts w:ascii="Arial" w:eastAsia="SimSun" w:hAnsi="Arial" w:cs="Arial"/>
          <w:b/>
          <w:kern w:val="1"/>
        </w:rPr>
        <w:t>ou</w:t>
      </w:r>
      <w:r w:rsidR="005A4048" w:rsidRPr="0026597A">
        <w:rPr>
          <w:rFonts w:ascii="Arial" w:eastAsia="SimSun" w:hAnsi="Arial" w:cs="Arial"/>
          <w:b/>
          <w:kern w:val="1"/>
        </w:rPr>
        <w:t xml:space="preserve"> společnost</w:t>
      </w:r>
      <w:r w:rsidR="00F20E32">
        <w:rPr>
          <w:rFonts w:ascii="Arial" w:eastAsia="SimSun" w:hAnsi="Arial" w:cs="Arial"/>
          <w:b/>
          <w:kern w:val="1"/>
        </w:rPr>
        <w:t>í</w:t>
      </w:r>
      <w:r w:rsidR="005A4048" w:rsidRPr="0026597A">
        <w:rPr>
          <w:rFonts w:ascii="Arial" w:eastAsia="SimSun" w:hAnsi="Arial" w:cs="Arial"/>
          <w:b/>
          <w:kern w:val="1"/>
        </w:rPr>
        <w:t xml:space="preserve"> </w:t>
      </w:r>
      <w:r w:rsidR="007A4BC1" w:rsidRPr="0026597A">
        <w:rPr>
          <w:rFonts w:ascii="Arial" w:eastAsia="SimSun" w:hAnsi="Arial" w:cs="Arial"/>
          <w:b/>
          <w:kern w:val="1"/>
        </w:rPr>
        <w:t xml:space="preserve">CEEC Research </w:t>
      </w:r>
      <w:r w:rsidR="00785340" w:rsidRPr="00785340">
        <w:rPr>
          <w:rFonts w:ascii="Arial" w:eastAsia="SimSun" w:hAnsi="Arial" w:cs="Arial"/>
          <w:b/>
          <w:kern w:val="1"/>
        </w:rPr>
        <w:t>a Komorou a</w:t>
      </w:r>
      <w:r w:rsidR="00785340">
        <w:rPr>
          <w:rFonts w:ascii="Arial" w:eastAsia="SimSun" w:hAnsi="Arial" w:cs="Arial"/>
          <w:b/>
          <w:kern w:val="1"/>
        </w:rPr>
        <w:t xml:space="preserve">dministrátorů veřejných zakázek </w:t>
      </w:r>
      <w:r w:rsidR="005A4048" w:rsidRPr="0026597A">
        <w:rPr>
          <w:rFonts w:ascii="Arial" w:eastAsia="SimSun" w:hAnsi="Arial" w:cs="Arial"/>
          <w:b/>
          <w:kern w:val="1"/>
        </w:rPr>
        <w:t xml:space="preserve">na základě dat uveřejněných </w:t>
      </w:r>
      <w:r w:rsidR="003A6F3A">
        <w:rPr>
          <w:rFonts w:ascii="Arial" w:eastAsia="SimSun" w:hAnsi="Arial" w:cs="Arial"/>
          <w:b/>
          <w:kern w:val="1"/>
        </w:rPr>
        <w:t xml:space="preserve">na </w:t>
      </w:r>
      <w:r w:rsidR="00F20E32" w:rsidRPr="0026597A">
        <w:rPr>
          <w:rFonts w:ascii="Arial" w:eastAsia="SimSun" w:hAnsi="Arial" w:cs="Arial"/>
          <w:b/>
          <w:kern w:val="1"/>
        </w:rPr>
        <w:t xml:space="preserve">konci měsíce </w:t>
      </w:r>
      <w:r w:rsidR="00AD0157">
        <w:rPr>
          <w:rFonts w:ascii="Arial" w:eastAsia="SimSun" w:hAnsi="Arial" w:cs="Arial"/>
          <w:b/>
          <w:kern w:val="1"/>
        </w:rPr>
        <w:t xml:space="preserve">června </w:t>
      </w:r>
      <w:r w:rsidR="00F20E32" w:rsidRPr="0026597A">
        <w:rPr>
          <w:rFonts w:ascii="Arial" w:eastAsia="SimSun" w:hAnsi="Arial" w:cs="Arial"/>
          <w:b/>
          <w:kern w:val="1"/>
        </w:rPr>
        <w:t>2014</w:t>
      </w:r>
      <w:r w:rsidR="00F20E32">
        <w:rPr>
          <w:rFonts w:ascii="Arial" w:eastAsia="SimSun" w:hAnsi="Arial" w:cs="Arial"/>
          <w:b/>
          <w:kern w:val="1"/>
        </w:rPr>
        <w:t xml:space="preserve"> </w:t>
      </w:r>
      <w:r w:rsidR="005A4048" w:rsidRPr="0026597A">
        <w:rPr>
          <w:rFonts w:ascii="Arial" w:eastAsia="SimSun" w:hAnsi="Arial" w:cs="Arial"/>
          <w:b/>
          <w:kern w:val="1"/>
        </w:rPr>
        <w:t>ve Věstníku veřejných zakázek</w:t>
      </w:r>
      <w:r w:rsidR="00756A20">
        <w:rPr>
          <w:rFonts w:ascii="Arial" w:eastAsia="SimSun" w:hAnsi="Arial" w:cs="Arial"/>
          <w:b/>
          <w:kern w:val="1"/>
        </w:rPr>
        <w:t>, ukazuje to na možné pokračování růstového trendu i v druhé polovině letošního roku.</w:t>
      </w:r>
      <w:r w:rsidR="00672B96" w:rsidRPr="0026597A">
        <w:rPr>
          <w:rFonts w:ascii="Arial" w:eastAsia="SimSun" w:hAnsi="Arial" w:cs="Arial"/>
          <w:b/>
          <w:kern w:val="1"/>
        </w:rPr>
        <w:t xml:space="preserve"> </w:t>
      </w:r>
    </w:p>
    <w:p w:rsidR="00672B96" w:rsidRPr="0026597A" w:rsidRDefault="00672B96" w:rsidP="00336791">
      <w:pPr>
        <w:spacing w:after="0" w:line="360" w:lineRule="auto"/>
        <w:jc w:val="both"/>
        <w:rPr>
          <w:rFonts w:ascii="Arial" w:hAnsi="Arial" w:cs="Arial"/>
        </w:rPr>
      </w:pPr>
    </w:p>
    <w:p w:rsidR="00A84CE9" w:rsidRDefault="00CB5E6C" w:rsidP="00336791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Vysoká a</w:t>
      </w:r>
      <w:r w:rsidR="00336791" w:rsidRPr="00336791">
        <w:rPr>
          <w:rFonts w:ascii="Arial" w:hAnsi="Arial" w:cs="Arial"/>
        </w:rPr>
        <w:t xml:space="preserve">ktivita </w:t>
      </w:r>
      <w:r w:rsidR="00756A20">
        <w:rPr>
          <w:rFonts w:ascii="Arial" w:hAnsi="Arial" w:cs="Arial"/>
        </w:rPr>
        <w:t xml:space="preserve">zadavatelů </w:t>
      </w:r>
      <w:r>
        <w:rPr>
          <w:rFonts w:ascii="Arial" w:hAnsi="Arial" w:cs="Arial"/>
        </w:rPr>
        <w:t>veřejných zakázek pokračuje</w:t>
      </w:r>
      <w:r w:rsidR="00336791">
        <w:rPr>
          <w:rFonts w:ascii="Arial" w:hAnsi="Arial" w:cs="Arial"/>
        </w:rPr>
        <w:t xml:space="preserve">, </w:t>
      </w:r>
      <w:r w:rsidR="00756A20">
        <w:rPr>
          <w:rFonts w:ascii="Arial" w:hAnsi="Arial" w:cs="Arial"/>
        </w:rPr>
        <w:t xml:space="preserve">jak </w:t>
      </w:r>
      <w:r w:rsidR="00072FE8">
        <w:rPr>
          <w:rFonts w:ascii="Arial" w:hAnsi="Arial" w:cs="Arial"/>
        </w:rPr>
        <w:t>potvr</w:t>
      </w:r>
      <w:r w:rsidR="00756A20">
        <w:rPr>
          <w:rFonts w:ascii="Arial" w:hAnsi="Arial" w:cs="Arial"/>
        </w:rPr>
        <w:t>zuje</w:t>
      </w:r>
      <w:r>
        <w:rPr>
          <w:rFonts w:ascii="Arial" w:hAnsi="Arial" w:cs="Arial"/>
        </w:rPr>
        <w:t xml:space="preserve"> nejnovější analýza analytické společnosti CEEC Research vycházející z nejnovějších údajů Věstníku veřejných zakázek. </w:t>
      </w:r>
      <w:r w:rsidR="00756A20">
        <w:rPr>
          <w:rFonts w:ascii="Arial" w:hAnsi="Arial" w:cs="Arial"/>
        </w:rPr>
        <w:t xml:space="preserve">Výsledky </w:t>
      </w:r>
      <w:r>
        <w:rPr>
          <w:rFonts w:ascii="Arial" w:hAnsi="Arial" w:cs="Arial"/>
        </w:rPr>
        <w:t>ukazují, že počet výběrových řízení</w:t>
      </w:r>
      <w:r w:rsidR="00756A20">
        <w:rPr>
          <w:rFonts w:ascii="Arial" w:hAnsi="Arial" w:cs="Arial"/>
        </w:rPr>
        <w:t xml:space="preserve"> vypsaných</w:t>
      </w:r>
      <w:r>
        <w:rPr>
          <w:rFonts w:ascii="Arial" w:hAnsi="Arial" w:cs="Arial"/>
        </w:rPr>
        <w:t xml:space="preserve"> veřejn</w:t>
      </w:r>
      <w:r w:rsidR="00756A20">
        <w:rPr>
          <w:rFonts w:ascii="Arial" w:hAnsi="Arial" w:cs="Arial"/>
        </w:rPr>
        <w:t>ými</w:t>
      </w:r>
      <w:r>
        <w:rPr>
          <w:rFonts w:ascii="Arial" w:hAnsi="Arial" w:cs="Arial"/>
        </w:rPr>
        <w:t xml:space="preserve"> </w:t>
      </w:r>
      <w:r w:rsidR="00336791">
        <w:rPr>
          <w:rFonts w:ascii="Arial" w:hAnsi="Arial" w:cs="Arial"/>
        </w:rPr>
        <w:t>instituce</w:t>
      </w:r>
      <w:r w:rsidR="00756A20">
        <w:rPr>
          <w:rFonts w:ascii="Arial" w:hAnsi="Arial" w:cs="Arial"/>
        </w:rPr>
        <w:t>mi</w:t>
      </w:r>
      <w:r w:rsidR="00336791">
        <w:rPr>
          <w:rFonts w:ascii="Arial" w:hAnsi="Arial" w:cs="Arial"/>
        </w:rPr>
        <w:t xml:space="preserve"> v prvních šesti měsících </w:t>
      </w:r>
      <w:r w:rsidR="00756A20">
        <w:rPr>
          <w:rFonts w:ascii="Arial" w:hAnsi="Arial" w:cs="Arial"/>
        </w:rPr>
        <w:t xml:space="preserve">letošního </w:t>
      </w:r>
      <w:r w:rsidR="00336791">
        <w:rPr>
          <w:rFonts w:ascii="Arial" w:hAnsi="Arial" w:cs="Arial"/>
        </w:rPr>
        <w:t>roku</w:t>
      </w:r>
      <w:r>
        <w:rPr>
          <w:rFonts w:ascii="Arial" w:hAnsi="Arial" w:cs="Arial"/>
        </w:rPr>
        <w:t xml:space="preserve"> je </w:t>
      </w:r>
      <w:r w:rsidR="00336791">
        <w:rPr>
          <w:rFonts w:ascii="Arial" w:hAnsi="Arial" w:cs="Arial"/>
        </w:rPr>
        <w:t xml:space="preserve">největší od </w:t>
      </w:r>
      <w:r>
        <w:rPr>
          <w:rFonts w:ascii="Arial" w:hAnsi="Arial" w:cs="Arial"/>
        </w:rPr>
        <w:t xml:space="preserve">roku 2011, kdy společnost CEEC Research začala </w:t>
      </w:r>
      <w:r w:rsidR="000957C6">
        <w:rPr>
          <w:rFonts w:ascii="Arial" w:hAnsi="Arial" w:cs="Arial"/>
        </w:rPr>
        <w:t xml:space="preserve">analýzy veřejných zakázek </w:t>
      </w:r>
      <w:r>
        <w:rPr>
          <w:rFonts w:ascii="Arial" w:hAnsi="Arial" w:cs="Arial"/>
        </w:rPr>
        <w:t>zpracovávat</w:t>
      </w:r>
      <w:r w:rsidR="000957C6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336791">
        <w:rPr>
          <w:rFonts w:ascii="Arial" w:hAnsi="Arial" w:cs="Arial"/>
        </w:rPr>
        <w:t xml:space="preserve"> </w:t>
      </w:r>
      <w:r w:rsidR="000957C6">
        <w:rPr>
          <w:rFonts w:ascii="Arial" w:hAnsi="Arial" w:cs="Arial"/>
        </w:rPr>
        <w:t xml:space="preserve">Současné počty veřejných zakázek jsou vyšší </w:t>
      </w:r>
      <w:r w:rsidR="00336791">
        <w:rPr>
          <w:rFonts w:ascii="Arial" w:hAnsi="Arial" w:cs="Arial"/>
        </w:rPr>
        <w:t>i přesto, že od dubna 2012 do konce roku 2013 byly snížen</w:t>
      </w:r>
      <w:r w:rsidR="00B42338">
        <w:rPr>
          <w:rFonts w:ascii="Arial" w:hAnsi="Arial" w:cs="Arial"/>
        </w:rPr>
        <w:t>y</w:t>
      </w:r>
      <w:r w:rsidR="00336791">
        <w:rPr>
          <w:rFonts w:ascii="Arial" w:hAnsi="Arial" w:cs="Arial"/>
        </w:rPr>
        <w:t xml:space="preserve"> limity</w:t>
      </w:r>
      <w:r w:rsidR="00B42338">
        <w:rPr>
          <w:rFonts w:ascii="Arial" w:hAnsi="Arial" w:cs="Arial"/>
        </w:rPr>
        <w:t xml:space="preserve"> zakázek</w:t>
      </w:r>
      <w:r w:rsidR="000957C6">
        <w:rPr>
          <w:rFonts w:ascii="Arial" w:hAnsi="Arial" w:cs="Arial"/>
        </w:rPr>
        <w:t>,</w:t>
      </w:r>
      <w:r w:rsidR="00336791">
        <w:rPr>
          <w:rFonts w:ascii="Arial" w:hAnsi="Arial" w:cs="Arial"/>
        </w:rPr>
        <w:t xml:space="preserve"> a v</w:t>
      </w:r>
      <w:r w:rsidR="00B42338">
        <w:rPr>
          <w:rFonts w:ascii="Arial" w:hAnsi="Arial" w:cs="Arial"/>
        </w:rPr>
        <w:t>e Věstníku VZ</w:t>
      </w:r>
      <w:r w:rsidR="00336791">
        <w:rPr>
          <w:rFonts w:ascii="Arial" w:hAnsi="Arial" w:cs="Arial"/>
        </w:rPr>
        <w:t xml:space="preserve"> se tak </w:t>
      </w:r>
      <w:r w:rsidR="00B42338">
        <w:rPr>
          <w:rFonts w:ascii="Arial" w:hAnsi="Arial" w:cs="Arial"/>
        </w:rPr>
        <w:t xml:space="preserve">objevilo </w:t>
      </w:r>
      <w:r w:rsidR="00336791">
        <w:rPr>
          <w:rFonts w:ascii="Arial" w:hAnsi="Arial" w:cs="Arial"/>
        </w:rPr>
        <w:t xml:space="preserve">mnohem větší množství zakázek. Oproti minulému roku </w:t>
      </w:r>
      <w:r w:rsidR="001D0C46">
        <w:rPr>
          <w:rFonts w:ascii="Arial" w:hAnsi="Arial" w:cs="Arial"/>
        </w:rPr>
        <w:t xml:space="preserve">počet </w:t>
      </w:r>
      <w:r w:rsidR="00B42338">
        <w:rPr>
          <w:rFonts w:ascii="Arial" w:hAnsi="Arial" w:cs="Arial"/>
        </w:rPr>
        <w:t xml:space="preserve">výběrových </w:t>
      </w:r>
      <w:r w:rsidR="001D0C46">
        <w:rPr>
          <w:rFonts w:ascii="Arial" w:hAnsi="Arial" w:cs="Arial"/>
        </w:rPr>
        <w:t xml:space="preserve">řízení </w:t>
      </w:r>
      <w:r w:rsidR="00336791">
        <w:rPr>
          <w:rFonts w:ascii="Arial" w:hAnsi="Arial" w:cs="Arial"/>
        </w:rPr>
        <w:t xml:space="preserve">stoupl </w:t>
      </w:r>
      <w:r w:rsidR="00B42338">
        <w:rPr>
          <w:rFonts w:ascii="Arial" w:hAnsi="Arial" w:cs="Arial"/>
        </w:rPr>
        <w:t xml:space="preserve">o </w:t>
      </w:r>
      <w:r w:rsidR="00336791">
        <w:rPr>
          <w:rFonts w:ascii="Arial" w:hAnsi="Arial" w:cs="Arial"/>
        </w:rPr>
        <w:t xml:space="preserve">více než pětinu (20,5 procenta) na </w:t>
      </w:r>
      <w:r w:rsidR="00B42338">
        <w:rPr>
          <w:rFonts w:ascii="Arial" w:hAnsi="Arial" w:cs="Arial"/>
        </w:rPr>
        <w:t xml:space="preserve">celkový počet </w:t>
      </w:r>
      <w:r w:rsidR="00336791">
        <w:rPr>
          <w:rFonts w:ascii="Arial" w:hAnsi="Arial" w:cs="Arial"/>
        </w:rPr>
        <w:t>4330</w:t>
      </w:r>
      <w:r w:rsidR="00B42338">
        <w:rPr>
          <w:rFonts w:ascii="Arial" w:hAnsi="Arial" w:cs="Arial"/>
        </w:rPr>
        <w:t xml:space="preserve"> řízení.</w:t>
      </w:r>
    </w:p>
    <w:p w:rsidR="001D0C46" w:rsidRDefault="001D0C46" w:rsidP="00336791">
      <w:pPr>
        <w:spacing w:after="0" w:line="360" w:lineRule="auto"/>
        <w:jc w:val="both"/>
        <w:rPr>
          <w:rFonts w:ascii="Arial" w:hAnsi="Arial" w:cs="Arial"/>
        </w:rPr>
      </w:pPr>
    </w:p>
    <w:p w:rsidR="008E4090" w:rsidRPr="00067002" w:rsidRDefault="008E4090" w:rsidP="00336791">
      <w:pPr>
        <w:spacing w:after="0" w:line="360" w:lineRule="auto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</w:rPr>
        <w:t xml:space="preserve">A s počtem vypsaných výběrových řízení </w:t>
      </w:r>
      <w:r w:rsidR="000957C6">
        <w:rPr>
          <w:rFonts w:ascii="Arial" w:hAnsi="Arial" w:cs="Arial"/>
        </w:rPr>
        <w:t>vz</w:t>
      </w:r>
      <w:r>
        <w:rPr>
          <w:rFonts w:ascii="Arial" w:hAnsi="Arial" w:cs="Arial"/>
        </w:rPr>
        <w:t>ro</w:t>
      </w:r>
      <w:r w:rsidR="001D0C46">
        <w:rPr>
          <w:rFonts w:ascii="Arial" w:hAnsi="Arial" w:cs="Arial"/>
        </w:rPr>
        <w:t>stla meziročně i jejich hodnota</w:t>
      </w:r>
      <w:r w:rsidR="00FE1F07">
        <w:rPr>
          <w:rFonts w:ascii="Arial" w:hAnsi="Arial" w:cs="Arial"/>
        </w:rPr>
        <w:t xml:space="preserve"> –</w:t>
      </w:r>
      <w:r w:rsidR="001D0C4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za první </w:t>
      </w:r>
      <w:r w:rsidR="000957C6">
        <w:rPr>
          <w:rFonts w:ascii="Arial" w:hAnsi="Arial" w:cs="Arial"/>
        </w:rPr>
        <w:t xml:space="preserve">pololetí </w:t>
      </w:r>
      <w:r w:rsidR="001D0C46">
        <w:rPr>
          <w:rFonts w:ascii="Arial" w:hAnsi="Arial" w:cs="Arial"/>
        </w:rPr>
        <w:t xml:space="preserve">o pětinu (20,1 procenta). Firmy se tak za první půlrok mohly ucházet o zakázky v hodnotě </w:t>
      </w:r>
      <w:r>
        <w:rPr>
          <w:rFonts w:ascii="Arial" w:hAnsi="Arial" w:cs="Arial"/>
        </w:rPr>
        <w:t xml:space="preserve">132,2 miliardy </w:t>
      </w:r>
      <w:r w:rsidR="001D0C46">
        <w:rPr>
          <w:rFonts w:ascii="Arial" w:hAnsi="Arial" w:cs="Arial"/>
        </w:rPr>
        <w:t>korun</w:t>
      </w:r>
      <w:r>
        <w:rPr>
          <w:rFonts w:ascii="Arial" w:hAnsi="Arial" w:cs="Arial"/>
        </w:rPr>
        <w:t>.</w:t>
      </w:r>
      <w:r w:rsidR="00067002">
        <w:rPr>
          <w:rFonts w:ascii="Arial" w:hAnsi="Arial" w:cs="Arial"/>
        </w:rPr>
        <w:t xml:space="preserve"> „</w:t>
      </w:r>
      <w:r w:rsidR="00067002" w:rsidRPr="00067002">
        <w:rPr>
          <w:rFonts w:ascii="Arial" w:hAnsi="Arial" w:cs="Arial"/>
          <w:i/>
        </w:rPr>
        <w:t xml:space="preserve">Růst objemu veřejných zakázek je vidět zejména ve stavebnictví, které má na celkovém objemu veřejných zakázek klíčový podíl. Větší příliv práce ve stavebnictví se již zcela konkrétně projevuje i na samotném výkonu sektoru, jenž po pěti letech předchozích propadů začíná opět růst. Za prvních šest měsíců dokonce o více než 5 %. Přetrvávajícím problémem ale není nedostatek peněž na investice, nýbrž zbytečná </w:t>
      </w:r>
      <w:r w:rsidR="00067002" w:rsidRPr="00067002">
        <w:rPr>
          <w:rFonts w:ascii="Arial" w:hAnsi="Arial" w:cs="Arial"/>
          <w:i/>
        </w:rPr>
        <w:lastRenderedPageBreak/>
        <w:t>byrokracie a průtahy při přípravě a realizaci staveb. Na MMR se v současné době připravují novely Stavebního zákona i Zákona o zadávání veřejných zakázek, kte</w:t>
      </w:r>
      <w:r w:rsidR="00067002">
        <w:rPr>
          <w:rFonts w:ascii="Arial" w:hAnsi="Arial" w:cs="Arial"/>
          <w:i/>
        </w:rPr>
        <w:t>ré by měly tuto situaci zlepšit,“</w:t>
      </w:r>
      <w:r w:rsidR="00067002">
        <w:rPr>
          <w:rFonts w:ascii="Arial" w:hAnsi="Arial" w:cs="Arial"/>
        </w:rPr>
        <w:t xml:space="preserve"> upřesňuje informaci </w:t>
      </w:r>
      <w:r w:rsidR="00067002" w:rsidRPr="00067002">
        <w:rPr>
          <w:rFonts w:ascii="Arial" w:hAnsi="Arial" w:cs="Arial"/>
          <w:b/>
          <w:i/>
        </w:rPr>
        <w:t>Jiří Vacek, ředitel analytické společnosti CEEC Research.</w:t>
      </w:r>
    </w:p>
    <w:p w:rsidR="001D0C46" w:rsidRDefault="001D0C46" w:rsidP="00336791">
      <w:pPr>
        <w:spacing w:after="0" w:line="360" w:lineRule="auto"/>
        <w:jc w:val="both"/>
        <w:rPr>
          <w:rFonts w:ascii="Arial" w:hAnsi="Arial" w:cs="Arial"/>
        </w:rPr>
      </w:pPr>
    </w:p>
    <w:p w:rsidR="008E4090" w:rsidRPr="00067002" w:rsidRDefault="008E4090" w:rsidP="00336791">
      <w:pPr>
        <w:spacing w:after="0" w:line="360" w:lineRule="auto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</w:rPr>
        <w:t>Při porovnání aktivity jednotli</w:t>
      </w:r>
      <w:r w:rsidR="001D0C46">
        <w:rPr>
          <w:rFonts w:ascii="Arial" w:hAnsi="Arial" w:cs="Arial"/>
        </w:rPr>
        <w:t xml:space="preserve">vých zadavatelů je zřejmé, že k růstu </w:t>
      </w:r>
      <w:r w:rsidR="000957C6">
        <w:rPr>
          <w:rFonts w:ascii="Arial" w:hAnsi="Arial" w:cs="Arial"/>
        </w:rPr>
        <w:t xml:space="preserve">jejich </w:t>
      </w:r>
      <w:r w:rsidR="001D0C46">
        <w:rPr>
          <w:rFonts w:ascii="Arial" w:hAnsi="Arial" w:cs="Arial"/>
        </w:rPr>
        <w:t xml:space="preserve">výdajů dochází napříč </w:t>
      </w:r>
      <w:r w:rsidR="00D14C0C">
        <w:rPr>
          <w:rFonts w:ascii="Arial" w:hAnsi="Arial" w:cs="Arial"/>
        </w:rPr>
        <w:t xml:space="preserve">téměř </w:t>
      </w:r>
      <w:r w:rsidR="001D0C46">
        <w:rPr>
          <w:rFonts w:ascii="Arial" w:hAnsi="Arial" w:cs="Arial"/>
        </w:rPr>
        <w:t xml:space="preserve">celým spektrem </w:t>
      </w:r>
      <w:r w:rsidR="000957C6">
        <w:rPr>
          <w:rFonts w:ascii="Arial" w:hAnsi="Arial" w:cs="Arial"/>
        </w:rPr>
        <w:t xml:space="preserve">zadavatelů </w:t>
      </w:r>
      <w:r w:rsidR="001D0C46">
        <w:rPr>
          <w:rFonts w:ascii="Arial" w:hAnsi="Arial" w:cs="Arial"/>
        </w:rPr>
        <w:t>veřejných zakázek.</w:t>
      </w:r>
      <w:r w:rsidR="00072FE8">
        <w:rPr>
          <w:rFonts w:ascii="Arial" w:hAnsi="Arial" w:cs="Arial"/>
        </w:rPr>
        <w:t xml:space="preserve"> </w:t>
      </w:r>
      <w:r w:rsidR="001D0C46">
        <w:rPr>
          <w:rFonts w:ascii="Arial" w:hAnsi="Arial" w:cs="Arial"/>
        </w:rPr>
        <w:t xml:space="preserve">Významný </w:t>
      </w:r>
      <w:r w:rsidR="00072FE8">
        <w:rPr>
          <w:rFonts w:ascii="Arial" w:hAnsi="Arial" w:cs="Arial"/>
        </w:rPr>
        <w:t>nárůst</w:t>
      </w:r>
      <w:r>
        <w:rPr>
          <w:rFonts w:ascii="Arial" w:hAnsi="Arial" w:cs="Arial"/>
        </w:rPr>
        <w:t xml:space="preserve"> objemů i počtů vypsaných zakázek mají </w:t>
      </w:r>
      <w:r w:rsidR="001D0C46">
        <w:rPr>
          <w:rFonts w:ascii="Arial" w:hAnsi="Arial" w:cs="Arial"/>
        </w:rPr>
        <w:t xml:space="preserve">zejména </w:t>
      </w:r>
      <w:r>
        <w:rPr>
          <w:rFonts w:ascii="Arial" w:hAnsi="Arial" w:cs="Arial"/>
        </w:rPr>
        <w:t>ministerstva</w:t>
      </w:r>
      <w:r w:rsidR="00C231A7">
        <w:rPr>
          <w:rFonts w:ascii="Arial" w:hAnsi="Arial" w:cs="Arial"/>
        </w:rPr>
        <w:t xml:space="preserve"> a další centrální instituce</w:t>
      </w:r>
      <w:r w:rsidR="001D0C46">
        <w:rPr>
          <w:rFonts w:ascii="Arial" w:hAnsi="Arial" w:cs="Arial"/>
        </w:rPr>
        <w:t xml:space="preserve">. Z pohledu počtu vypsaných zakázek jde téměř až o </w:t>
      </w:r>
      <w:r w:rsidR="00072FE8">
        <w:rPr>
          <w:rFonts w:ascii="Arial" w:hAnsi="Arial" w:cs="Arial"/>
        </w:rPr>
        <w:t>třetinový</w:t>
      </w:r>
      <w:r w:rsidR="001D0C46">
        <w:rPr>
          <w:rFonts w:ascii="Arial" w:hAnsi="Arial" w:cs="Arial"/>
        </w:rPr>
        <w:t xml:space="preserve"> </w:t>
      </w:r>
      <w:r w:rsidR="000957C6">
        <w:rPr>
          <w:rFonts w:ascii="Arial" w:hAnsi="Arial" w:cs="Arial"/>
        </w:rPr>
        <w:t>ná</w:t>
      </w:r>
      <w:r w:rsidR="001D0C46">
        <w:rPr>
          <w:rFonts w:ascii="Arial" w:hAnsi="Arial" w:cs="Arial"/>
        </w:rPr>
        <w:t>růst (31,</w:t>
      </w:r>
      <w:r>
        <w:rPr>
          <w:rFonts w:ascii="Arial" w:hAnsi="Arial" w:cs="Arial"/>
        </w:rPr>
        <w:t>6</w:t>
      </w:r>
      <w:r w:rsidR="001D0C46">
        <w:rPr>
          <w:rFonts w:ascii="Arial" w:hAnsi="Arial" w:cs="Arial"/>
        </w:rPr>
        <w:t xml:space="preserve"> procenta), z pohledu objemu investovaných prostředků jde o 32,8% nárůst.</w:t>
      </w:r>
      <w:r w:rsidR="00067002">
        <w:rPr>
          <w:rFonts w:ascii="Arial" w:hAnsi="Arial" w:cs="Arial"/>
        </w:rPr>
        <w:t xml:space="preserve"> </w:t>
      </w:r>
      <w:r w:rsidR="00067002" w:rsidRPr="00067002">
        <w:rPr>
          <w:rFonts w:ascii="Arial" w:hAnsi="Arial" w:cs="Arial"/>
          <w:i/>
        </w:rPr>
        <w:t>„Jsme rádi, že i po všech očištěních od iregularit meziročně roste počet zadaných zakázek, tedy skutečně uzavřených smluv. To je pro veřejnou správu a zejména podnikatelský sektor to nejdůležitější</w:t>
      </w:r>
      <w:r w:rsidR="00067002">
        <w:rPr>
          <w:rFonts w:ascii="Arial" w:hAnsi="Arial" w:cs="Arial"/>
          <w:i/>
        </w:rPr>
        <w:t>,</w:t>
      </w:r>
      <w:r w:rsidR="00067002" w:rsidRPr="00067002">
        <w:rPr>
          <w:rFonts w:ascii="Arial" w:hAnsi="Arial" w:cs="Arial"/>
        </w:rPr>
        <w:t>“</w:t>
      </w:r>
      <w:r w:rsidR="00067002">
        <w:rPr>
          <w:rFonts w:ascii="Arial" w:hAnsi="Arial" w:cs="Arial"/>
        </w:rPr>
        <w:t xml:space="preserve"> říká</w:t>
      </w:r>
      <w:r w:rsidR="00067002" w:rsidRPr="00067002">
        <w:rPr>
          <w:rFonts w:ascii="Arial" w:hAnsi="Arial" w:cs="Arial"/>
        </w:rPr>
        <w:t xml:space="preserve"> </w:t>
      </w:r>
      <w:r w:rsidR="00067002" w:rsidRPr="00067002">
        <w:rPr>
          <w:rFonts w:ascii="Arial" w:hAnsi="Arial" w:cs="Arial"/>
          <w:b/>
          <w:i/>
        </w:rPr>
        <w:t xml:space="preserve">Martin Janoušek, </w:t>
      </w:r>
      <w:r w:rsidR="001C4373">
        <w:rPr>
          <w:rFonts w:ascii="Arial" w:hAnsi="Arial" w:cs="Arial"/>
          <w:b/>
          <w:i/>
        </w:rPr>
        <w:t>místo</w:t>
      </w:r>
      <w:r w:rsidR="00067002" w:rsidRPr="00067002">
        <w:rPr>
          <w:rFonts w:ascii="Arial" w:hAnsi="Arial" w:cs="Arial"/>
          <w:b/>
          <w:i/>
        </w:rPr>
        <w:t>předseda Komory administrátorů veřejných zakázek.</w:t>
      </w:r>
    </w:p>
    <w:p w:rsidR="008E4090" w:rsidRDefault="008E4090" w:rsidP="00336791">
      <w:pPr>
        <w:spacing w:after="0" w:line="360" w:lineRule="auto"/>
        <w:jc w:val="both"/>
        <w:rPr>
          <w:rFonts w:ascii="Arial" w:hAnsi="Arial" w:cs="Arial"/>
        </w:rPr>
      </w:pPr>
    </w:p>
    <w:p w:rsidR="008E4090" w:rsidRPr="008E4090" w:rsidRDefault="008E4090" w:rsidP="006C5597">
      <w:pPr>
        <w:spacing w:line="360" w:lineRule="auto"/>
        <w:jc w:val="center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8E4090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Meziroční změny oznámení o zakázce v 1. pololetí 2014</w:t>
      </w:r>
      <w:r w:rsidRPr="008E4090">
        <w:rPr>
          <w:rFonts w:ascii="Arial" w:eastAsia="Times New Roman" w:hAnsi="Arial" w:cs="Times New Roman"/>
          <w:bCs/>
          <w:sz w:val="20"/>
          <w:szCs w:val="24"/>
          <w:lang w:eastAsia="cs-CZ"/>
        </w:rPr>
        <w:t xml:space="preserve"> </w:t>
      </w:r>
      <w:r w:rsidRPr="008E4090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podle druhu zadavatele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1475"/>
        <w:gridCol w:w="1475"/>
        <w:gridCol w:w="1475"/>
        <w:gridCol w:w="1475"/>
      </w:tblGrid>
      <w:tr w:rsidR="008E4090" w:rsidRPr="008E4090" w:rsidTr="008E4090">
        <w:trPr>
          <w:cantSplit/>
          <w:trHeight w:val="480"/>
        </w:trPr>
        <w:tc>
          <w:tcPr>
            <w:tcW w:w="324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090" w:rsidRPr="008E4090" w:rsidRDefault="008E4090" w:rsidP="008E409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E4090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Zakázky celkem</w:t>
            </w:r>
          </w:p>
        </w:tc>
        <w:tc>
          <w:tcPr>
            <w:tcW w:w="59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090" w:rsidRPr="008E4090" w:rsidRDefault="008E4090" w:rsidP="008E409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E4090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Meziroční změna v %</w:t>
            </w:r>
          </w:p>
        </w:tc>
      </w:tr>
      <w:tr w:rsidR="008E4090" w:rsidRPr="008E4090" w:rsidTr="008E4090">
        <w:trPr>
          <w:cantSplit/>
          <w:trHeight w:val="480"/>
        </w:trPr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090" w:rsidRPr="008E4090" w:rsidRDefault="008E4090" w:rsidP="008E4090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E4090" w:rsidRPr="008E4090" w:rsidRDefault="008E4090" w:rsidP="008E409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E4090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Počet</w:t>
            </w:r>
          </w:p>
        </w:tc>
        <w:tc>
          <w:tcPr>
            <w:tcW w:w="2950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090" w:rsidRPr="008E4090" w:rsidRDefault="008E4090" w:rsidP="008E409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E4090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Hodnota</w:t>
            </w:r>
          </w:p>
        </w:tc>
      </w:tr>
      <w:tr w:rsidR="008E4090" w:rsidRPr="008E4090" w:rsidTr="008E4090">
        <w:trPr>
          <w:trHeight w:val="480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E4090" w:rsidRPr="008E4090" w:rsidRDefault="008E4090" w:rsidP="008E4090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E409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Ministerstva a další celostátní úřady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E4090" w:rsidRPr="008E4090" w:rsidRDefault="008E4090" w:rsidP="008E409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E4090">
              <w:rPr>
                <w:rFonts w:ascii="Arial" w:eastAsia="Times New Roman" w:hAnsi="Arial" w:cs="Times New Roman"/>
                <w:bCs/>
                <w:color w:val="92D050"/>
                <w:sz w:val="40"/>
                <w:szCs w:val="40"/>
                <w:lang w:eastAsia="cs-CZ"/>
              </w:rPr>
              <w:sym w:font="Wingdings 3" w:char="F0C7"/>
            </w:r>
          </w:p>
        </w:tc>
        <w:tc>
          <w:tcPr>
            <w:tcW w:w="1475" w:type="dxa"/>
            <w:tcBorders>
              <w:top w:val="single" w:sz="4" w:space="0" w:color="auto"/>
              <w:left w:val="nil"/>
              <w:bottom w:val="nil"/>
              <w:right w:val="double" w:sz="4" w:space="0" w:color="auto"/>
            </w:tcBorders>
            <w:vAlign w:val="center"/>
            <w:hideMark/>
          </w:tcPr>
          <w:p w:rsidR="008E4090" w:rsidRPr="008E4090" w:rsidRDefault="008E4090" w:rsidP="008E409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E4090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+31,6</w:t>
            </w:r>
          </w:p>
        </w:tc>
        <w:tc>
          <w:tcPr>
            <w:tcW w:w="1475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vAlign w:val="center"/>
            <w:hideMark/>
          </w:tcPr>
          <w:p w:rsidR="008E4090" w:rsidRPr="008E4090" w:rsidRDefault="008E4090" w:rsidP="008E409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E4090">
              <w:rPr>
                <w:rFonts w:ascii="Arial" w:eastAsia="Times New Roman" w:hAnsi="Arial" w:cs="Times New Roman"/>
                <w:bCs/>
                <w:color w:val="92D050"/>
                <w:sz w:val="40"/>
                <w:szCs w:val="40"/>
                <w:lang w:eastAsia="cs-CZ"/>
              </w:rPr>
              <w:sym w:font="Wingdings 3" w:char="F0C7"/>
            </w:r>
          </w:p>
        </w:tc>
        <w:tc>
          <w:tcPr>
            <w:tcW w:w="14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E4090" w:rsidRPr="008E4090" w:rsidRDefault="008E4090" w:rsidP="008E409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E4090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+32,8</w:t>
            </w:r>
          </w:p>
        </w:tc>
      </w:tr>
      <w:tr w:rsidR="008E4090" w:rsidRPr="008E4090" w:rsidTr="008E4090">
        <w:trPr>
          <w:trHeight w:val="480"/>
        </w:trPr>
        <w:tc>
          <w:tcPr>
            <w:tcW w:w="32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E4090" w:rsidRPr="008E4090" w:rsidRDefault="008E4090" w:rsidP="008E4090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E409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Ostatní subjekty</w:t>
            </w:r>
          </w:p>
        </w:tc>
        <w:tc>
          <w:tcPr>
            <w:tcW w:w="147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E4090" w:rsidRPr="008E4090" w:rsidRDefault="008E4090" w:rsidP="008E409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E4090">
              <w:rPr>
                <w:rFonts w:ascii="Arial" w:eastAsia="Times New Roman" w:hAnsi="Arial" w:cs="Times New Roman"/>
                <w:bCs/>
                <w:color w:val="92D050"/>
                <w:sz w:val="40"/>
                <w:szCs w:val="40"/>
                <w:lang w:eastAsia="cs-CZ"/>
              </w:rPr>
              <w:sym w:font="Wingdings 3" w:char="F0C7"/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  <w:hideMark/>
          </w:tcPr>
          <w:p w:rsidR="008E4090" w:rsidRPr="008E4090" w:rsidRDefault="008E4090" w:rsidP="008E409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E4090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+15,4</w:t>
            </w:r>
          </w:p>
        </w:tc>
        <w:tc>
          <w:tcPr>
            <w:tcW w:w="1475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  <w:hideMark/>
          </w:tcPr>
          <w:p w:rsidR="008E4090" w:rsidRPr="008E4090" w:rsidRDefault="008E4090" w:rsidP="008E409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E4090">
              <w:rPr>
                <w:rFonts w:ascii="Arial" w:eastAsia="Times New Roman" w:hAnsi="Arial" w:cs="Times New Roman"/>
                <w:bCs/>
                <w:color w:val="92D050"/>
                <w:sz w:val="40"/>
                <w:szCs w:val="40"/>
                <w:lang w:eastAsia="cs-CZ"/>
              </w:rPr>
              <w:sym w:font="Wingdings 3" w:char="F0C7"/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E4090" w:rsidRPr="008E4090" w:rsidRDefault="008E4090" w:rsidP="008E409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E4090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+21,3</w:t>
            </w:r>
          </w:p>
        </w:tc>
      </w:tr>
      <w:tr w:rsidR="008E4090" w:rsidRPr="008E4090" w:rsidTr="008E4090">
        <w:trPr>
          <w:trHeight w:val="480"/>
        </w:trPr>
        <w:tc>
          <w:tcPr>
            <w:tcW w:w="32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E4090" w:rsidRPr="008E4090" w:rsidRDefault="008E4090" w:rsidP="008E4090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E409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Regionální úřady a sdružení</w:t>
            </w:r>
          </w:p>
        </w:tc>
        <w:tc>
          <w:tcPr>
            <w:tcW w:w="147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8E4090" w:rsidRPr="008E4090" w:rsidRDefault="008E4090" w:rsidP="008E409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E4090">
              <w:rPr>
                <w:rFonts w:ascii="Arial" w:eastAsia="Times New Roman" w:hAnsi="Arial" w:cs="Times New Roman"/>
                <w:bCs/>
                <w:color w:val="92D050"/>
                <w:sz w:val="40"/>
                <w:szCs w:val="40"/>
                <w:lang w:eastAsia="cs-CZ"/>
              </w:rPr>
              <w:sym w:font="Wingdings 3" w:char="F0C7"/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center"/>
            <w:hideMark/>
          </w:tcPr>
          <w:p w:rsidR="008E4090" w:rsidRPr="008E4090" w:rsidRDefault="008E4090" w:rsidP="008E409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E4090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+22,2</w:t>
            </w:r>
          </w:p>
        </w:tc>
        <w:tc>
          <w:tcPr>
            <w:tcW w:w="1475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  <w:hideMark/>
          </w:tcPr>
          <w:p w:rsidR="008E4090" w:rsidRPr="008E4090" w:rsidRDefault="008E4090" w:rsidP="008E409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E4090">
              <w:rPr>
                <w:rFonts w:ascii="Arial" w:eastAsia="Times New Roman" w:hAnsi="Arial" w:cs="Times New Roman"/>
                <w:bCs/>
                <w:color w:val="92D050"/>
                <w:sz w:val="40"/>
                <w:szCs w:val="40"/>
                <w:lang w:eastAsia="cs-CZ"/>
              </w:rPr>
              <w:sym w:font="Wingdings 3" w:char="F0C7"/>
            </w:r>
          </w:p>
        </w:tc>
        <w:tc>
          <w:tcPr>
            <w:tcW w:w="14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E4090" w:rsidRPr="008E4090" w:rsidRDefault="008E4090" w:rsidP="008E409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E4090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+23,6</w:t>
            </w:r>
          </w:p>
        </w:tc>
      </w:tr>
      <w:tr w:rsidR="008E4090" w:rsidRPr="008E4090" w:rsidTr="008E4090">
        <w:trPr>
          <w:trHeight w:val="321"/>
        </w:trPr>
        <w:tc>
          <w:tcPr>
            <w:tcW w:w="3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090" w:rsidRPr="008E4090" w:rsidRDefault="008E4090" w:rsidP="008E4090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E4090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Státní podniky</w:t>
            </w:r>
          </w:p>
        </w:tc>
        <w:tc>
          <w:tcPr>
            <w:tcW w:w="14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E4090" w:rsidRPr="008E4090" w:rsidRDefault="008E4090" w:rsidP="008E409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E4090">
              <w:rPr>
                <w:rFonts w:ascii="Arial" w:eastAsia="Times New Roman" w:hAnsi="Arial" w:cs="Times New Roman"/>
                <w:bCs/>
                <w:color w:val="92D050"/>
                <w:sz w:val="40"/>
                <w:szCs w:val="40"/>
                <w:lang w:eastAsia="cs-CZ"/>
              </w:rPr>
              <w:sym w:font="Wingdings 3" w:char="F0C7"/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E4090" w:rsidRPr="008E4090" w:rsidRDefault="008E4090" w:rsidP="008E409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E4090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+19,1</w:t>
            </w:r>
          </w:p>
        </w:tc>
        <w:tc>
          <w:tcPr>
            <w:tcW w:w="1475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E4090" w:rsidRPr="008E4090" w:rsidRDefault="008E4090" w:rsidP="008E409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E4090">
              <w:rPr>
                <w:rFonts w:ascii="Arial" w:eastAsia="Times New Roman" w:hAnsi="Arial" w:cs="Times New Roman"/>
                <w:bCs/>
                <w:color w:val="FF0000"/>
                <w:sz w:val="40"/>
                <w:szCs w:val="40"/>
                <w:lang w:eastAsia="cs-CZ"/>
              </w:rPr>
              <w:sym w:font="Wingdings 3" w:char="F0C8"/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090" w:rsidRPr="008E4090" w:rsidRDefault="008E4090" w:rsidP="008E409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E4090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-30,1</w:t>
            </w:r>
          </w:p>
        </w:tc>
      </w:tr>
      <w:tr w:rsidR="008E4090" w:rsidRPr="008E4090" w:rsidTr="008E4090">
        <w:trPr>
          <w:trHeight w:val="321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090" w:rsidRPr="008E4090" w:rsidRDefault="008E4090" w:rsidP="008E4090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8E4090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Celkem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E4090" w:rsidRPr="008E4090" w:rsidRDefault="008E4090" w:rsidP="008E409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E4090">
              <w:rPr>
                <w:rFonts w:ascii="Arial" w:eastAsia="Times New Roman" w:hAnsi="Arial" w:cs="Times New Roman"/>
                <w:bCs/>
                <w:color w:val="92D050"/>
                <w:sz w:val="40"/>
                <w:szCs w:val="40"/>
                <w:lang w:eastAsia="cs-CZ"/>
              </w:rPr>
              <w:sym w:font="Wingdings 3" w:char="F0C7"/>
            </w:r>
          </w:p>
        </w:tc>
        <w:tc>
          <w:tcPr>
            <w:tcW w:w="1475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  <w:hideMark/>
          </w:tcPr>
          <w:p w:rsidR="008E4090" w:rsidRPr="008E4090" w:rsidRDefault="008E4090" w:rsidP="008E409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8E4090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+20,5</w:t>
            </w:r>
          </w:p>
        </w:tc>
        <w:tc>
          <w:tcPr>
            <w:tcW w:w="147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E4090" w:rsidRPr="008E4090" w:rsidRDefault="008E4090" w:rsidP="008E409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8E4090">
              <w:rPr>
                <w:rFonts w:ascii="Arial" w:eastAsia="Times New Roman" w:hAnsi="Arial" w:cs="Times New Roman"/>
                <w:bCs/>
                <w:color w:val="92D050"/>
                <w:sz w:val="40"/>
                <w:szCs w:val="40"/>
                <w:lang w:eastAsia="cs-CZ"/>
              </w:rPr>
              <w:sym w:font="Wingdings 3" w:char="F0C7"/>
            </w:r>
          </w:p>
        </w:tc>
        <w:tc>
          <w:tcPr>
            <w:tcW w:w="1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090" w:rsidRPr="008E4090" w:rsidRDefault="008E4090" w:rsidP="008E409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</w:pPr>
            <w:r w:rsidRPr="008E4090">
              <w:rPr>
                <w:rFonts w:ascii="Arial" w:eastAsia="Times New Roman" w:hAnsi="Arial" w:cs="Times New Roman"/>
                <w:b/>
                <w:bCs/>
                <w:sz w:val="18"/>
                <w:szCs w:val="24"/>
                <w:lang w:eastAsia="cs-CZ"/>
              </w:rPr>
              <w:t>+20,1</w:t>
            </w:r>
          </w:p>
        </w:tc>
      </w:tr>
    </w:tbl>
    <w:p w:rsidR="008E4090" w:rsidRPr="008E4090" w:rsidRDefault="008E4090" w:rsidP="008E4090">
      <w:pPr>
        <w:spacing w:after="0" w:line="36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8E4090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336791" w:rsidRDefault="00336791" w:rsidP="00336791">
      <w:pPr>
        <w:spacing w:after="0" w:line="360" w:lineRule="auto"/>
        <w:jc w:val="both"/>
        <w:rPr>
          <w:rFonts w:ascii="Arial" w:hAnsi="Arial" w:cs="Arial"/>
        </w:rPr>
      </w:pPr>
    </w:p>
    <w:p w:rsidR="00345FAA" w:rsidRDefault="00532BE3" w:rsidP="00532BE3">
      <w:pPr>
        <w:spacing w:line="360" w:lineRule="auto"/>
        <w:jc w:val="both"/>
        <w:rPr>
          <w:rFonts w:ascii="Arial" w:hAnsi="Arial" w:cs="Arial"/>
          <w:bCs/>
        </w:rPr>
      </w:pPr>
      <w:r w:rsidRPr="00345FAA">
        <w:rPr>
          <w:rFonts w:ascii="Arial" w:hAnsi="Arial" w:cs="Arial"/>
          <w:bCs/>
        </w:rPr>
        <w:t xml:space="preserve">Nejvíce </w:t>
      </w:r>
      <w:r w:rsidR="001D0C46" w:rsidRPr="00345FAA">
        <w:rPr>
          <w:rFonts w:ascii="Arial" w:hAnsi="Arial" w:cs="Arial"/>
          <w:bCs/>
        </w:rPr>
        <w:t>nových zakázek</w:t>
      </w:r>
      <w:r w:rsidR="00B47BF2" w:rsidRPr="00345FAA">
        <w:rPr>
          <w:rFonts w:ascii="Arial" w:hAnsi="Arial" w:cs="Arial"/>
          <w:bCs/>
        </w:rPr>
        <w:t xml:space="preserve"> </w:t>
      </w:r>
      <w:r w:rsidR="000957C6" w:rsidRPr="00345FAA">
        <w:rPr>
          <w:rFonts w:ascii="Arial" w:hAnsi="Arial" w:cs="Arial"/>
          <w:bCs/>
        </w:rPr>
        <w:t>(42 procent)</w:t>
      </w:r>
      <w:r w:rsidR="000957C6">
        <w:rPr>
          <w:rFonts w:ascii="Arial" w:hAnsi="Arial" w:cs="Arial"/>
          <w:bCs/>
        </w:rPr>
        <w:t xml:space="preserve"> </w:t>
      </w:r>
      <w:r w:rsidR="00B47BF2" w:rsidRPr="00345FAA">
        <w:rPr>
          <w:rFonts w:ascii="Arial" w:hAnsi="Arial" w:cs="Arial"/>
          <w:bCs/>
        </w:rPr>
        <w:t>z pohledu jejich počtu</w:t>
      </w:r>
      <w:r w:rsidR="00A5482F">
        <w:rPr>
          <w:rFonts w:ascii="Arial" w:hAnsi="Arial" w:cs="Arial"/>
          <w:bCs/>
        </w:rPr>
        <w:t xml:space="preserve"> vypisují</w:t>
      </w:r>
      <w:r w:rsidRPr="00345FAA">
        <w:rPr>
          <w:rFonts w:ascii="Arial" w:hAnsi="Arial" w:cs="Arial"/>
          <w:bCs/>
        </w:rPr>
        <w:t xml:space="preserve"> regionální úřady a sdružení (kraje, města, obce, regionální úřady a správy komunikací</w:t>
      </w:r>
      <w:r w:rsidR="000957C6">
        <w:rPr>
          <w:rFonts w:ascii="Arial" w:hAnsi="Arial" w:cs="Arial"/>
          <w:bCs/>
        </w:rPr>
        <w:t>,</w:t>
      </w:r>
      <w:r w:rsidRPr="00345FAA">
        <w:rPr>
          <w:rFonts w:ascii="Arial" w:hAnsi="Arial" w:cs="Arial"/>
          <w:bCs/>
        </w:rPr>
        <w:t xml:space="preserve"> apod.). </w:t>
      </w:r>
      <w:r w:rsidR="00345FAA">
        <w:rPr>
          <w:rFonts w:ascii="Arial" w:hAnsi="Arial" w:cs="Arial"/>
          <w:bCs/>
        </w:rPr>
        <w:t xml:space="preserve">Téměř dvě pětiny </w:t>
      </w:r>
      <w:r w:rsidRPr="00345FAA">
        <w:rPr>
          <w:rFonts w:ascii="Arial" w:hAnsi="Arial" w:cs="Arial"/>
          <w:bCs/>
        </w:rPr>
        <w:t>(39 procenta</w:t>
      </w:r>
      <w:r w:rsidR="00072FE8" w:rsidRPr="00345FAA">
        <w:rPr>
          <w:rFonts w:ascii="Arial" w:hAnsi="Arial" w:cs="Arial"/>
          <w:bCs/>
        </w:rPr>
        <w:t xml:space="preserve">) </w:t>
      </w:r>
      <w:r w:rsidR="000957C6">
        <w:rPr>
          <w:rFonts w:ascii="Arial" w:hAnsi="Arial" w:cs="Arial"/>
          <w:bCs/>
        </w:rPr>
        <w:t xml:space="preserve">zakázek </w:t>
      </w:r>
      <w:r w:rsidR="00345FAA">
        <w:rPr>
          <w:rFonts w:ascii="Arial" w:hAnsi="Arial" w:cs="Arial"/>
          <w:bCs/>
        </w:rPr>
        <w:t xml:space="preserve">vyhlašují </w:t>
      </w:r>
      <w:r w:rsidR="00072FE8" w:rsidRPr="00345FAA">
        <w:rPr>
          <w:rFonts w:ascii="Arial" w:hAnsi="Arial" w:cs="Arial"/>
          <w:bCs/>
        </w:rPr>
        <w:t xml:space="preserve">ostatní subjekty, jako </w:t>
      </w:r>
      <w:r w:rsidR="000957C6">
        <w:rPr>
          <w:rFonts w:ascii="Arial" w:hAnsi="Arial" w:cs="Arial"/>
          <w:bCs/>
        </w:rPr>
        <w:t>jsou</w:t>
      </w:r>
      <w:r w:rsidR="000957C6" w:rsidRPr="00345FAA">
        <w:rPr>
          <w:rFonts w:ascii="Arial" w:hAnsi="Arial" w:cs="Arial"/>
          <w:bCs/>
        </w:rPr>
        <w:t xml:space="preserve"> </w:t>
      </w:r>
      <w:r w:rsidR="00B47BF2" w:rsidRPr="00345FAA">
        <w:rPr>
          <w:rFonts w:ascii="Arial" w:hAnsi="Arial" w:cs="Arial"/>
          <w:bCs/>
        </w:rPr>
        <w:t xml:space="preserve">např. </w:t>
      </w:r>
      <w:r w:rsidR="00A5482F">
        <w:rPr>
          <w:rFonts w:ascii="Arial" w:hAnsi="Arial" w:cs="Arial"/>
          <w:bCs/>
        </w:rPr>
        <w:t>ČEPRO, ČEPS</w:t>
      </w:r>
      <w:r w:rsidRPr="00345FAA">
        <w:rPr>
          <w:rFonts w:ascii="Arial" w:hAnsi="Arial" w:cs="Arial"/>
          <w:bCs/>
        </w:rPr>
        <w:t xml:space="preserve">, OKD a </w:t>
      </w:r>
      <w:r w:rsidR="000957C6">
        <w:rPr>
          <w:rFonts w:ascii="Arial" w:hAnsi="Arial" w:cs="Arial"/>
          <w:bCs/>
        </w:rPr>
        <w:t>další</w:t>
      </w:r>
      <w:r w:rsidR="000957C6" w:rsidRPr="00345FAA">
        <w:rPr>
          <w:rFonts w:ascii="Arial" w:hAnsi="Arial" w:cs="Arial"/>
          <w:bCs/>
        </w:rPr>
        <w:t xml:space="preserve"> </w:t>
      </w:r>
      <w:r w:rsidRPr="00345FAA">
        <w:rPr>
          <w:rFonts w:ascii="Arial" w:hAnsi="Arial" w:cs="Arial"/>
          <w:bCs/>
        </w:rPr>
        <w:t>akciové společnosti</w:t>
      </w:r>
      <w:r w:rsidR="00064569">
        <w:rPr>
          <w:rFonts w:ascii="Arial" w:hAnsi="Arial" w:cs="Arial"/>
          <w:bCs/>
        </w:rPr>
        <w:t>,</w:t>
      </w:r>
      <w:r w:rsidRPr="00345FAA">
        <w:rPr>
          <w:rFonts w:ascii="Arial" w:hAnsi="Arial" w:cs="Arial"/>
          <w:bCs/>
        </w:rPr>
        <w:t xml:space="preserve"> a</w:t>
      </w:r>
      <w:r w:rsidR="000957C6">
        <w:rPr>
          <w:rFonts w:ascii="Arial" w:hAnsi="Arial" w:cs="Arial"/>
          <w:bCs/>
        </w:rPr>
        <w:t xml:space="preserve"> rovněž i</w:t>
      </w:r>
      <w:r w:rsidR="00072FE8" w:rsidRPr="00345FAA">
        <w:rPr>
          <w:rFonts w:ascii="Arial" w:hAnsi="Arial" w:cs="Arial"/>
          <w:bCs/>
        </w:rPr>
        <w:t xml:space="preserve"> společnosti s ručením omezeným</w:t>
      </w:r>
      <w:r w:rsidR="00064569">
        <w:rPr>
          <w:rFonts w:ascii="Arial" w:hAnsi="Arial" w:cs="Arial"/>
          <w:bCs/>
        </w:rPr>
        <w:t>,</w:t>
      </w:r>
      <w:r w:rsidRPr="00345FAA">
        <w:rPr>
          <w:rFonts w:ascii="Arial" w:hAnsi="Arial" w:cs="Arial"/>
          <w:bCs/>
        </w:rPr>
        <w:t xml:space="preserve"> a také školy, nemocnice, </w:t>
      </w:r>
      <w:r w:rsidR="00B47BF2" w:rsidRPr="00345FAA">
        <w:rPr>
          <w:rFonts w:ascii="Arial" w:hAnsi="Arial" w:cs="Arial"/>
          <w:bCs/>
        </w:rPr>
        <w:t>atd.)</w:t>
      </w:r>
      <w:r w:rsidR="00072FE8" w:rsidRPr="00345FAA">
        <w:rPr>
          <w:rFonts w:ascii="Arial" w:hAnsi="Arial" w:cs="Arial"/>
          <w:bCs/>
        </w:rPr>
        <w:t>. Zb</w:t>
      </w:r>
      <w:r w:rsidR="00064569">
        <w:rPr>
          <w:rFonts w:ascii="Arial" w:hAnsi="Arial" w:cs="Arial"/>
          <w:bCs/>
        </w:rPr>
        <w:t>ývající</w:t>
      </w:r>
      <w:r w:rsidR="00072FE8" w:rsidRPr="00345FAA">
        <w:rPr>
          <w:rFonts w:ascii="Arial" w:hAnsi="Arial" w:cs="Arial"/>
          <w:bCs/>
        </w:rPr>
        <w:t xml:space="preserve"> oznámení o zakázce </w:t>
      </w:r>
      <w:r w:rsidR="00064569">
        <w:rPr>
          <w:rFonts w:ascii="Arial" w:hAnsi="Arial" w:cs="Arial"/>
          <w:bCs/>
        </w:rPr>
        <w:t>pocházejí od</w:t>
      </w:r>
      <w:r w:rsidR="00064569" w:rsidRPr="00345FAA">
        <w:rPr>
          <w:rFonts w:ascii="Arial" w:hAnsi="Arial" w:cs="Arial"/>
          <w:bCs/>
        </w:rPr>
        <w:t xml:space="preserve"> </w:t>
      </w:r>
      <w:r w:rsidR="00B47BF2" w:rsidRPr="00345FAA">
        <w:rPr>
          <w:rFonts w:ascii="Arial" w:hAnsi="Arial" w:cs="Arial"/>
          <w:bCs/>
        </w:rPr>
        <w:t>ministerst</w:t>
      </w:r>
      <w:r w:rsidR="00064569">
        <w:rPr>
          <w:rFonts w:ascii="Arial" w:hAnsi="Arial" w:cs="Arial"/>
          <w:bCs/>
        </w:rPr>
        <w:t>e</w:t>
      </w:r>
      <w:r w:rsidR="00B47BF2" w:rsidRPr="00345FAA">
        <w:rPr>
          <w:rFonts w:ascii="Arial" w:hAnsi="Arial" w:cs="Arial"/>
          <w:bCs/>
        </w:rPr>
        <w:t>v a celostátní</w:t>
      </w:r>
      <w:r w:rsidR="00064569">
        <w:rPr>
          <w:rFonts w:ascii="Arial" w:hAnsi="Arial" w:cs="Arial"/>
          <w:bCs/>
        </w:rPr>
        <w:t>ch</w:t>
      </w:r>
      <w:r w:rsidR="00B47BF2" w:rsidRPr="00345FAA">
        <w:rPr>
          <w:rFonts w:ascii="Arial" w:hAnsi="Arial" w:cs="Arial"/>
          <w:bCs/>
        </w:rPr>
        <w:t xml:space="preserve"> úřad</w:t>
      </w:r>
      <w:r w:rsidR="00064569">
        <w:rPr>
          <w:rFonts w:ascii="Arial" w:hAnsi="Arial" w:cs="Arial"/>
          <w:bCs/>
        </w:rPr>
        <w:t>ů</w:t>
      </w:r>
      <w:r w:rsidR="00B47BF2" w:rsidRPr="00345FAA">
        <w:rPr>
          <w:rFonts w:ascii="Arial" w:hAnsi="Arial" w:cs="Arial"/>
          <w:bCs/>
        </w:rPr>
        <w:t xml:space="preserve"> (15 procent) a státní</w:t>
      </w:r>
      <w:r w:rsidR="00064569">
        <w:rPr>
          <w:rFonts w:ascii="Arial" w:hAnsi="Arial" w:cs="Arial"/>
          <w:bCs/>
        </w:rPr>
        <w:t>ch</w:t>
      </w:r>
      <w:r w:rsidR="00B47BF2" w:rsidRPr="00345FAA">
        <w:rPr>
          <w:rFonts w:ascii="Arial" w:hAnsi="Arial" w:cs="Arial"/>
          <w:bCs/>
        </w:rPr>
        <w:t xml:space="preserve"> podnik</w:t>
      </w:r>
      <w:r w:rsidR="00064569">
        <w:rPr>
          <w:rFonts w:ascii="Arial" w:hAnsi="Arial" w:cs="Arial"/>
          <w:bCs/>
        </w:rPr>
        <w:t xml:space="preserve">ů </w:t>
      </w:r>
      <w:r w:rsidR="00064569" w:rsidRPr="00345FAA">
        <w:rPr>
          <w:rFonts w:ascii="Arial" w:hAnsi="Arial" w:cs="Arial"/>
          <w:bCs/>
        </w:rPr>
        <w:t>(4 %)</w:t>
      </w:r>
      <w:r w:rsidR="00064569">
        <w:rPr>
          <w:rFonts w:ascii="Arial" w:hAnsi="Arial" w:cs="Arial"/>
          <w:bCs/>
        </w:rPr>
        <w:t xml:space="preserve"> – </w:t>
      </w:r>
      <w:r w:rsidR="00B47BF2" w:rsidRPr="00345FAA">
        <w:rPr>
          <w:rFonts w:ascii="Arial" w:hAnsi="Arial" w:cs="Arial"/>
          <w:bCs/>
        </w:rPr>
        <w:t xml:space="preserve">např. </w:t>
      </w:r>
      <w:r w:rsidRPr="00345FAA">
        <w:rPr>
          <w:rFonts w:ascii="Arial" w:hAnsi="Arial" w:cs="Arial"/>
          <w:bCs/>
        </w:rPr>
        <w:t xml:space="preserve">Česká pošta, </w:t>
      </w:r>
      <w:proofErr w:type="spellStart"/>
      <w:r w:rsidRPr="00345FAA">
        <w:rPr>
          <w:rFonts w:ascii="Arial" w:hAnsi="Arial" w:cs="Arial"/>
          <w:bCs/>
        </w:rPr>
        <w:t>Diamo</w:t>
      </w:r>
      <w:proofErr w:type="spellEnd"/>
      <w:r w:rsidRPr="00345FAA">
        <w:rPr>
          <w:rFonts w:ascii="Arial" w:hAnsi="Arial" w:cs="Arial"/>
          <w:bCs/>
        </w:rPr>
        <w:t>, Lesy České republiky</w:t>
      </w:r>
      <w:r w:rsidR="00064569">
        <w:rPr>
          <w:rFonts w:ascii="Arial" w:hAnsi="Arial" w:cs="Arial"/>
          <w:bCs/>
        </w:rPr>
        <w:t>,</w:t>
      </w:r>
      <w:r w:rsidRPr="00345FAA">
        <w:rPr>
          <w:rFonts w:ascii="Arial" w:hAnsi="Arial" w:cs="Arial"/>
          <w:bCs/>
        </w:rPr>
        <w:t xml:space="preserve"> atd.</w:t>
      </w:r>
      <w:r w:rsidR="00B47BF2" w:rsidRPr="00345FAA">
        <w:rPr>
          <w:rFonts w:ascii="Arial" w:hAnsi="Arial" w:cs="Arial"/>
          <w:bCs/>
        </w:rPr>
        <w:t xml:space="preserve"> </w:t>
      </w:r>
      <w:r w:rsidRPr="00345FAA">
        <w:rPr>
          <w:rFonts w:ascii="Arial" w:hAnsi="Arial" w:cs="Arial"/>
          <w:bCs/>
        </w:rPr>
        <w:t xml:space="preserve"> </w:t>
      </w:r>
    </w:p>
    <w:p w:rsidR="00532BE3" w:rsidRDefault="00532BE3" w:rsidP="00532BE3">
      <w:pPr>
        <w:spacing w:line="360" w:lineRule="auto"/>
        <w:jc w:val="both"/>
        <w:rPr>
          <w:rFonts w:ascii="Arial" w:hAnsi="Arial" w:cs="Arial"/>
          <w:bCs/>
        </w:rPr>
      </w:pPr>
      <w:r w:rsidRPr="00345FAA">
        <w:rPr>
          <w:rFonts w:ascii="Arial" w:hAnsi="Arial" w:cs="Arial"/>
          <w:bCs/>
        </w:rPr>
        <w:lastRenderedPageBreak/>
        <w:t xml:space="preserve">Při hodnocení </w:t>
      </w:r>
      <w:r w:rsidR="00B47BF2" w:rsidRPr="00345FAA">
        <w:rPr>
          <w:rFonts w:ascii="Arial" w:hAnsi="Arial" w:cs="Arial"/>
          <w:bCs/>
        </w:rPr>
        <w:t xml:space="preserve">z pohledu finančního </w:t>
      </w:r>
      <w:r w:rsidRPr="00345FAA">
        <w:rPr>
          <w:rFonts w:ascii="Arial" w:hAnsi="Arial" w:cs="Arial"/>
          <w:bCs/>
        </w:rPr>
        <w:t xml:space="preserve">objemu </w:t>
      </w:r>
      <w:r w:rsidR="00B47BF2" w:rsidRPr="00345FAA">
        <w:rPr>
          <w:rFonts w:ascii="Arial" w:hAnsi="Arial" w:cs="Arial"/>
          <w:bCs/>
        </w:rPr>
        <w:t xml:space="preserve">vyhlášených výběrových řízení </w:t>
      </w:r>
      <w:r w:rsidR="00345FAA">
        <w:rPr>
          <w:rFonts w:ascii="Arial" w:hAnsi="Arial" w:cs="Arial"/>
          <w:bCs/>
        </w:rPr>
        <w:t>jsou podíly mezi jednotlivými veřejnými zadavateli odlišné.</w:t>
      </w:r>
      <w:r w:rsidR="00072FE8" w:rsidRPr="00345FAA">
        <w:rPr>
          <w:rFonts w:ascii="Arial" w:hAnsi="Arial" w:cs="Arial"/>
          <w:bCs/>
        </w:rPr>
        <w:t xml:space="preserve"> N</w:t>
      </w:r>
      <w:r w:rsidRPr="00345FAA">
        <w:rPr>
          <w:rFonts w:ascii="Arial" w:hAnsi="Arial" w:cs="Arial"/>
          <w:bCs/>
        </w:rPr>
        <w:t>ejvětší podíl mají ostatní subjekty (41 procenta), s třetinovým objemem</w:t>
      </w:r>
      <w:r w:rsidR="00064569">
        <w:rPr>
          <w:rFonts w:ascii="Arial" w:hAnsi="Arial" w:cs="Arial"/>
          <w:bCs/>
        </w:rPr>
        <w:t xml:space="preserve"> (33 %)</w:t>
      </w:r>
      <w:r w:rsidRPr="00345FAA">
        <w:rPr>
          <w:rFonts w:ascii="Arial" w:hAnsi="Arial" w:cs="Arial"/>
          <w:bCs/>
        </w:rPr>
        <w:t xml:space="preserve"> </w:t>
      </w:r>
      <w:r w:rsidR="00072FE8" w:rsidRPr="00345FAA">
        <w:rPr>
          <w:rFonts w:ascii="Arial" w:hAnsi="Arial" w:cs="Arial"/>
          <w:bCs/>
        </w:rPr>
        <w:t xml:space="preserve">je </w:t>
      </w:r>
      <w:r w:rsidRPr="00345FAA">
        <w:rPr>
          <w:rFonts w:ascii="Arial" w:hAnsi="Arial" w:cs="Arial"/>
          <w:bCs/>
        </w:rPr>
        <w:t>následují regionální úřady a sdružení</w:t>
      </w:r>
      <w:r w:rsidR="00064569">
        <w:rPr>
          <w:rFonts w:ascii="Arial" w:hAnsi="Arial" w:cs="Arial"/>
          <w:bCs/>
        </w:rPr>
        <w:t>, r</w:t>
      </w:r>
      <w:r w:rsidR="00345FAA">
        <w:rPr>
          <w:rFonts w:ascii="Arial" w:hAnsi="Arial" w:cs="Arial"/>
          <w:bCs/>
        </w:rPr>
        <w:t xml:space="preserve">oste </w:t>
      </w:r>
      <w:r w:rsidR="00A5482F">
        <w:rPr>
          <w:rFonts w:ascii="Arial" w:hAnsi="Arial" w:cs="Arial"/>
          <w:bCs/>
        </w:rPr>
        <w:t xml:space="preserve">podíl </w:t>
      </w:r>
      <w:r w:rsidR="00345FAA">
        <w:rPr>
          <w:rFonts w:ascii="Arial" w:hAnsi="Arial" w:cs="Arial"/>
          <w:bCs/>
        </w:rPr>
        <w:t>ministerstev a celostátních úřadů</w:t>
      </w:r>
      <w:r w:rsidR="00064569">
        <w:rPr>
          <w:rFonts w:ascii="Arial" w:hAnsi="Arial" w:cs="Arial"/>
          <w:bCs/>
        </w:rPr>
        <w:t xml:space="preserve"> (21 %)</w:t>
      </w:r>
      <w:r w:rsidR="00345FAA">
        <w:rPr>
          <w:rFonts w:ascii="Arial" w:hAnsi="Arial" w:cs="Arial"/>
          <w:bCs/>
        </w:rPr>
        <w:t>.</w:t>
      </w:r>
    </w:p>
    <w:p w:rsidR="00345FAA" w:rsidRPr="00345FAA" w:rsidRDefault="00345FAA" w:rsidP="00532BE3">
      <w:pPr>
        <w:spacing w:line="360" w:lineRule="auto"/>
        <w:jc w:val="both"/>
        <w:rPr>
          <w:rFonts w:ascii="Arial" w:hAnsi="Arial" w:cs="Arial"/>
          <w:bCs/>
        </w:rPr>
      </w:pPr>
    </w:p>
    <w:p w:rsidR="005A498E" w:rsidRPr="00345FAA" w:rsidRDefault="005A498E" w:rsidP="00532BE3">
      <w:pPr>
        <w:spacing w:line="360" w:lineRule="auto"/>
        <w:jc w:val="both"/>
        <w:rPr>
          <w:rFonts w:ascii="Arial" w:hAnsi="Arial" w:cs="Arial"/>
          <w:bCs/>
        </w:rPr>
        <w:sectPr w:rsidR="005A498E" w:rsidRPr="00345FAA" w:rsidSect="00721DB4">
          <w:head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A498E" w:rsidRPr="00345FAA" w:rsidRDefault="005A498E" w:rsidP="00532BE3">
      <w:pPr>
        <w:spacing w:line="360" w:lineRule="auto"/>
        <w:jc w:val="both"/>
        <w:rPr>
          <w:rFonts w:ascii="Arial" w:hAnsi="Arial" w:cs="Arial"/>
          <w:bCs/>
        </w:rPr>
      </w:pPr>
    </w:p>
    <w:p w:rsidR="005A498E" w:rsidRPr="00345FAA" w:rsidRDefault="005A498E" w:rsidP="00532BE3">
      <w:pPr>
        <w:spacing w:line="360" w:lineRule="auto"/>
        <w:jc w:val="both"/>
        <w:rPr>
          <w:rFonts w:ascii="Arial" w:hAnsi="Arial" w:cs="Arial"/>
          <w:bCs/>
        </w:rPr>
      </w:pPr>
      <w:r w:rsidRPr="00345FAA">
        <w:rPr>
          <w:rFonts w:ascii="Arial" w:hAnsi="Arial" w:cs="Arial"/>
          <w:noProof/>
          <w:lang w:eastAsia="cs-CZ"/>
        </w:rPr>
        <w:drawing>
          <wp:inline distT="0" distB="0" distL="0" distR="0" wp14:anchorId="5F561E28" wp14:editId="05CFBF33">
            <wp:extent cx="2759103" cy="3069204"/>
            <wp:effectExtent l="0" t="0" r="3175" b="0"/>
            <wp:docPr id="2" name="Graf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5A498E" w:rsidRPr="00345FAA" w:rsidRDefault="005A498E" w:rsidP="00532BE3">
      <w:pPr>
        <w:spacing w:line="360" w:lineRule="auto"/>
        <w:jc w:val="both"/>
        <w:rPr>
          <w:rFonts w:ascii="Arial" w:hAnsi="Arial" w:cs="Arial"/>
          <w:bCs/>
        </w:rPr>
      </w:pPr>
      <w:r w:rsidRPr="00345FAA">
        <w:rPr>
          <w:rFonts w:ascii="Arial" w:hAnsi="Arial" w:cs="Arial"/>
          <w:noProof/>
          <w:lang w:eastAsia="cs-CZ"/>
        </w:rPr>
        <w:lastRenderedPageBreak/>
        <w:drawing>
          <wp:inline distT="0" distB="0" distL="0" distR="0" wp14:anchorId="0DE6B2C4" wp14:editId="6664B542">
            <wp:extent cx="2838616" cy="3116912"/>
            <wp:effectExtent l="0" t="0" r="0" b="7620"/>
            <wp:docPr id="3" name="Graf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CB19AF" w:rsidRPr="00345FAA" w:rsidRDefault="00CB19AF" w:rsidP="00532BE3">
      <w:pPr>
        <w:spacing w:line="360" w:lineRule="auto"/>
        <w:jc w:val="both"/>
        <w:rPr>
          <w:rFonts w:ascii="Arial" w:hAnsi="Arial" w:cs="Arial"/>
          <w:bCs/>
        </w:rPr>
        <w:sectPr w:rsidR="00CB19AF" w:rsidRPr="00345FAA" w:rsidSect="005A498E">
          <w:type w:val="continuous"/>
          <w:pgSz w:w="11906" w:h="16838"/>
          <w:pgMar w:top="1417" w:right="1417" w:bottom="1417" w:left="1417" w:header="708" w:footer="708" w:gutter="0"/>
          <w:cols w:num="2" w:space="709"/>
          <w:docGrid w:linePitch="360"/>
        </w:sectPr>
      </w:pPr>
    </w:p>
    <w:p w:rsidR="00B47BF2" w:rsidRPr="00345FAA" w:rsidRDefault="00A5482F" w:rsidP="00D3106C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>Celkově se ú</w:t>
      </w:r>
      <w:r w:rsidR="00072FE8" w:rsidRPr="00345FAA">
        <w:rPr>
          <w:rFonts w:ascii="Arial" w:hAnsi="Arial" w:cs="Arial"/>
          <w:bCs/>
        </w:rPr>
        <w:t xml:space="preserve">spěšně daří </w:t>
      </w:r>
      <w:r w:rsidR="00497993">
        <w:rPr>
          <w:rFonts w:ascii="Arial" w:hAnsi="Arial" w:cs="Arial"/>
          <w:bCs/>
        </w:rPr>
        <w:t xml:space="preserve">i </w:t>
      </w:r>
      <w:r w:rsidR="00072FE8" w:rsidRPr="00345FAA">
        <w:rPr>
          <w:rFonts w:ascii="Arial" w:hAnsi="Arial" w:cs="Arial"/>
          <w:bCs/>
        </w:rPr>
        <w:t>ukončovat výběrová</w:t>
      </w:r>
      <w:r w:rsidR="006C735B" w:rsidRPr="00345FAA">
        <w:rPr>
          <w:rFonts w:ascii="Arial" w:hAnsi="Arial" w:cs="Arial"/>
          <w:bCs/>
        </w:rPr>
        <w:t xml:space="preserve"> řízení</w:t>
      </w:r>
      <w:r w:rsidR="00072FE8" w:rsidRPr="00345FAA">
        <w:rPr>
          <w:rFonts w:ascii="Arial" w:hAnsi="Arial" w:cs="Arial"/>
          <w:bCs/>
        </w:rPr>
        <w:t xml:space="preserve"> a zadávat zakázky</w:t>
      </w:r>
      <w:r w:rsidR="006C735B" w:rsidRPr="00345FAA">
        <w:rPr>
          <w:rFonts w:ascii="Arial" w:hAnsi="Arial" w:cs="Arial"/>
          <w:bCs/>
        </w:rPr>
        <w:t xml:space="preserve"> konkrétním dodavatelům. </w:t>
      </w:r>
      <w:r w:rsidR="00B47BF2" w:rsidRPr="00345FAA">
        <w:rPr>
          <w:rFonts w:ascii="Arial" w:hAnsi="Arial" w:cs="Arial"/>
          <w:bCs/>
        </w:rPr>
        <w:t xml:space="preserve">V lednu až červnu 2014 bylo zadáno 5 960 zakázek. Při </w:t>
      </w:r>
      <w:r w:rsidR="00345FAA">
        <w:rPr>
          <w:rFonts w:ascii="Arial" w:hAnsi="Arial" w:cs="Arial"/>
          <w:bCs/>
        </w:rPr>
        <w:t xml:space="preserve">aplikaci </w:t>
      </w:r>
      <w:r w:rsidR="006C735B" w:rsidRPr="00345FAA">
        <w:rPr>
          <w:rFonts w:ascii="Arial" w:hAnsi="Arial" w:cs="Arial"/>
          <w:bCs/>
        </w:rPr>
        <w:t>nových limitů platných od ledna 2014</w:t>
      </w:r>
      <w:r w:rsidR="00B47BF2" w:rsidRPr="00345FAA">
        <w:rPr>
          <w:rFonts w:ascii="Arial" w:hAnsi="Arial" w:cs="Arial"/>
          <w:bCs/>
        </w:rPr>
        <w:t xml:space="preserve"> </w:t>
      </w:r>
      <w:r w:rsidR="00064569" w:rsidRPr="00345FAA">
        <w:rPr>
          <w:rFonts w:ascii="Arial" w:hAnsi="Arial" w:cs="Arial"/>
          <w:bCs/>
        </w:rPr>
        <w:t>ukazují</w:t>
      </w:r>
      <w:r w:rsidR="00064569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výsledky analýzy</w:t>
      </w:r>
      <w:r w:rsidR="00B47BF2" w:rsidRPr="00345FAA">
        <w:rPr>
          <w:rFonts w:ascii="Arial" w:hAnsi="Arial" w:cs="Arial"/>
          <w:bCs/>
        </w:rPr>
        <w:t xml:space="preserve">, že počet zadaných zakázek se oproti loňskému roku </w:t>
      </w:r>
      <w:r w:rsidR="00064569" w:rsidRPr="00345FAA">
        <w:rPr>
          <w:rFonts w:ascii="Arial" w:hAnsi="Arial" w:cs="Arial"/>
          <w:bCs/>
        </w:rPr>
        <w:t xml:space="preserve">nezměnil </w:t>
      </w:r>
      <w:r w:rsidR="00B47BF2" w:rsidRPr="00345FAA">
        <w:rPr>
          <w:rFonts w:ascii="Arial" w:hAnsi="Arial" w:cs="Arial"/>
          <w:bCs/>
        </w:rPr>
        <w:t>(0,1 %). P</w:t>
      </w:r>
      <w:r w:rsidR="006C735B" w:rsidRPr="00345FAA">
        <w:rPr>
          <w:rFonts w:ascii="Arial" w:hAnsi="Arial" w:cs="Arial"/>
          <w:bCs/>
        </w:rPr>
        <w:t xml:space="preserve">okud bychom </w:t>
      </w:r>
      <w:r w:rsidR="00B47BF2" w:rsidRPr="00345FAA">
        <w:rPr>
          <w:rFonts w:ascii="Arial" w:hAnsi="Arial" w:cs="Arial"/>
          <w:bCs/>
        </w:rPr>
        <w:t xml:space="preserve">ale </w:t>
      </w:r>
      <w:r w:rsidR="006C735B" w:rsidRPr="00345FAA">
        <w:rPr>
          <w:rFonts w:ascii="Arial" w:hAnsi="Arial" w:cs="Arial"/>
          <w:bCs/>
        </w:rPr>
        <w:t>zachovali limity původní, platné od dubna 2012</w:t>
      </w:r>
      <w:r w:rsidR="00B47BF2" w:rsidRPr="00345FAA">
        <w:rPr>
          <w:rFonts w:ascii="Arial" w:hAnsi="Arial" w:cs="Arial"/>
          <w:bCs/>
        </w:rPr>
        <w:t>,</w:t>
      </w:r>
      <w:r w:rsidR="00672B58" w:rsidRPr="00345FAA">
        <w:rPr>
          <w:rFonts w:ascii="Arial" w:hAnsi="Arial" w:cs="Arial"/>
          <w:bCs/>
        </w:rPr>
        <w:t xml:space="preserve"> zaznamenali bychom </w:t>
      </w:r>
      <w:r w:rsidR="00B47BF2" w:rsidRPr="00345FAA">
        <w:rPr>
          <w:rFonts w:ascii="Arial" w:hAnsi="Arial" w:cs="Arial"/>
          <w:bCs/>
        </w:rPr>
        <w:t xml:space="preserve">znatelný </w:t>
      </w:r>
      <w:r w:rsidR="00672B58" w:rsidRPr="00345FAA">
        <w:rPr>
          <w:rFonts w:ascii="Arial" w:hAnsi="Arial" w:cs="Arial"/>
          <w:bCs/>
        </w:rPr>
        <w:t>nárůst</w:t>
      </w:r>
      <w:r w:rsidR="00B47BF2" w:rsidRPr="00345FAA">
        <w:rPr>
          <w:rFonts w:ascii="Arial" w:hAnsi="Arial" w:cs="Arial"/>
          <w:bCs/>
        </w:rPr>
        <w:t xml:space="preserve"> počtu zadaných zakázek (</w:t>
      </w:r>
      <w:r w:rsidR="00D3106C" w:rsidRPr="00345FAA">
        <w:rPr>
          <w:rFonts w:ascii="Arial" w:hAnsi="Arial" w:cs="Arial"/>
          <w:bCs/>
        </w:rPr>
        <w:t>o 23,6 %</w:t>
      </w:r>
      <w:r w:rsidR="00B47BF2" w:rsidRPr="00345FAA">
        <w:rPr>
          <w:rFonts w:ascii="Arial" w:hAnsi="Arial" w:cs="Arial"/>
          <w:bCs/>
        </w:rPr>
        <w:t>)</w:t>
      </w:r>
      <w:r w:rsidR="00D3106C" w:rsidRPr="00345FAA">
        <w:rPr>
          <w:rFonts w:ascii="Arial" w:hAnsi="Arial" w:cs="Arial"/>
          <w:bCs/>
        </w:rPr>
        <w:t xml:space="preserve">. </w:t>
      </w:r>
    </w:p>
    <w:p w:rsidR="004370C0" w:rsidRPr="0026597A" w:rsidRDefault="00B42338" w:rsidP="004370C0">
      <w:pPr>
        <w:spacing w:after="0" w:line="360" w:lineRule="auto"/>
        <w:jc w:val="both"/>
        <w:rPr>
          <w:rFonts w:ascii="Arial" w:hAnsi="Arial" w:cs="Arial"/>
        </w:rPr>
      </w:pPr>
      <w:r w:rsidRPr="00345FAA">
        <w:rPr>
          <w:rFonts w:ascii="Arial" w:hAnsi="Arial" w:cs="Arial"/>
          <w:szCs w:val="20"/>
        </w:rPr>
        <w:t xml:space="preserve">Hodnota zakázek zadaných v </w:t>
      </w:r>
      <w:r w:rsidRPr="00345FAA">
        <w:rPr>
          <w:rFonts w:ascii="Arial" w:hAnsi="Arial" w:cs="Arial"/>
          <w:bCs/>
        </w:rPr>
        <w:t xml:space="preserve">lednu až červnu 2014 </w:t>
      </w:r>
      <w:r w:rsidRPr="00345FAA">
        <w:rPr>
          <w:rFonts w:ascii="Arial" w:hAnsi="Arial" w:cs="Arial"/>
          <w:szCs w:val="20"/>
        </w:rPr>
        <w:t xml:space="preserve">činila 191,7 mld. Kč a meziročně vzrostla o 43,4 %. Pokud bychom posuzovali hodnotu zadaných zakázek podle srovnatelných limitů, dostaneme meziroční </w:t>
      </w:r>
      <w:r w:rsidR="00324918">
        <w:rPr>
          <w:rFonts w:ascii="Arial" w:hAnsi="Arial" w:cs="Arial"/>
          <w:szCs w:val="20"/>
        </w:rPr>
        <w:t>ná</w:t>
      </w:r>
      <w:r w:rsidRPr="00345FAA">
        <w:rPr>
          <w:rFonts w:ascii="Arial" w:hAnsi="Arial" w:cs="Arial"/>
          <w:szCs w:val="20"/>
        </w:rPr>
        <w:t>růst o 46,5 %.</w:t>
      </w:r>
      <w:r w:rsidR="004370C0">
        <w:rPr>
          <w:rFonts w:ascii="Arial" w:hAnsi="Arial" w:cs="Arial"/>
          <w:szCs w:val="20"/>
        </w:rPr>
        <w:t xml:space="preserve"> </w:t>
      </w:r>
      <w:r w:rsidR="004370C0" w:rsidRPr="0026597A">
        <w:rPr>
          <w:rFonts w:ascii="Arial" w:hAnsi="Arial" w:cs="Arial"/>
        </w:rPr>
        <w:t xml:space="preserve">Vývoj ale značně ovlivnily tři velké zakázky společnosti ČEPRO v celkové hodnotě 88,4 miliardy korun. Pokud bychom </w:t>
      </w:r>
      <w:r w:rsidR="004370C0" w:rsidRPr="0026597A">
        <w:rPr>
          <w:rFonts w:ascii="Arial" w:hAnsi="Arial" w:cs="Arial"/>
        </w:rPr>
        <w:lastRenderedPageBreak/>
        <w:t>soubor modelově upravili tak</w:t>
      </w:r>
      <w:r w:rsidR="004370C0">
        <w:rPr>
          <w:rFonts w:ascii="Arial" w:hAnsi="Arial" w:cs="Arial"/>
        </w:rPr>
        <w:t>,</w:t>
      </w:r>
      <w:r w:rsidR="004370C0" w:rsidRPr="0026597A">
        <w:rPr>
          <w:rFonts w:ascii="Arial" w:hAnsi="Arial" w:cs="Arial"/>
        </w:rPr>
        <w:t xml:space="preserve"> aby byly meziroční základny objektivně porovnatelné, </w:t>
      </w:r>
      <w:r w:rsidR="004370C0">
        <w:rPr>
          <w:rFonts w:ascii="Arial" w:hAnsi="Arial" w:cs="Arial"/>
        </w:rPr>
        <w:t xml:space="preserve">objem veřejných zakázek by </w:t>
      </w:r>
      <w:r w:rsidR="004370C0" w:rsidRPr="0026597A">
        <w:rPr>
          <w:rFonts w:ascii="Arial" w:hAnsi="Arial" w:cs="Arial"/>
        </w:rPr>
        <w:t xml:space="preserve">reálně </w:t>
      </w:r>
      <w:r w:rsidR="004370C0">
        <w:rPr>
          <w:rFonts w:ascii="Arial" w:hAnsi="Arial" w:cs="Arial"/>
        </w:rPr>
        <w:t xml:space="preserve">vzrostl </w:t>
      </w:r>
      <w:r w:rsidR="004370C0" w:rsidRPr="0026597A">
        <w:rPr>
          <w:rFonts w:ascii="Arial" w:hAnsi="Arial" w:cs="Arial"/>
        </w:rPr>
        <w:t xml:space="preserve">o </w:t>
      </w:r>
      <w:r w:rsidR="004370C0">
        <w:rPr>
          <w:rFonts w:ascii="Arial" w:hAnsi="Arial" w:cs="Arial"/>
        </w:rPr>
        <w:t>6,7</w:t>
      </w:r>
      <w:r w:rsidR="004370C0" w:rsidRPr="0026597A">
        <w:rPr>
          <w:rFonts w:ascii="Arial" w:hAnsi="Arial" w:cs="Arial"/>
        </w:rPr>
        <w:t xml:space="preserve"> procenta.</w:t>
      </w:r>
    </w:p>
    <w:p w:rsidR="005A498E" w:rsidRDefault="005A498E" w:rsidP="00D3106C">
      <w:pPr>
        <w:spacing w:line="360" w:lineRule="auto"/>
        <w:jc w:val="both"/>
        <w:rPr>
          <w:rFonts w:ascii="Arial" w:hAnsi="Arial" w:cs="Arial"/>
          <w:szCs w:val="20"/>
        </w:rPr>
      </w:pPr>
    </w:p>
    <w:p w:rsidR="00345FAA" w:rsidRDefault="00345FAA" w:rsidP="00D3106C">
      <w:pPr>
        <w:spacing w:line="360" w:lineRule="auto"/>
        <w:jc w:val="both"/>
        <w:rPr>
          <w:rFonts w:ascii="Arial" w:hAnsi="Arial" w:cs="Arial"/>
          <w:szCs w:val="20"/>
        </w:rPr>
      </w:pPr>
    </w:p>
    <w:p w:rsidR="00345FAA" w:rsidRDefault="00345FAA" w:rsidP="00D3106C">
      <w:pPr>
        <w:spacing w:line="360" w:lineRule="auto"/>
        <w:jc w:val="both"/>
        <w:rPr>
          <w:rFonts w:ascii="Arial" w:hAnsi="Arial" w:cs="Arial"/>
          <w:szCs w:val="20"/>
        </w:rPr>
      </w:pPr>
    </w:p>
    <w:p w:rsidR="00345FAA" w:rsidRDefault="00345FAA" w:rsidP="00D3106C">
      <w:pPr>
        <w:spacing w:line="360" w:lineRule="auto"/>
        <w:jc w:val="both"/>
        <w:rPr>
          <w:rFonts w:ascii="Arial" w:hAnsi="Arial" w:cs="Arial"/>
          <w:szCs w:val="20"/>
        </w:rPr>
      </w:pPr>
    </w:p>
    <w:p w:rsidR="00345FAA" w:rsidRDefault="00345FAA" w:rsidP="00D3106C">
      <w:pPr>
        <w:spacing w:line="360" w:lineRule="auto"/>
        <w:jc w:val="both"/>
        <w:rPr>
          <w:rFonts w:ascii="Arial" w:hAnsi="Arial" w:cs="Arial"/>
          <w:szCs w:val="20"/>
        </w:rPr>
      </w:pPr>
    </w:p>
    <w:p w:rsidR="00345FAA" w:rsidRDefault="00345FAA" w:rsidP="00D3106C">
      <w:pPr>
        <w:spacing w:line="360" w:lineRule="auto"/>
        <w:jc w:val="both"/>
        <w:rPr>
          <w:rFonts w:ascii="Arial" w:hAnsi="Arial" w:cs="Arial"/>
          <w:szCs w:val="20"/>
        </w:rPr>
      </w:pPr>
    </w:p>
    <w:p w:rsidR="00345FAA" w:rsidRDefault="00345FAA" w:rsidP="00D3106C">
      <w:pPr>
        <w:spacing w:line="360" w:lineRule="auto"/>
        <w:jc w:val="both"/>
        <w:rPr>
          <w:rFonts w:ascii="Arial" w:hAnsi="Arial" w:cs="Arial"/>
          <w:szCs w:val="20"/>
        </w:rPr>
      </w:pPr>
    </w:p>
    <w:p w:rsidR="00345FAA" w:rsidRDefault="00345FAA" w:rsidP="00D3106C">
      <w:pPr>
        <w:spacing w:line="360" w:lineRule="auto"/>
        <w:jc w:val="both"/>
        <w:rPr>
          <w:rFonts w:ascii="Arial" w:hAnsi="Arial" w:cs="Arial"/>
          <w:szCs w:val="20"/>
        </w:rPr>
      </w:pPr>
    </w:p>
    <w:p w:rsidR="006C5597" w:rsidRPr="00345FAA" w:rsidRDefault="006C5597" w:rsidP="00D3106C">
      <w:pPr>
        <w:spacing w:line="360" w:lineRule="auto"/>
        <w:jc w:val="both"/>
        <w:rPr>
          <w:rFonts w:ascii="Arial" w:hAnsi="Arial" w:cs="Arial"/>
          <w:szCs w:val="20"/>
        </w:rPr>
      </w:pPr>
    </w:p>
    <w:p w:rsidR="00B42338" w:rsidRDefault="00B42338" w:rsidP="006C5597">
      <w:pPr>
        <w:spacing w:line="360" w:lineRule="auto"/>
        <w:jc w:val="center"/>
        <w:rPr>
          <w:bCs/>
        </w:rPr>
      </w:pPr>
      <w:r>
        <w:rPr>
          <w:b/>
          <w:bCs/>
        </w:rPr>
        <w:t xml:space="preserve">Meziroční změny hodnoty </w:t>
      </w:r>
      <w:r w:rsidR="006C5597">
        <w:rPr>
          <w:b/>
          <w:bCs/>
        </w:rPr>
        <w:t xml:space="preserve">zadaných zakázek </w:t>
      </w:r>
      <w:r>
        <w:rPr>
          <w:b/>
          <w:bCs/>
        </w:rPr>
        <w:t>v letech 2013 až 2014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3"/>
        <w:gridCol w:w="1931"/>
        <w:gridCol w:w="1464"/>
        <w:gridCol w:w="1464"/>
        <w:gridCol w:w="1464"/>
        <w:gridCol w:w="1465"/>
      </w:tblGrid>
      <w:tr w:rsidR="00B42338" w:rsidTr="00B42338">
        <w:trPr>
          <w:cantSplit/>
          <w:trHeight w:val="433"/>
        </w:trPr>
        <w:tc>
          <w:tcPr>
            <w:tcW w:w="303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B42338" w:rsidRDefault="00B42338" w:rsidP="00086AEA">
            <w:pPr>
              <w:jc w:val="center"/>
              <w:rPr>
                <w:bCs/>
                <w:sz w:val="18"/>
              </w:rPr>
            </w:pPr>
            <w:r>
              <w:rPr>
                <w:bCs/>
                <w:sz w:val="18"/>
              </w:rPr>
              <w:t>Zakázky celkem</w:t>
            </w:r>
          </w:p>
        </w:tc>
        <w:tc>
          <w:tcPr>
            <w:tcW w:w="5856" w:type="dxa"/>
            <w:gridSpan w:val="4"/>
            <w:vAlign w:val="center"/>
          </w:tcPr>
          <w:p w:rsidR="00B42338" w:rsidRDefault="00B42338" w:rsidP="00086AEA">
            <w:pPr>
              <w:jc w:val="center"/>
              <w:rPr>
                <w:bCs/>
                <w:sz w:val="18"/>
              </w:rPr>
            </w:pPr>
            <w:r>
              <w:rPr>
                <w:bCs/>
                <w:sz w:val="18"/>
                <w:szCs w:val="18"/>
              </w:rPr>
              <w:t>Meziroční změna v %</w:t>
            </w:r>
          </w:p>
        </w:tc>
      </w:tr>
      <w:tr w:rsidR="00B42338" w:rsidTr="00B42338">
        <w:trPr>
          <w:cantSplit/>
          <w:trHeight w:val="433"/>
        </w:trPr>
        <w:tc>
          <w:tcPr>
            <w:tcW w:w="303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B42338" w:rsidRDefault="00B42338" w:rsidP="00086AEA">
            <w:pPr>
              <w:jc w:val="center"/>
              <w:rPr>
                <w:bCs/>
                <w:sz w:val="18"/>
              </w:rPr>
            </w:pPr>
          </w:p>
        </w:tc>
        <w:tc>
          <w:tcPr>
            <w:tcW w:w="2928" w:type="dxa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B42338" w:rsidRDefault="006C5597" w:rsidP="00086AEA">
            <w:pPr>
              <w:jc w:val="center"/>
              <w:rPr>
                <w:bCs/>
                <w:sz w:val="18"/>
              </w:rPr>
            </w:pPr>
            <w:r>
              <w:rPr>
                <w:bCs/>
                <w:sz w:val="18"/>
              </w:rPr>
              <w:t>C</w:t>
            </w:r>
            <w:r w:rsidR="00B42338">
              <w:rPr>
                <w:bCs/>
                <w:sz w:val="18"/>
              </w:rPr>
              <w:t>elkem</w:t>
            </w:r>
          </w:p>
        </w:tc>
        <w:tc>
          <w:tcPr>
            <w:tcW w:w="2929" w:type="dxa"/>
            <w:gridSpan w:val="2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B42338" w:rsidRDefault="00B42338" w:rsidP="00086AEA">
            <w:pPr>
              <w:jc w:val="center"/>
              <w:rPr>
                <w:bCs/>
                <w:sz w:val="18"/>
              </w:rPr>
            </w:pPr>
            <w:r>
              <w:rPr>
                <w:bCs/>
                <w:sz w:val="18"/>
              </w:rPr>
              <w:t>při zachování původních limitů</w:t>
            </w:r>
          </w:p>
        </w:tc>
      </w:tr>
      <w:tr w:rsidR="00B42338" w:rsidTr="00B42338">
        <w:trPr>
          <w:cantSplit/>
          <w:trHeight w:val="433"/>
        </w:trPr>
        <w:tc>
          <w:tcPr>
            <w:tcW w:w="1103" w:type="dxa"/>
            <w:vMerge w:val="restart"/>
            <w:vAlign w:val="center"/>
          </w:tcPr>
          <w:p w:rsidR="00B42338" w:rsidRDefault="00B42338" w:rsidP="00086AEA">
            <w:pPr>
              <w:jc w:val="center"/>
              <w:rPr>
                <w:rFonts w:cs="Arial"/>
                <w:sz w:val="18"/>
                <w:szCs w:val="16"/>
              </w:rPr>
            </w:pPr>
            <w:r>
              <w:rPr>
                <w:rFonts w:cs="Arial"/>
                <w:sz w:val="18"/>
                <w:szCs w:val="16"/>
              </w:rPr>
              <w:t>2013</w:t>
            </w:r>
          </w:p>
        </w:tc>
        <w:tc>
          <w:tcPr>
            <w:tcW w:w="1931" w:type="dxa"/>
            <w:tcBorders>
              <w:bottom w:val="nil"/>
            </w:tcBorders>
            <w:vAlign w:val="center"/>
          </w:tcPr>
          <w:p w:rsidR="00B42338" w:rsidRDefault="00B42338" w:rsidP="00086AEA">
            <w:pPr>
              <w:rPr>
                <w:bCs/>
                <w:sz w:val="18"/>
              </w:rPr>
            </w:pPr>
            <w:r>
              <w:rPr>
                <w:rFonts w:cs="Arial"/>
                <w:sz w:val="18"/>
                <w:szCs w:val="16"/>
              </w:rPr>
              <w:t>1. čtvrtletí</w:t>
            </w:r>
          </w:p>
        </w:tc>
        <w:tc>
          <w:tcPr>
            <w:tcW w:w="1464" w:type="dxa"/>
            <w:tcBorders>
              <w:bottom w:val="nil"/>
              <w:right w:val="nil"/>
            </w:tcBorders>
            <w:vAlign w:val="center"/>
          </w:tcPr>
          <w:p w:rsidR="00B42338" w:rsidRDefault="00B42338" w:rsidP="00086AEA">
            <w:pPr>
              <w:jc w:val="center"/>
              <w:rPr>
                <w:bCs/>
                <w:sz w:val="18"/>
              </w:rPr>
            </w:pPr>
            <w:r>
              <w:rPr>
                <w:b/>
                <w:bCs/>
                <w:color w:val="FF0000"/>
                <w:sz w:val="40"/>
                <w:szCs w:val="40"/>
              </w:rPr>
              <w:sym w:font="Wingdings 3" w:char="F0C8"/>
            </w:r>
          </w:p>
        </w:tc>
        <w:tc>
          <w:tcPr>
            <w:tcW w:w="1464" w:type="dxa"/>
            <w:tcBorders>
              <w:left w:val="nil"/>
              <w:bottom w:val="nil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B42338" w:rsidRDefault="00B42338" w:rsidP="00086AEA">
            <w:pPr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-62,3</w:t>
            </w:r>
          </w:p>
        </w:tc>
        <w:tc>
          <w:tcPr>
            <w:tcW w:w="1464" w:type="dxa"/>
            <w:tcBorders>
              <w:left w:val="double" w:sz="4" w:space="0" w:color="auto"/>
              <w:bottom w:val="nil"/>
              <w:right w:val="nil"/>
            </w:tcBorders>
            <w:vAlign w:val="center"/>
          </w:tcPr>
          <w:p w:rsidR="00B42338" w:rsidRDefault="00B42338" w:rsidP="00086AEA">
            <w:pPr>
              <w:jc w:val="center"/>
              <w:rPr>
                <w:bCs/>
                <w:sz w:val="18"/>
              </w:rPr>
            </w:pPr>
            <w:r>
              <w:rPr>
                <w:bCs/>
                <w:color w:val="FF0000"/>
                <w:sz w:val="40"/>
                <w:szCs w:val="40"/>
              </w:rPr>
              <w:sym w:font="Wingdings 3" w:char="F0C8"/>
            </w:r>
          </w:p>
        </w:tc>
        <w:tc>
          <w:tcPr>
            <w:tcW w:w="1465" w:type="dxa"/>
            <w:tcBorders>
              <w:left w:val="nil"/>
              <w:bottom w:val="nil"/>
            </w:tcBorders>
            <w:tcMar>
              <w:right w:w="567" w:type="dxa"/>
            </w:tcMar>
            <w:vAlign w:val="center"/>
          </w:tcPr>
          <w:p w:rsidR="00B42338" w:rsidRDefault="00B42338" w:rsidP="00086AEA">
            <w:pPr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-63,7</w:t>
            </w:r>
          </w:p>
        </w:tc>
      </w:tr>
      <w:tr w:rsidR="00B42338" w:rsidTr="00B42338">
        <w:trPr>
          <w:cantSplit/>
          <w:trHeight w:val="433"/>
        </w:trPr>
        <w:tc>
          <w:tcPr>
            <w:tcW w:w="1103" w:type="dxa"/>
            <w:vMerge/>
            <w:vAlign w:val="center"/>
          </w:tcPr>
          <w:p w:rsidR="00B42338" w:rsidRDefault="00B42338" w:rsidP="00086AEA">
            <w:pPr>
              <w:rPr>
                <w:rFonts w:cs="Arial"/>
                <w:sz w:val="18"/>
                <w:szCs w:val="16"/>
              </w:rPr>
            </w:pPr>
          </w:p>
        </w:tc>
        <w:tc>
          <w:tcPr>
            <w:tcW w:w="1931" w:type="dxa"/>
            <w:tcBorders>
              <w:top w:val="nil"/>
              <w:bottom w:val="nil"/>
            </w:tcBorders>
            <w:vAlign w:val="center"/>
          </w:tcPr>
          <w:p w:rsidR="00B42338" w:rsidRDefault="00B42338" w:rsidP="00086AEA">
            <w:pPr>
              <w:rPr>
                <w:bCs/>
                <w:sz w:val="18"/>
              </w:rPr>
            </w:pPr>
            <w:r>
              <w:rPr>
                <w:rFonts w:cs="Arial"/>
                <w:sz w:val="18"/>
                <w:szCs w:val="16"/>
              </w:rPr>
              <w:t>2. čtvrtletí</w:t>
            </w:r>
          </w:p>
        </w:tc>
        <w:tc>
          <w:tcPr>
            <w:tcW w:w="1464" w:type="dxa"/>
            <w:tcBorders>
              <w:top w:val="nil"/>
              <w:bottom w:val="nil"/>
              <w:right w:val="nil"/>
            </w:tcBorders>
            <w:vAlign w:val="center"/>
          </w:tcPr>
          <w:p w:rsidR="00B42338" w:rsidRDefault="00B42338" w:rsidP="00086AEA">
            <w:pPr>
              <w:jc w:val="center"/>
              <w:rPr>
                <w:bCs/>
                <w:color w:val="92D050"/>
                <w:sz w:val="40"/>
                <w:szCs w:val="40"/>
              </w:rPr>
            </w:pPr>
            <w:r>
              <w:rPr>
                <w:bCs/>
                <w:color w:val="92D050"/>
                <w:sz w:val="40"/>
                <w:szCs w:val="40"/>
              </w:rPr>
              <w:sym w:font="Wingdings 3" w:char="F0C7"/>
            </w: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B42338" w:rsidRDefault="00B42338" w:rsidP="00086AEA">
            <w:pPr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+53,3</w:t>
            </w:r>
          </w:p>
        </w:tc>
        <w:tc>
          <w:tcPr>
            <w:tcW w:w="1464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:rsidR="00B42338" w:rsidRDefault="00B42338" w:rsidP="00086AEA">
            <w:pPr>
              <w:jc w:val="center"/>
              <w:rPr>
                <w:b/>
                <w:bCs/>
                <w:color w:val="FF0000"/>
                <w:sz w:val="40"/>
                <w:szCs w:val="40"/>
              </w:rPr>
            </w:pPr>
            <w:r>
              <w:rPr>
                <w:bCs/>
                <w:color w:val="92D050"/>
                <w:sz w:val="40"/>
                <w:szCs w:val="40"/>
              </w:rPr>
              <w:sym w:font="Wingdings 3" w:char="F0C7"/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</w:tcBorders>
            <w:tcMar>
              <w:right w:w="567" w:type="dxa"/>
            </w:tcMar>
            <w:vAlign w:val="center"/>
          </w:tcPr>
          <w:p w:rsidR="00B42338" w:rsidRDefault="00B42338" w:rsidP="00086AEA">
            <w:pPr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+51,0</w:t>
            </w:r>
          </w:p>
        </w:tc>
      </w:tr>
      <w:tr w:rsidR="00B42338" w:rsidTr="00B42338">
        <w:trPr>
          <w:cantSplit/>
          <w:trHeight w:val="433"/>
        </w:trPr>
        <w:tc>
          <w:tcPr>
            <w:tcW w:w="1103" w:type="dxa"/>
            <w:vMerge/>
            <w:vAlign w:val="center"/>
          </w:tcPr>
          <w:p w:rsidR="00B42338" w:rsidRDefault="00B42338" w:rsidP="00086AEA">
            <w:pPr>
              <w:rPr>
                <w:rFonts w:cs="Arial"/>
                <w:sz w:val="18"/>
                <w:szCs w:val="16"/>
              </w:rPr>
            </w:pPr>
          </w:p>
        </w:tc>
        <w:tc>
          <w:tcPr>
            <w:tcW w:w="1931" w:type="dxa"/>
            <w:tcBorders>
              <w:top w:val="nil"/>
              <w:bottom w:val="nil"/>
            </w:tcBorders>
            <w:vAlign w:val="center"/>
          </w:tcPr>
          <w:p w:rsidR="00B42338" w:rsidRDefault="00B42338" w:rsidP="00086AEA">
            <w:pPr>
              <w:rPr>
                <w:bCs/>
                <w:sz w:val="18"/>
              </w:rPr>
            </w:pPr>
            <w:r>
              <w:rPr>
                <w:rFonts w:cs="Arial"/>
                <w:sz w:val="18"/>
                <w:szCs w:val="16"/>
              </w:rPr>
              <w:t>3. čtvrtletí</w:t>
            </w:r>
          </w:p>
        </w:tc>
        <w:tc>
          <w:tcPr>
            <w:tcW w:w="1464" w:type="dxa"/>
            <w:tcBorders>
              <w:top w:val="nil"/>
              <w:bottom w:val="nil"/>
              <w:right w:val="nil"/>
            </w:tcBorders>
            <w:vAlign w:val="center"/>
          </w:tcPr>
          <w:p w:rsidR="00B42338" w:rsidRDefault="00B42338" w:rsidP="00086AEA">
            <w:pPr>
              <w:jc w:val="center"/>
              <w:rPr>
                <w:bCs/>
                <w:color w:val="92D050"/>
                <w:sz w:val="40"/>
                <w:szCs w:val="40"/>
              </w:rPr>
            </w:pPr>
            <w:r>
              <w:rPr>
                <w:bCs/>
                <w:color w:val="92D050"/>
                <w:sz w:val="40"/>
                <w:szCs w:val="40"/>
              </w:rPr>
              <w:sym w:font="Wingdings 3" w:char="F0C7"/>
            </w: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B42338" w:rsidRDefault="00B42338" w:rsidP="00086AEA">
            <w:pPr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+11,6</w:t>
            </w:r>
          </w:p>
        </w:tc>
        <w:tc>
          <w:tcPr>
            <w:tcW w:w="1464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center"/>
          </w:tcPr>
          <w:p w:rsidR="00B42338" w:rsidRDefault="00B42338" w:rsidP="00086AEA">
            <w:pPr>
              <w:jc w:val="center"/>
              <w:rPr>
                <w:b/>
                <w:bCs/>
                <w:color w:val="FF0000"/>
                <w:sz w:val="40"/>
                <w:szCs w:val="40"/>
              </w:rPr>
            </w:pPr>
            <w:r>
              <w:rPr>
                <w:bCs/>
                <w:color w:val="92D050"/>
                <w:sz w:val="40"/>
                <w:szCs w:val="40"/>
              </w:rPr>
              <w:sym w:font="Wingdings 3" w:char="F0C7"/>
            </w:r>
          </w:p>
        </w:tc>
        <w:tc>
          <w:tcPr>
            <w:tcW w:w="1465" w:type="dxa"/>
            <w:tcBorders>
              <w:top w:val="nil"/>
              <w:left w:val="nil"/>
              <w:bottom w:val="nil"/>
            </w:tcBorders>
            <w:tcMar>
              <w:right w:w="567" w:type="dxa"/>
            </w:tcMar>
            <w:vAlign w:val="center"/>
          </w:tcPr>
          <w:p w:rsidR="00B42338" w:rsidRDefault="00B42338" w:rsidP="00086AEA">
            <w:pPr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+5,6</w:t>
            </w:r>
          </w:p>
        </w:tc>
      </w:tr>
      <w:tr w:rsidR="00B42338" w:rsidTr="00B42338">
        <w:trPr>
          <w:cantSplit/>
          <w:trHeight w:val="433"/>
        </w:trPr>
        <w:tc>
          <w:tcPr>
            <w:tcW w:w="1103" w:type="dxa"/>
            <w:vMerge/>
            <w:vAlign w:val="center"/>
          </w:tcPr>
          <w:p w:rsidR="00B42338" w:rsidRDefault="00B42338" w:rsidP="00086AEA">
            <w:pPr>
              <w:rPr>
                <w:rFonts w:cs="Arial"/>
                <w:sz w:val="18"/>
                <w:szCs w:val="16"/>
              </w:rPr>
            </w:pPr>
          </w:p>
        </w:tc>
        <w:tc>
          <w:tcPr>
            <w:tcW w:w="1931" w:type="dxa"/>
            <w:tcBorders>
              <w:top w:val="nil"/>
              <w:bottom w:val="single" w:sz="4" w:space="0" w:color="auto"/>
            </w:tcBorders>
            <w:vAlign w:val="center"/>
          </w:tcPr>
          <w:p w:rsidR="00B42338" w:rsidRDefault="00B42338" w:rsidP="00086AEA">
            <w:pPr>
              <w:rPr>
                <w:bCs/>
                <w:sz w:val="18"/>
              </w:rPr>
            </w:pPr>
            <w:r>
              <w:rPr>
                <w:rFonts w:cs="Arial"/>
                <w:sz w:val="18"/>
                <w:szCs w:val="16"/>
              </w:rPr>
              <w:t>4. čtvrtletí</w:t>
            </w:r>
          </w:p>
        </w:tc>
        <w:tc>
          <w:tcPr>
            <w:tcW w:w="1464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B42338" w:rsidRDefault="00B42338" w:rsidP="00086AEA">
            <w:pPr>
              <w:jc w:val="center"/>
              <w:rPr>
                <w:bCs/>
                <w:sz w:val="18"/>
              </w:rPr>
            </w:pPr>
            <w:r>
              <w:rPr>
                <w:b/>
                <w:bCs/>
                <w:color w:val="FF0000"/>
                <w:sz w:val="40"/>
                <w:szCs w:val="40"/>
              </w:rPr>
              <w:sym w:font="Wingdings 3" w:char="F0C8"/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B42338" w:rsidRDefault="00B42338" w:rsidP="00086AEA">
            <w:pPr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-0,9</w:t>
            </w:r>
          </w:p>
        </w:tc>
        <w:tc>
          <w:tcPr>
            <w:tcW w:w="1464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vAlign w:val="center"/>
          </w:tcPr>
          <w:p w:rsidR="00B42338" w:rsidRDefault="00B42338" w:rsidP="00086AEA">
            <w:pPr>
              <w:jc w:val="center"/>
              <w:rPr>
                <w:bCs/>
                <w:sz w:val="18"/>
              </w:rPr>
            </w:pPr>
            <w:r>
              <w:rPr>
                <w:b/>
                <w:bCs/>
                <w:color w:val="FF0000"/>
                <w:sz w:val="40"/>
                <w:szCs w:val="40"/>
              </w:rPr>
              <w:sym w:font="Wingdings 3" w:char="F0C8"/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</w:tcBorders>
            <w:tcMar>
              <w:right w:w="567" w:type="dxa"/>
            </w:tcMar>
            <w:vAlign w:val="center"/>
          </w:tcPr>
          <w:p w:rsidR="00B42338" w:rsidRDefault="00B42338" w:rsidP="00086AEA">
            <w:pPr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-3,8</w:t>
            </w:r>
          </w:p>
        </w:tc>
      </w:tr>
      <w:tr w:rsidR="00B42338" w:rsidTr="00B42338">
        <w:trPr>
          <w:cantSplit/>
          <w:trHeight w:val="433"/>
        </w:trPr>
        <w:tc>
          <w:tcPr>
            <w:tcW w:w="1103" w:type="dxa"/>
            <w:vMerge/>
            <w:vAlign w:val="center"/>
          </w:tcPr>
          <w:p w:rsidR="00B42338" w:rsidRDefault="00B42338" w:rsidP="00086AEA">
            <w:pPr>
              <w:rPr>
                <w:rFonts w:cs="Arial"/>
                <w:b/>
                <w:bCs/>
                <w:sz w:val="18"/>
                <w:szCs w:val="16"/>
              </w:rPr>
            </w:pPr>
          </w:p>
        </w:tc>
        <w:tc>
          <w:tcPr>
            <w:tcW w:w="19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338" w:rsidRDefault="00B42338" w:rsidP="00086AEA">
            <w:pPr>
              <w:rPr>
                <w:b/>
                <w:bCs/>
                <w:sz w:val="18"/>
              </w:rPr>
            </w:pPr>
            <w:r>
              <w:rPr>
                <w:rFonts w:cs="Arial"/>
                <w:b/>
                <w:bCs/>
                <w:sz w:val="18"/>
                <w:szCs w:val="16"/>
              </w:rPr>
              <w:t>Rok</w:t>
            </w:r>
          </w:p>
        </w:tc>
        <w:tc>
          <w:tcPr>
            <w:tcW w:w="1464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42338" w:rsidRDefault="00B42338" w:rsidP="00086AEA">
            <w:pPr>
              <w:jc w:val="center"/>
              <w:rPr>
                <w:bCs/>
                <w:sz w:val="18"/>
              </w:rPr>
            </w:pPr>
            <w:r>
              <w:rPr>
                <w:b/>
                <w:bCs/>
                <w:color w:val="FF0000"/>
                <w:sz w:val="40"/>
                <w:szCs w:val="40"/>
              </w:rPr>
              <w:sym w:font="Wingdings 3" w:char="F0C8"/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B42338" w:rsidRDefault="00B42338" w:rsidP="00086AEA">
            <w:pPr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-5,6</w:t>
            </w:r>
          </w:p>
        </w:tc>
        <w:tc>
          <w:tcPr>
            <w:tcW w:w="146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vAlign w:val="center"/>
          </w:tcPr>
          <w:p w:rsidR="00B42338" w:rsidRDefault="00B42338" w:rsidP="00086AEA">
            <w:pPr>
              <w:jc w:val="center"/>
              <w:rPr>
                <w:bCs/>
                <w:sz w:val="18"/>
              </w:rPr>
            </w:pPr>
            <w:r>
              <w:rPr>
                <w:b/>
                <w:bCs/>
                <w:color w:val="FF0000"/>
                <w:sz w:val="40"/>
                <w:szCs w:val="40"/>
              </w:rPr>
              <w:sym w:font="Wingdings 3" w:char="F0C8"/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567" w:type="dxa"/>
            </w:tcMar>
            <w:vAlign w:val="center"/>
          </w:tcPr>
          <w:p w:rsidR="00B42338" w:rsidRDefault="00B42338" w:rsidP="00086AEA">
            <w:pPr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-8,8</w:t>
            </w:r>
          </w:p>
        </w:tc>
      </w:tr>
      <w:tr w:rsidR="00B42338" w:rsidTr="00B42338">
        <w:trPr>
          <w:cantSplit/>
          <w:trHeight w:val="433"/>
        </w:trPr>
        <w:tc>
          <w:tcPr>
            <w:tcW w:w="1103" w:type="dxa"/>
            <w:vMerge w:val="restart"/>
            <w:vAlign w:val="center"/>
          </w:tcPr>
          <w:p w:rsidR="00B42338" w:rsidRDefault="00B42338" w:rsidP="00086AEA">
            <w:pPr>
              <w:jc w:val="center"/>
              <w:rPr>
                <w:rFonts w:cs="Arial"/>
                <w:sz w:val="18"/>
                <w:szCs w:val="16"/>
              </w:rPr>
            </w:pPr>
            <w:r>
              <w:rPr>
                <w:rFonts w:cs="Arial"/>
                <w:sz w:val="18"/>
                <w:szCs w:val="16"/>
              </w:rPr>
              <w:t>2014</w:t>
            </w:r>
          </w:p>
        </w:tc>
        <w:tc>
          <w:tcPr>
            <w:tcW w:w="1931" w:type="dxa"/>
            <w:tcBorders>
              <w:top w:val="single" w:sz="4" w:space="0" w:color="auto"/>
              <w:bottom w:val="nil"/>
            </w:tcBorders>
            <w:vAlign w:val="center"/>
          </w:tcPr>
          <w:p w:rsidR="00B42338" w:rsidRDefault="00B42338" w:rsidP="00086AEA">
            <w:pPr>
              <w:rPr>
                <w:bCs/>
                <w:sz w:val="18"/>
              </w:rPr>
            </w:pPr>
            <w:r>
              <w:rPr>
                <w:rFonts w:cs="Arial"/>
                <w:sz w:val="18"/>
                <w:szCs w:val="16"/>
              </w:rPr>
              <w:t>1. čtvrtletí</w:t>
            </w:r>
          </w:p>
        </w:tc>
        <w:tc>
          <w:tcPr>
            <w:tcW w:w="1464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B42338" w:rsidRDefault="00B42338" w:rsidP="00086AEA">
            <w:pPr>
              <w:jc w:val="center"/>
              <w:rPr>
                <w:bCs/>
                <w:sz w:val="18"/>
              </w:rPr>
            </w:pPr>
            <w:r>
              <w:rPr>
                <w:bCs/>
                <w:color w:val="92D050"/>
                <w:sz w:val="40"/>
                <w:szCs w:val="40"/>
              </w:rPr>
              <w:sym w:font="Wingdings 3" w:char="F0C7"/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nil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B42338" w:rsidRDefault="00B42338" w:rsidP="00086AEA">
            <w:pPr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+265,6</w:t>
            </w:r>
          </w:p>
        </w:tc>
        <w:tc>
          <w:tcPr>
            <w:tcW w:w="1464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vAlign w:val="center"/>
          </w:tcPr>
          <w:p w:rsidR="00B42338" w:rsidRDefault="00B42338" w:rsidP="00086AEA">
            <w:pPr>
              <w:jc w:val="center"/>
              <w:rPr>
                <w:bCs/>
                <w:sz w:val="18"/>
              </w:rPr>
            </w:pPr>
            <w:r>
              <w:rPr>
                <w:bCs/>
                <w:color w:val="92D050"/>
                <w:sz w:val="40"/>
                <w:szCs w:val="40"/>
              </w:rPr>
              <w:sym w:font="Wingdings 3" w:char="F0C7"/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nil"/>
            </w:tcBorders>
            <w:tcMar>
              <w:right w:w="567" w:type="dxa"/>
            </w:tcMar>
            <w:vAlign w:val="center"/>
          </w:tcPr>
          <w:p w:rsidR="00B42338" w:rsidRDefault="00B42338" w:rsidP="00086AEA">
            <w:pPr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+277,5</w:t>
            </w:r>
          </w:p>
        </w:tc>
      </w:tr>
      <w:tr w:rsidR="00B42338" w:rsidTr="00B42338">
        <w:trPr>
          <w:cantSplit/>
          <w:trHeight w:val="433"/>
        </w:trPr>
        <w:tc>
          <w:tcPr>
            <w:tcW w:w="1103" w:type="dxa"/>
            <w:vMerge/>
            <w:vAlign w:val="center"/>
          </w:tcPr>
          <w:p w:rsidR="00B42338" w:rsidRDefault="00B42338" w:rsidP="00086AEA">
            <w:pPr>
              <w:jc w:val="center"/>
              <w:rPr>
                <w:rFonts w:cs="Arial"/>
                <w:sz w:val="18"/>
                <w:szCs w:val="16"/>
              </w:rPr>
            </w:pPr>
          </w:p>
        </w:tc>
        <w:tc>
          <w:tcPr>
            <w:tcW w:w="1931" w:type="dxa"/>
            <w:tcBorders>
              <w:top w:val="nil"/>
              <w:bottom w:val="single" w:sz="4" w:space="0" w:color="auto"/>
            </w:tcBorders>
            <w:vAlign w:val="center"/>
          </w:tcPr>
          <w:p w:rsidR="00B42338" w:rsidRDefault="00B42338" w:rsidP="00086AEA">
            <w:pPr>
              <w:rPr>
                <w:bCs/>
                <w:sz w:val="18"/>
              </w:rPr>
            </w:pPr>
            <w:r>
              <w:rPr>
                <w:rFonts w:cs="Arial"/>
                <w:sz w:val="18"/>
                <w:szCs w:val="16"/>
              </w:rPr>
              <w:t>2. čtvrtletí</w:t>
            </w:r>
          </w:p>
        </w:tc>
        <w:tc>
          <w:tcPr>
            <w:tcW w:w="1464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B42338" w:rsidRDefault="00B42338" w:rsidP="00086AEA">
            <w:pPr>
              <w:jc w:val="center"/>
              <w:rPr>
                <w:bCs/>
                <w:sz w:val="18"/>
              </w:rPr>
            </w:pPr>
            <w:r>
              <w:rPr>
                <w:b/>
                <w:bCs/>
                <w:color w:val="FF0000"/>
                <w:sz w:val="40"/>
                <w:szCs w:val="40"/>
              </w:rPr>
              <w:sym w:font="Wingdings 3" w:char="F0C8"/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B42338" w:rsidRDefault="00B42338" w:rsidP="00086AEA">
            <w:pPr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-30,4</w:t>
            </w:r>
          </w:p>
        </w:tc>
        <w:tc>
          <w:tcPr>
            <w:tcW w:w="1464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vAlign w:val="center"/>
          </w:tcPr>
          <w:p w:rsidR="00B42338" w:rsidRDefault="00B42338" w:rsidP="00086AEA">
            <w:pPr>
              <w:jc w:val="center"/>
              <w:rPr>
                <w:bCs/>
                <w:sz w:val="18"/>
              </w:rPr>
            </w:pPr>
            <w:r>
              <w:rPr>
                <w:b/>
                <w:bCs/>
                <w:color w:val="FF0000"/>
                <w:sz w:val="40"/>
                <w:szCs w:val="40"/>
              </w:rPr>
              <w:sym w:font="Wingdings 3" w:char="F0C8"/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</w:tcBorders>
            <w:tcMar>
              <w:right w:w="567" w:type="dxa"/>
            </w:tcMar>
            <w:vAlign w:val="center"/>
          </w:tcPr>
          <w:p w:rsidR="00B42338" w:rsidRDefault="00B42338" w:rsidP="00086AEA">
            <w:pPr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-29,9</w:t>
            </w:r>
          </w:p>
        </w:tc>
      </w:tr>
      <w:tr w:rsidR="00B42338" w:rsidTr="00B42338">
        <w:trPr>
          <w:cantSplit/>
          <w:trHeight w:val="433"/>
        </w:trPr>
        <w:tc>
          <w:tcPr>
            <w:tcW w:w="1103" w:type="dxa"/>
            <w:vMerge/>
            <w:tcBorders>
              <w:bottom w:val="single" w:sz="4" w:space="0" w:color="auto"/>
            </w:tcBorders>
            <w:vAlign w:val="center"/>
          </w:tcPr>
          <w:p w:rsidR="00B42338" w:rsidRDefault="00B42338" w:rsidP="00086AEA">
            <w:pPr>
              <w:jc w:val="center"/>
              <w:rPr>
                <w:rFonts w:cs="Arial"/>
                <w:sz w:val="18"/>
                <w:szCs w:val="16"/>
              </w:rPr>
            </w:pPr>
          </w:p>
        </w:tc>
        <w:tc>
          <w:tcPr>
            <w:tcW w:w="19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42338" w:rsidRDefault="00B42338" w:rsidP="00086AEA">
            <w:pPr>
              <w:rPr>
                <w:rFonts w:cs="Arial"/>
                <w:sz w:val="18"/>
                <w:szCs w:val="16"/>
              </w:rPr>
            </w:pPr>
            <w:r>
              <w:rPr>
                <w:rFonts w:cs="Arial"/>
                <w:sz w:val="18"/>
                <w:szCs w:val="16"/>
              </w:rPr>
              <w:t>leden až červen</w:t>
            </w:r>
          </w:p>
        </w:tc>
        <w:tc>
          <w:tcPr>
            <w:tcW w:w="1464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42338" w:rsidRDefault="00B42338" w:rsidP="00086AEA">
            <w:pPr>
              <w:jc w:val="center"/>
              <w:rPr>
                <w:bCs/>
                <w:sz w:val="18"/>
              </w:rPr>
            </w:pPr>
            <w:r>
              <w:rPr>
                <w:bCs/>
                <w:color w:val="92D050"/>
                <w:sz w:val="40"/>
                <w:szCs w:val="40"/>
              </w:rPr>
              <w:sym w:font="Wingdings 3" w:char="F0C7"/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  <w:tcMar>
              <w:right w:w="567" w:type="dxa"/>
            </w:tcMar>
            <w:vAlign w:val="center"/>
          </w:tcPr>
          <w:p w:rsidR="00B42338" w:rsidRDefault="00B42338" w:rsidP="00086AEA">
            <w:pPr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+43,4</w:t>
            </w:r>
          </w:p>
        </w:tc>
        <w:tc>
          <w:tcPr>
            <w:tcW w:w="146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nil"/>
            </w:tcBorders>
            <w:vAlign w:val="center"/>
          </w:tcPr>
          <w:p w:rsidR="00B42338" w:rsidRDefault="00B42338" w:rsidP="00086AEA">
            <w:pPr>
              <w:jc w:val="center"/>
              <w:rPr>
                <w:bCs/>
                <w:sz w:val="18"/>
              </w:rPr>
            </w:pPr>
            <w:r>
              <w:rPr>
                <w:bCs/>
                <w:color w:val="92D050"/>
                <w:sz w:val="40"/>
                <w:szCs w:val="40"/>
              </w:rPr>
              <w:sym w:font="Wingdings 3" w:char="F0C7"/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567" w:type="dxa"/>
            </w:tcMar>
            <w:vAlign w:val="center"/>
          </w:tcPr>
          <w:p w:rsidR="00B42338" w:rsidRDefault="00B42338" w:rsidP="00086AEA">
            <w:pPr>
              <w:jc w:val="right"/>
              <w:rPr>
                <w:bCs/>
                <w:sz w:val="18"/>
              </w:rPr>
            </w:pPr>
            <w:r>
              <w:rPr>
                <w:bCs/>
                <w:sz w:val="18"/>
              </w:rPr>
              <w:t>+46,5</w:t>
            </w:r>
          </w:p>
        </w:tc>
      </w:tr>
    </w:tbl>
    <w:p w:rsidR="00B42338" w:rsidRDefault="00B42338" w:rsidP="00D3106C">
      <w:pPr>
        <w:spacing w:line="360" w:lineRule="auto"/>
        <w:jc w:val="both"/>
        <w:rPr>
          <w:bCs/>
        </w:rPr>
      </w:pPr>
      <w:r>
        <w:rPr>
          <w:bCs/>
          <w:sz w:val="16"/>
          <w:szCs w:val="16"/>
        </w:rPr>
        <w:t>Zdroj: Věstník veřejných zakázek, výpočty CEEC Research</w:t>
      </w:r>
    </w:p>
    <w:p w:rsidR="00ED76BA" w:rsidRDefault="00ED76BA" w:rsidP="004F5B5A">
      <w:pPr>
        <w:spacing w:after="0" w:line="240" w:lineRule="auto"/>
        <w:rPr>
          <w:rFonts w:ascii="Arial" w:hAnsi="Arial" w:cs="Arial"/>
          <w:b/>
          <w:lang w:val="sk-SK"/>
        </w:rPr>
      </w:pPr>
    </w:p>
    <w:p w:rsidR="00ED76BA" w:rsidRDefault="00ED76BA" w:rsidP="004F5B5A">
      <w:pPr>
        <w:spacing w:after="0" w:line="240" w:lineRule="auto"/>
        <w:rPr>
          <w:rFonts w:ascii="Arial" w:hAnsi="Arial" w:cs="Arial"/>
          <w:b/>
          <w:lang w:val="sk-SK"/>
        </w:rPr>
      </w:pPr>
    </w:p>
    <w:p w:rsidR="00ED76BA" w:rsidRDefault="00ED76BA" w:rsidP="004F5B5A">
      <w:pPr>
        <w:spacing w:after="0" w:line="240" w:lineRule="auto"/>
        <w:rPr>
          <w:rFonts w:ascii="Arial" w:hAnsi="Arial" w:cs="Arial"/>
          <w:b/>
          <w:lang w:val="sk-SK"/>
        </w:rPr>
      </w:pPr>
    </w:p>
    <w:p w:rsidR="00ED76BA" w:rsidRDefault="00ED76BA" w:rsidP="004F5B5A">
      <w:pPr>
        <w:spacing w:after="0" w:line="240" w:lineRule="auto"/>
        <w:rPr>
          <w:rFonts w:ascii="Arial" w:hAnsi="Arial" w:cs="Arial"/>
          <w:b/>
          <w:lang w:val="sk-SK"/>
        </w:rPr>
      </w:pPr>
    </w:p>
    <w:p w:rsidR="00ED76BA" w:rsidRDefault="00ED76BA" w:rsidP="004F5B5A">
      <w:pPr>
        <w:spacing w:after="0" w:line="240" w:lineRule="auto"/>
        <w:rPr>
          <w:rFonts w:ascii="Arial" w:hAnsi="Arial" w:cs="Arial"/>
          <w:b/>
          <w:lang w:val="sk-SK"/>
        </w:rPr>
      </w:pPr>
    </w:p>
    <w:p w:rsidR="00ED76BA" w:rsidRDefault="00ED76BA" w:rsidP="004F5B5A">
      <w:pPr>
        <w:spacing w:after="0" w:line="240" w:lineRule="auto"/>
        <w:rPr>
          <w:rFonts w:ascii="Arial" w:hAnsi="Arial" w:cs="Arial"/>
          <w:b/>
          <w:lang w:val="sk-SK"/>
        </w:rPr>
      </w:pPr>
    </w:p>
    <w:p w:rsidR="00ED76BA" w:rsidRDefault="00ED76BA" w:rsidP="004F5B5A">
      <w:pPr>
        <w:spacing w:after="0" w:line="240" w:lineRule="auto"/>
        <w:rPr>
          <w:rFonts w:ascii="Arial" w:hAnsi="Arial" w:cs="Arial"/>
          <w:b/>
          <w:lang w:val="sk-SK"/>
        </w:rPr>
      </w:pPr>
    </w:p>
    <w:p w:rsidR="00ED76BA" w:rsidRDefault="00ED76BA" w:rsidP="004F5B5A">
      <w:pPr>
        <w:spacing w:after="0" w:line="240" w:lineRule="auto"/>
        <w:rPr>
          <w:rFonts w:ascii="Arial" w:hAnsi="Arial" w:cs="Arial"/>
          <w:b/>
          <w:lang w:val="sk-SK"/>
        </w:rPr>
      </w:pPr>
    </w:p>
    <w:p w:rsidR="00ED76BA" w:rsidRDefault="00ED76BA" w:rsidP="004F5B5A">
      <w:pPr>
        <w:spacing w:after="0" w:line="240" w:lineRule="auto"/>
        <w:rPr>
          <w:rFonts w:ascii="Arial" w:hAnsi="Arial" w:cs="Arial"/>
          <w:b/>
          <w:lang w:val="sk-SK"/>
        </w:rPr>
      </w:pPr>
    </w:p>
    <w:p w:rsidR="00ED76BA" w:rsidRDefault="00ED76BA" w:rsidP="004F5B5A">
      <w:pPr>
        <w:spacing w:after="0" w:line="240" w:lineRule="auto"/>
        <w:rPr>
          <w:rFonts w:ascii="Arial" w:hAnsi="Arial" w:cs="Arial"/>
          <w:b/>
          <w:lang w:val="sk-SK"/>
        </w:rPr>
      </w:pPr>
    </w:p>
    <w:p w:rsidR="00ED76BA" w:rsidRDefault="00ED76BA" w:rsidP="004F5B5A">
      <w:pPr>
        <w:spacing w:after="0" w:line="240" w:lineRule="auto"/>
        <w:rPr>
          <w:rFonts w:ascii="Arial" w:hAnsi="Arial" w:cs="Arial"/>
          <w:b/>
          <w:lang w:val="sk-SK"/>
        </w:rPr>
      </w:pPr>
    </w:p>
    <w:p w:rsidR="00ED76BA" w:rsidRDefault="00ED76BA" w:rsidP="004F5B5A">
      <w:pPr>
        <w:spacing w:after="0" w:line="240" w:lineRule="auto"/>
        <w:rPr>
          <w:rFonts w:ascii="Arial" w:hAnsi="Arial" w:cs="Arial"/>
          <w:b/>
          <w:lang w:val="sk-SK"/>
        </w:rPr>
      </w:pPr>
    </w:p>
    <w:p w:rsidR="00ED76BA" w:rsidRDefault="00ED76BA" w:rsidP="004F5B5A">
      <w:pPr>
        <w:spacing w:after="0" w:line="240" w:lineRule="auto"/>
        <w:rPr>
          <w:rFonts w:ascii="Arial" w:hAnsi="Arial" w:cs="Arial"/>
          <w:b/>
          <w:lang w:val="sk-SK"/>
        </w:rPr>
      </w:pPr>
    </w:p>
    <w:p w:rsidR="00C968F2" w:rsidRPr="0026597A" w:rsidRDefault="00C968F2" w:rsidP="004F5B5A">
      <w:pPr>
        <w:spacing w:after="0" w:line="240" w:lineRule="auto"/>
        <w:rPr>
          <w:rFonts w:ascii="Arial" w:hAnsi="Arial" w:cs="Arial"/>
          <w:b/>
          <w:lang w:val="sk-SK"/>
        </w:rPr>
      </w:pPr>
      <w:r w:rsidRPr="0026597A">
        <w:rPr>
          <w:rFonts w:ascii="Arial" w:hAnsi="Arial" w:cs="Arial"/>
          <w:b/>
          <w:lang w:val="sk-SK"/>
        </w:rPr>
        <w:t xml:space="preserve">Kontakt </w:t>
      </w:r>
      <w:proofErr w:type="spellStart"/>
      <w:r w:rsidRPr="0026597A">
        <w:rPr>
          <w:rFonts w:ascii="Arial" w:hAnsi="Arial" w:cs="Arial"/>
          <w:b/>
          <w:lang w:val="sk-SK"/>
        </w:rPr>
        <w:t>pro</w:t>
      </w:r>
      <w:proofErr w:type="spellEnd"/>
      <w:r w:rsidRPr="0026597A">
        <w:rPr>
          <w:rFonts w:ascii="Arial" w:hAnsi="Arial" w:cs="Arial"/>
          <w:b/>
          <w:lang w:val="sk-SK"/>
        </w:rPr>
        <w:t xml:space="preserve"> média:</w:t>
      </w:r>
    </w:p>
    <w:p w:rsidR="00C968F2" w:rsidRPr="0026597A" w:rsidRDefault="00C968F2" w:rsidP="004F5B5A">
      <w:pPr>
        <w:spacing w:after="0" w:line="240" w:lineRule="auto"/>
        <w:rPr>
          <w:rFonts w:ascii="Arial" w:hAnsi="Arial" w:cs="Arial"/>
          <w:lang w:val="sk-SK"/>
        </w:rPr>
      </w:pPr>
      <w:r w:rsidRPr="0026597A">
        <w:rPr>
          <w:rFonts w:ascii="Arial" w:hAnsi="Arial" w:cs="Arial"/>
          <w:b/>
          <w:sz w:val="8"/>
          <w:szCs w:val="8"/>
          <w:lang w:val="sk-SK"/>
        </w:rPr>
        <w:br/>
      </w:r>
      <w:r w:rsidRPr="0026597A">
        <w:rPr>
          <w:rFonts w:ascii="Arial" w:hAnsi="Arial" w:cs="Arial"/>
          <w:lang w:val="sk-SK"/>
        </w:rPr>
        <w:t xml:space="preserve">Alena </w:t>
      </w:r>
      <w:proofErr w:type="spellStart"/>
      <w:r w:rsidRPr="0026597A">
        <w:rPr>
          <w:rFonts w:ascii="Arial" w:hAnsi="Arial" w:cs="Arial"/>
          <w:lang w:val="sk-SK"/>
        </w:rPr>
        <w:t>Setničková</w:t>
      </w:r>
      <w:proofErr w:type="spellEnd"/>
      <w:r w:rsidRPr="0026597A">
        <w:rPr>
          <w:rFonts w:ascii="Arial" w:hAnsi="Arial" w:cs="Arial"/>
          <w:lang w:val="sk-SK"/>
        </w:rPr>
        <w:br/>
        <w:t xml:space="preserve">PR &amp; </w:t>
      </w:r>
      <w:proofErr w:type="spellStart"/>
      <w:r w:rsidRPr="0026597A">
        <w:rPr>
          <w:rFonts w:ascii="Arial" w:hAnsi="Arial" w:cs="Arial"/>
          <w:lang w:val="sk-SK"/>
        </w:rPr>
        <w:t>Communication</w:t>
      </w:r>
      <w:proofErr w:type="spellEnd"/>
      <w:r w:rsidRPr="0026597A">
        <w:rPr>
          <w:rFonts w:ascii="Arial" w:hAnsi="Arial" w:cs="Arial"/>
          <w:lang w:val="sk-SK"/>
        </w:rPr>
        <w:t xml:space="preserve"> </w:t>
      </w:r>
      <w:proofErr w:type="spellStart"/>
      <w:r w:rsidRPr="0026597A">
        <w:rPr>
          <w:rFonts w:ascii="Arial" w:hAnsi="Arial" w:cs="Arial"/>
          <w:lang w:val="sk-SK"/>
        </w:rPr>
        <w:t>Director</w:t>
      </w:r>
      <w:proofErr w:type="spellEnd"/>
      <w:r w:rsidRPr="0026597A">
        <w:rPr>
          <w:rFonts w:ascii="Arial" w:hAnsi="Arial" w:cs="Arial"/>
          <w:lang w:val="sk-SK"/>
        </w:rPr>
        <w:br/>
        <w:t>CEEC Research</w:t>
      </w:r>
      <w:r w:rsidRPr="0026597A">
        <w:rPr>
          <w:rFonts w:ascii="Arial" w:hAnsi="Arial" w:cs="Arial"/>
          <w:lang w:val="sk-SK"/>
        </w:rPr>
        <w:br/>
        <w:t xml:space="preserve">E-mail: </w:t>
      </w:r>
      <w:proofErr w:type="spellStart"/>
      <w:r w:rsidRPr="0026597A">
        <w:rPr>
          <w:rFonts w:ascii="Arial" w:hAnsi="Arial" w:cs="Arial"/>
          <w:lang w:val="sk-SK"/>
        </w:rPr>
        <w:t>setnickova@ceec.eu</w:t>
      </w:r>
      <w:proofErr w:type="spellEnd"/>
      <w:r w:rsidRPr="0026597A">
        <w:rPr>
          <w:rFonts w:ascii="Arial" w:hAnsi="Arial" w:cs="Arial"/>
          <w:lang w:val="sk-SK"/>
        </w:rPr>
        <w:br/>
        <w:t>Tel.: +420 777 299</w:t>
      </w:r>
      <w:r w:rsidR="004F5B5A" w:rsidRPr="0026597A">
        <w:rPr>
          <w:rFonts w:ascii="Arial" w:hAnsi="Arial" w:cs="Arial"/>
          <w:lang w:val="sk-SK"/>
        </w:rPr>
        <w:t> </w:t>
      </w:r>
      <w:r w:rsidRPr="0026597A">
        <w:rPr>
          <w:rFonts w:ascii="Arial" w:hAnsi="Arial" w:cs="Arial"/>
          <w:lang w:val="sk-SK"/>
        </w:rPr>
        <w:t>790</w:t>
      </w:r>
    </w:p>
    <w:p w:rsidR="004F5B5A" w:rsidRPr="0026597A" w:rsidRDefault="004F5B5A" w:rsidP="004F5B5A">
      <w:pPr>
        <w:spacing w:after="0" w:line="240" w:lineRule="auto"/>
        <w:rPr>
          <w:rFonts w:ascii="Arial" w:hAnsi="Arial" w:cs="Arial"/>
          <w:b/>
          <w:sz w:val="18"/>
          <w:szCs w:val="18"/>
        </w:rPr>
      </w:pPr>
    </w:p>
    <w:p w:rsidR="00702F17" w:rsidRDefault="00702F17" w:rsidP="00702F17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b/>
          <w:i/>
          <w:sz w:val="16"/>
          <w:szCs w:val="16"/>
        </w:rPr>
        <w:t>CEEC Research</w:t>
      </w:r>
      <w:r>
        <w:rPr>
          <w:rFonts w:ascii="Arial" w:hAnsi="Arial" w:cs="Arial"/>
          <w:i/>
          <w:sz w:val="16"/>
          <w:szCs w:val="16"/>
        </w:rPr>
        <w:t xml:space="preserve"> je největší analytickou společností specializující se na stavebnictví v zemích střední a východní Evropy. Byla založena v roce 2005 a od té doby bezplatně poskytuje studie o aktuálním stavu a očekávaném vývoji stavebnictví v deseti zemích střední a východní Evropy. Všechny studie a analýzy CEEC Research jsou založeny výhradně na údajích získaných z pravidelných strukturovaných interview s klíčovými představiteli vybraných největších, středních i malých stavebních společností. </w:t>
      </w:r>
    </w:p>
    <w:p w:rsidR="00702F17" w:rsidRDefault="00702F17" w:rsidP="00702F17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02F17">
        <w:rPr>
          <w:rFonts w:ascii="Arial" w:hAnsi="Arial" w:cs="Arial"/>
          <w:b/>
          <w:i/>
          <w:sz w:val="16"/>
          <w:szCs w:val="16"/>
        </w:rPr>
        <w:t xml:space="preserve">CEEC Research </w:t>
      </w:r>
      <w:r>
        <w:rPr>
          <w:rFonts w:ascii="Arial" w:hAnsi="Arial" w:cs="Arial"/>
          <w:i/>
          <w:sz w:val="16"/>
          <w:szCs w:val="16"/>
        </w:rPr>
        <w:t>navíc k pravidelným a bezplatným analýzám stavebnictví také organizuje Setkání lídrů českého stavebnictví, kterých se účastní generální ředitelé nejvýznamnějších stavebních, developerských a projektových společností, prezidenti svazů, cechů a komor z oblasti stavebnictví a rovněž i ministři a nejvyšší představitelé státu vybraných zemí.</w:t>
      </w:r>
      <w:r w:rsidR="00324918">
        <w:rPr>
          <w:rFonts w:ascii="Arial" w:hAnsi="Arial" w:cs="Arial"/>
          <w:i/>
          <w:sz w:val="16"/>
          <w:szCs w:val="16"/>
        </w:rPr>
        <w:t xml:space="preserve"> </w:t>
      </w:r>
    </w:p>
    <w:p w:rsidR="007C55A2" w:rsidRDefault="007C55A2" w:rsidP="004F5B5A">
      <w:pPr>
        <w:spacing w:after="0"/>
        <w:rPr>
          <w:rFonts w:cs="Arial"/>
          <w:szCs w:val="20"/>
        </w:rPr>
      </w:pPr>
    </w:p>
    <w:p w:rsidR="007C55A2" w:rsidRDefault="007C55A2" w:rsidP="004F5B5A">
      <w:pPr>
        <w:spacing w:after="0"/>
      </w:pPr>
    </w:p>
    <w:sectPr w:rsidR="007C55A2" w:rsidSect="00CB19AF"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3F26" w:rsidRDefault="00D43F26" w:rsidP="00A76E50">
      <w:pPr>
        <w:spacing w:after="0" w:line="240" w:lineRule="auto"/>
      </w:pPr>
      <w:r>
        <w:separator/>
      </w:r>
    </w:p>
  </w:endnote>
  <w:endnote w:type="continuationSeparator" w:id="0">
    <w:p w:rsidR="00D43F26" w:rsidRDefault="00D43F26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3F26" w:rsidRDefault="00D43F26" w:rsidP="00A76E50">
      <w:pPr>
        <w:spacing w:after="0" w:line="240" w:lineRule="auto"/>
      </w:pPr>
      <w:r>
        <w:separator/>
      </w:r>
    </w:p>
  </w:footnote>
  <w:footnote w:type="continuationSeparator" w:id="0">
    <w:p w:rsidR="00D43F26" w:rsidRDefault="00D43F26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CB9" w:rsidRDefault="00785340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3990975</wp:posOffset>
          </wp:positionH>
          <wp:positionV relativeFrom="paragraph">
            <wp:posOffset>69215</wp:posOffset>
          </wp:positionV>
          <wp:extent cx="2054225" cy="426720"/>
          <wp:effectExtent l="0" t="0" r="3175" b="0"/>
          <wp:wrapSquare wrapText="bothSides"/>
          <wp:docPr id="4" name="Obrázek 4" descr="http://akdpp.cz/facelift/image/o-nas/clenstvi/KAVZ_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akdpp.cz/facelift/image/o-nas/clenstvi/KAVZ_logo.pn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4225" cy="426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12CB9"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0FE68A5B" wp14:editId="1A568606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785340" w:rsidRDefault="00785340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</w:p>
  <w:p w:rsidR="00012CB9" w:rsidRPr="00484806" w:rsidRDefault="00012CB9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60"/>
        <w:szCs w:val="60"/>
      </w:rPr>
    </w:pPr>
    <w:r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012CB9" w:rsidRDefault="00012CB9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3552"/>
    <w:rsid w:val="00012CB9"/>
    <w:rsid w:val="00016986"/>
    <w:rsid w:val="000431B3"/>
    <w:rsid w:val="00055D25"/>
    <w:rsid w:val="000633FF"/>
    <w:rsid w:val="00064569"/>
    <w:rsid w:val="00067002"/>
    <w:rsid w:val="00072FE8"/>
    <w:rsid w:val="000803AD"/>
    <w:rsid w:val="000853CA"/>
    <w:rsid w:val="00092923"/>
    <w:rsid w:val="00093D49"/>
    <w:rsid w:val="000957C6"/>
    <w:rsid w:val="000C079A"/>
    <w:rsid w:val="000C2B3C"/>
    <w:rsid w:val="000D5EC9"/>
    <w:rsid w:val="000E71B9"/>
    <w:rsid w:val="000F4820"/>
    <w:rsid w:val="001111BA"/>
    <w:rsid w:val="00116FFB"/>
    <w:rsid w:val="00121151"/>
    <w:rsid w:val="00125253"/>
    <w:rsid w:val="00196346"/>
    <w:rsid w:val="001A281A"/>
    <w:rsid w:val="001B76D5"/>
    <w:rsid w:val="001C4373"/>
    <w:rsid w:val="001C6F33"/>
    <w:rsid w:val="001D0C46"/>
    <w:rsid w:val="001D36EB"/>
    <w:rsid w:val="001D7AEC"/>
    <w:rsid w:val="001F22BC"/>
    <w:rsid w:val="00211533"/>
    <w:rsid w:val="00233D6F"/>
    <w:rsid w:val="002353AC"/>
    <w:rsid w:val="002560EF"/>
    <w:rsid w:val="0026597A"/>
    <w:rsid w:val="00271171"/>
    <w:rsid w:val="00275AD4"/>
    <w:rsid w:val="00293553"/>
    <w:rsid w:val="002A7D2C"/>
    <w:rsid w:val="002B7003"/>
    <w:rsid w:val="002C11F0"/>
    <w:rsid w:val="002C6870"/>
    <w:rsid w:val="002E1B68"/>
    <w:rsid w:val="002E1CCD"/>
    <w:rsid w:val="003008A7"/>
    <w:rsid w:val="00311BF9"/>
    <w:rsid w:val="00324918"/>
    <w:rsid w:val="00336791"/>
    <w:rsid w:val="00345FAA"/>
    <w:rsid w:val="003964E1"/>
    <w:rsid w:val="003A181B"/>
    <w:rsid w:val="003A6F3A"/>
    <w:rsid w:val="003A7A48"/>
    <w:rsid w:val="003B2E18"/>
    <w:rsid w:val="003D48F8"/>
    <w:rsid w:val="003E77A1"/>
    <w:rsid w:val="0043543D"/>
    <w:rsid w:val="004370C0"/>
    <w:rsid w:val="00437237"/>
    <w:rsid w:val="00441736"/>
    <w:rsid w:val="004462F7"/>
    <w:rsid w:val="0046114D"/>
    <w:rsid w:val="00466AB9"/>
    <w:rsid w:val="00471F4D"/>
    <w:rsid w:val="004861FD"/>
    <w:rsid w:val="004907FF"/>
    <w:rsid w:val="00497993"/>
    <w:rsid w:val="004B2FEB"/>
    <w:rsid w:val="004C14E3"/>
    <w:rsid w:val="004C778E"/>
    <w:rsid w:val="004F5B5A"/>
    <w:rsid w:val="0052175E"/>
    <w:rsid w:val="00532BE3"/>
    <w:rsid w:val="0054668A"/>
    <w:rsid w:val="005556C1"/>
    <w:rsid w:val="005677BC"/>
    <w:rsid w:val="005733C7"/>
    <w:rsid w:val="005912F8"/>
    <w:rsid w:val="005A4048"/>
    <w:rsid w:val="005A498E"/>
    <w:rsid w:val="005D15C7"/>
    <w:rsid w:val="005F436D"/>
    <w:rsid w:val="00605FD4"/>
    <w:rsid w:val="00625010"/>
    <w:rsid w:val="00665B5E"/>
    <w:rsid w:val="006718DD"/>
    <w:rsid w:val="00672B58"/>
    <w:rsid w:val="00672B96"/>
    <w:rsid w:val="00684B67"/>
    <w:rsid w:val="006A13CF"/>
    <w:rsid w:val="006A1F17"/>
    <w:rsid w:val="006A231E"/>
    <w:rsid w:val="006A594B"/>
    <w:rsid w:val="006C5597"/>
    <w:rsid w:val="006C735B"/>
    <w:rsid w:val="006F0F71"/>
    <w:rsid w:val="006F2C05"/>
    <w:rsid w:val="00702F17"/>
    <w:rsid w:val="00710EF9"/>
    <w:rsid w:val="0071470C"/>
    <w:rsid w:val="007151ED"/>
    <w:rsid w:val="00721DB4"/>
    <w:rsid w:val="0074021E"/>
    <w:rsid w:val="007430B7"/>
    <w:rsid w:val="00744A97"/>
    <w:rsid w:val="00752F10"/>
    <w:rsid w:val="00756A20"/>
    <w:rsid w:val="00763269"/>
    <w:rsid w:val="0077612F"/>
    <w:rsid w:val="00785340"/>
    <w:rsid w:val="00785B22"/>
    <w:rsid w:val="007A4BC1"/>
    <w:rsid w:val="007B2BC0"/>
    <w:rsid w:val="007C55A2"/>
    <w:rsid w:val="007D51D0"/>
    <w:rsid w:val="007E2491"/>
    <w:rsid w:val="00875B48"/>
    <w:rsid w:val="0088009B"/>
    <w:rsid w:val="0088723F"/>
    <w:rsid w:val="00892803"/>
    <w:rsid w:val="008A1918"/>
    <w:rsid w:val="008E4090"/>
    <w:rsid w:val="008F4D01"/>
    <w:rsid w:val="00906B01"/>
    <w:rsid w:val="00930100"/>
    <w:rsid w:val="009443F0"/>
    <w:rsid w:val="009452AD"/>
    <w:rsid w:val="00965531"/>
    <w:rsid w:val="00984994"/>
    <w:rsid w:val="00985694"/>
    <w:rsid w:val="009A1D73"/>
    <w:rsid w:val="009B41D2"/>
    <w:rsid w:val="009C099A"/>
    <w:rsid w:val="009C265B"/>
    <w:rsid w:val="009F318A"/>
    <w:rsid w:val="00A13B5D"/>
    <w:rsid w:val="00A13BD2"/>
    <w:rsid w:val="00A26852"/>
    <w:rsid w:val="00A32EEE"/>
    <w:rsid w:val="00A3482C"/>
    <w:rsid w:val="00A45442"/>
    <w:rsid w:val="00A5482F"/>
    <w:rsid w:val="00A76E50"/>
    <w:rsid w:val="00A84CE9"/>
    <w:rsid w:val="00AA1387"/>
    <w:rsid w:val="00AB2DE8"/>
    <w:rsid w:val="00AC22A3"/>
    <w:rsid w:val="00AD0157"/>
    <w:rsid w:val="00AE1035"/>
    <w:rsid w:val="00AF4BFC"/>
    <w:rsid w:val="00B30D0D"/>
    <w:rsid w:val="00B42338"/>
    <w:rsid w:val="00B47BF2"/>
    <w:rsid w:val="00B64398"/>
    <w:rsid w:val="00B660F0"/>
    <w:rsid w:val="00BA097C"/>
    <w:rsid w:val="00BB3010"/>
    <w:rsid w:val="00BC3888"/>
    <w:rsid w:val="00BD7803"/>
    <w:rsid w:val="00BE0FB2"/>
    <w:rsid w:val="00BE4C87"/>
    <w:rsid w:val="00C07B25"/>
    <w:rsid w:val="00C1456C"/>
    <w:rsid w:val="00C231A7"/>
    <w:rsid w:val="00C231F2"/>
    <w:rsid w:val="00C57142"/>
    <w:rsid w:val="00C66B21"/>
    <w:rsid w:val="00C91307"/>
    <w:rsid w:val="00C945F2"/>
    <w:rsid w:val="00C968F2"/>
    <w:rsid w:val="00CB19AF"/>
    <w:rsid w:val="00CB5E6C"/>
    <w:rsid w:val="00CC3C58"/>
    <w:rsid w:val="00CD2EFD"/>
    <w:rsid w:val="00CE177F"/>
    <w:rsid w:val="00D14C0C"/>
    <w:rsid w:val="00D3106C"/>
    <w:rsid w:val="00D43F26"/>
    <w:rsid w:val="00D52AE5"/>
    <w:rsid w:val="00D601E1"/>
    <w:rsid w:val="00D6587A"/>
    <w:rsid w:val="00D8719A"/>
    <w:rsid w:val="00DB21E5"/>
    <w:rsid w:val="00DE5DFF"/>
    <w:rsid w:val="00DE6B4C"/>
    <w:rsid w:val="00E15E35"/>
    <w:rsid w:val="00E22B32"/>
    <w:rsid w:val="00E27F64"/>
    <w:rsid w:val="00E35919"/>
    <w:rsid w:val="00E50CC2"/>
    <w:rsid w:val="00E6747F"/>
    <w:rsid w:val="00E758AE"/>
    <w:rsid w:val="00E907AC"/>
    <w:rsid w:val="00E9100F"/>
    <w:rsid w:val="00E9337A"/>
    <w:rsid w:val="00EA4F78"/>
    <w:rsid w:val="00EB2EFB"/>
    <w:rsid w:val="00EC008B"/>
    <w:rsid w:val="00EC5FD4"/>
    <w:rsid w:val="00ED76BA"/>
    <w:rsid w:val="00F20E32"/>
    <w:rsid w:val="00F21FD4"/>
    <w:rsid w:val="00F24528"/>
    <w:rsid w:val="00F5151A"/>
    <w:rsid w:val="00F740B9"/>
    <w:rsid w:val="00F94DB2"/>
    <w:rsid w:val="00F976FB"/>
    <w:rsid w:val="00FE1F07"/>
    <w:rsid w:val="00FF07BB"/>
    <w:rsid w:val="00FF1841"/>
    <w:rsid w:val="00FF1E26"/>
    <w:rsid w:val="00FF4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hart" Target="charts/chart2.xml"/><Relationship Id="rId4" Type="http://schemas.openxmlformats.org/officeDocument/2006/relationships/settings" Target="settings.xml"/><Relationship Id="rId9" Type="http://schemas.openxmlformats.org/officeDocument/2006/relationships/chart" Target="charts/chart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http://akdpp.cz/facelift/image/o-nas/clenstvi/KAVZ_logo.png" TargetMode="External"/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1.xml"/><Relationship Id="rId2" Type="http://schemas.openxmlformats.org/officeDocument/2006/relationships/oleObject" Target="file:///D:\VZ3\ozn_celkem2014.xls" TargetMode="External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2.xml"/><Relationship Id="rId2" Type="http://schemas.openxmlformats.org/officeDocument/2006/relationships/oleObject" Target="file:///D:\VZ3\ozn_celkem2014.xls" TargetMode="External"/><Relationship Id="rId1" Type="http://schemas.openxmlformats.org/officeDocument/2006/relationships/themeOverride" Target="../theme/themeOverrid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cs-CZ" sz="1000" b="1" i="0" u="none" strike="noStrike" baseline="0">
                <a:solidFill>
                  <a:srgbClr val="000000"/>
                </a:solidFill>
                <a:latin typeface="Arial"/>
                <a:cs typeface="Arial"/>
              </a:rPr>
              <a:t>Oznámení o zakázkce (počet)</a:t>
            </a:r>
          </a:p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cs-CZ" sz="1000" b="0" i="0" u="none" strike="noStrike" baseline="0">
                <a:solidFill>
                  <a:srgbClr val="000000"/>
                </a:solidFill>
                <a:latin typeface="Arial"/>
                <a:cs typeface="Arial"/>
              </a:rPr>
              <a:t>Struktura v 1. pololetí 2014 podle typu zadavatele</a:t>
            </a:r>
          </a:p>
        </c:rich>
      </c:tx>
      <c:layout>
        <c:manualLayout>
          <c:xMode val="edge"/>
          <c:yMode val="edge"/>
          <c:x val="0.14399632757598849"/>
          <c:y val="0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22767014588292742"/>
          <c:y val="0.33952194991892798"/>
          <c:w val="0.56336039390425041"/>
          <c:h val="0.66047805008107197"/>
        </c:manualLayout>
      </c:layout>
      <c:pie3DChart>
        <c:varyColors val="1"/>
        <c:ser>
          <c:idx val="0"/>
          <c:order val="0"/>
          <c:spPr>
            <a:ln>
              <a:solidFill>
                <a:schemeClr val="bg1">
                  <a:lumMod val="50000"/>
                </a:schemeClr>
              </a:solidFill>
            </a:ln>
          </c:spPr>
          <c:dPt>
            <c:idx val="0"/>
            <c:bubble3D val="0"/>
            <c:spPr>
              <a:solidFill>
                <a:srgbClr val="FFCC66"/>
              </a:solidFill>
              <a:ln>
                <a:solidFill>
                  <a:schemeClr val="bg1">
                    <a:lumMod val="50000"/>
                  </a:schemeClr>
                </a:solidFill>
              </a:ln>
            </c:spPr>
          </c:dPt>
          <c:dPt>
            <c:idx val="1"/>
            <c:bubble3D val="0"/>
            <c:spPr>
              <a:solidFill>
                <a:srgbClr val="99FF99"/>
              </a:solidFill>
              <a:ln>
                <a:solidFill>
                  <a:schemeClr val="bg1">
                    <a:lumMod val="50000"/>
                  </a:schemeClr>
                </a:solidFill>
              </a:ln>
            </c:spPr>
          </c:dPt>
          <c:dPt>
            <c:idx val="2"/>
            <c:bubble3D val="0"/>
            <c:spPr>
              <a:solidFill>
                <a:srgbClr val="99CCFF"/>
              </a:solidFill>
              <a:ln>
                <a:solidFill>
                  <a:schemeClr val="bg1">
                    <a:lumMod val="50000"/>
                  </a:schemeClr>
                </a:solidFill>
              </a:ln>
            </c:spPr>
          </c:dPt>
          <c:dPt>
            <c:idx val="3"/>
            <c:bubble3D val="0"/>
            <c:spPr>
              <a:solidFill>
                <a:srgbClr val="CC99FF"/>
              </a:solidFill>
              <a:ln>
                <a:solidFill>
                  <a:schemeClr val="bg1">
                    <a:lumMod val="50000"/>
                  </a:schemeClr>
                </a:solidFill>
              </a:ln>
            </c:spPr>
          </c:dPt>
          <c:dLbls>
            <c:txPr>
              <a:bodyPr/>
              <a:lstStyle/>
              <a:p>
                <a:pPr>
                  <a:defRPr sz="700" b="0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endParaRPr lang="cs-CZ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druh!$C$26:$F$26</c:f>
              <c:strCache>
                <c:ptCount val="4"/>
                <c:pt idx="0">
                  <c:v>ministerstva a další celostátní úřady</c:v>
                </c:pt>
                <c:pt idx="1">
                  <c:v>ostatní subjekty</c:v>
                </c:pt>
                <c:pt idx="2">
                  <c:v>regionální úřady a sdružení</c:v>
                </c:pt>
                <c:pt idx="3">
                  <c:v>státní podniky</c:v>
                </c:pt>
              </c:strCache>
            </c:strRef>
          </c:cat>
          <c:val>
            <c:numRef>
              <c:f>druh!$C$36:$F$36</c:f>
              <c:numCache>
                <c:formatCode>0.0</c:formatCode>
                <c:ptCount val="4"/>
                <c:pt idx="0">
                  <c:v>14.434180138568129</c:v>
                </c:pt>
                <c:pt idx="1">
                  <c:v>39.168591224018471</c:v>
                </c:pt>
                <c:pt idx="2">
                  <c:v>42.217090069284062</c:v>
                </c:pt>
                <c:pt idx="3">
                  <c:v>4.1801385681293306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cs-CZ"/>
    </a:p>
  </c:txPr>
  <c:externalData r:id="rId2">
    <c:autoUpdate val="0"/>
  </c:externalData>
  <c:userShapes r:id="rId3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cs-CZ" sz="1000" b="1" i="0" u="none" strike="noStrike" baseline="0">
                <a:solidFill>
                  <a:srgbClr val="000000"/>
                </a:solidFill>
                <a:latin typeface="Arial"/>
                <a:cs typeface="Arial"/>
              </a:rPr>
              <a:t>Oznámení o zakázkce (hodnota)</a:t>
            </a:r>
          </a:p>
          <a:p>
            <a:pPr>
              <a:defRPr sz="1000" b="0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r>
              <a:rPr lang="cs-CZ" sz="1000" b="0" i="0" u="none" strike="noStrike" baseline="0">
                <a:solidFill>
                  <a:srgbClr val="000000"/>
                </a:solidFill>
                <a:latin typeface="Arial"/>
                <a:cs typeface="Arial"/>
              </a:rPr>
              <a:t>Struktura v 1. pololetí 2014 podle typu zadavatele</a:t>
            </a:r>
          </a:p>
        </c:rich>
      </c:tx>
      <c:layout>
        <c:manualLayout>
          <c:xMode val="edge"/>
          <c:yMode val="edge"/>
          <c:x val="0.15834340650029941"/>
          <c:y val="0"/>
        </c:manualLayout>
      </c:layout>
      <c:overlay val="0"/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22767014588292742"/>
          <c:y val="0.33952194991892798"/>
          <c:w val="0.56336039390425041"/>
          <c:h val="0.66047805008107197"/>
        </c:manualLayout>
      </c:layout>
      <c:pie3DChart>
        <c:varyColors val="1"/>
        <c:ser>
          <c:idx val="0"/>
          <c:order val="0"/>
          <c:spPr>
            <a:ln>
              <a:solidFill>
                <a:schemeClr val="bg1">
                  <a:lumMod val="50000"/>
                </a:schemeClr>
              </a:solidFill>
            </a:ln>
          </c:spPr>
          <c:dPt>
            <c:idx val="0"/>
            <c:bubble3D val="0"/>
            <c:spPr>
              <a:solidFill>
                <a:srgbClr val="FF9933"/>
              </a:solidFill>
              <a:ln>
                <a:solidFill>
                  <a:schemeClr val="bg1">
                    <a:lumMod val="50000"/>
                  </a:schemeClr>
                </a:solidFill>
              </a:ln>
            </c:spPr>
          </c:dPt>
          <c:dPt>
            <c:idx val="1"/>
            <c:bubble3D val="0"/>
            <c:spPr>
              <a:solidFill>
                <a:srgbClr val="92D050"/>
              </a:solidFill>
              <a:ln>
                <a:solidFill>
                  <a:schemeClr val="bg1">
                    <a:lumMod val="50000"/>
                  </a:schemeClr>
                </a:solidFill>
              </a:ln>
            </c:spPr>
          </c:dPt>
          <c:dPt>
            <c:idx val="2"/>
            <c:bubble3D val="0"/>
            <c:spPr>
              <a:solidFill>
                <a:srgbClr val="0070C0"/>
              </a:solidFill>
              <a:ln>
                <a:solidFill>
                  <a:schemeClr val="bg1">
                    <a:lumMod val="50000"/>
                  </a:schemeClr>
                </a:solidFill>
              </a:ln>
            </c:spPr>
          </c:dPt>
          <c:dPt>
            <c:idx val="3"/>
            <c:bubble3D val="0"/>
            <c:spPr>
              <a:solidFill>
                <a:srgbClr val="7030A0"/>
              </a:solidFill>
              <a:ln>
                <a:solidFill>
                  <a:schemeClr val="bg1">
                    <a:lumMod val="50000"/>
                  </a:schemeClr>
                </a:solidFill>
              </a:ln>
            </c:spPr>
          </c:dPt>
          <c:dLbls>
            <c:txPr>
              <a:bodyPr/>
              <a:lstStyle/>
              <a:p>
                <a:pPr>
                  <a:defRPr sz="700" b="0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endParaRPr lang="cs-CZ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eparator>
</c:separator>
            <c:showLeaderLines val="1"/>
          </c:dLbls>
          <c:cat>
            <c:strRef>
              <c:f>druh!$C$26:$F$26</c:f>
              <c:strCache>
                <c:ptCount val="4"/>
                <c:pt idx="0">
                  <c:v>ministerstva a další celostátní úřady</c:v>
                </c:pt>
                <c:pt idx="1">
                  <c:v>ostatní subjekty</c:v>
                </c:pt>
                <c:pt idx="2">
                  <c:v>regionální úřady a sdružení</c:v>
                </c:pt>
                <c:pt idx="3">
                  <c:v>státní podniky</c:v>
                </c:pt>
              </c:strCache>
            </c:strRef>
          </c:cat>
          <c:val>
            <c:numRef>
              <c:f>druh!$H$36:$K$36</c:f>
              <c:numCache>
                <c:formatCode>0.0</c:formatCode>
                <c:ptCount val="4"/>
                <c:pt idx="0">
                  <c:v>20.918906301736307</c:v>
                </c:pt>
                <c:pt idx="1">
                  <c:v>41.199432334372297</c:v>
                </c:pt>
                <c:pt idx="2">
                  <c:v>33.205227314179389</c:v>
                </c:pt>
                <c:pt idx="3">
                  <c:v>4.6764340497120402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cs-CZ"/>
    </a:p>
  </c:txPr>
  <c:externalData r:id="rId2">
    <c:autoUpdate val="0"/>
  </c:externalData>
  <c:userShapes r:id="rId3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0.21065</cdr:x>
      <cdr:y>0.23052</cdr:y>
    </cdr:from>
    <cdr:to>
      <cdr:x>0.81646</cdr:x>
      <cdr:y>0.30804</cdr:y>
    </cdr:to>
    <cdr:sp macro="" textlink="">
      <cdr:nvSpPr>
        <cdr:cNvPr id="2" name="Text Box 1"/>
        <cdr:cNvSpPr txBox="1">
          <a:spLocks xmlns:a="http://schemas.openxmlformats.org/drawingml/2006/main" noChangeArrowheads="1"/>
        </cdr:cNvSpPr>
      </cdr:nvSpPr>
      <cdr:spPr bwMode="auto">
        <a:xfrm xmlns:a="http://schemas.openxmlformats.org/drawingml/2006/main">
          <a:off x="559400" y="746822"/>
          <a:ext cx="1608771" cy="251147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>
          <a:noFill/>
        </a:ln>
        <a:extLst xmlns:a="http://schemas.openxmlformats.org/drawingml/2006/main"/>
      </cdr:spPr>
      <cdr:txBody>
        <a:bodyPr xmlns:a="http://schemas.openxmlformats.org/drawingml/2006/main" wrap="square" lIns="0" tIns="22860" rIns="27432" bIns="0" anchor="t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pPr algn="ctr" rtl="0">
            <a:defRPr sz="1000"/>
          </a:pPr>
          <a:r>
            <a:rPr lang="cs-CZ" sz="800" b="0" i="1" u="none" strike="noStrike" baseline="0">
              <a:solidFill>
                <a:srgbClr val="000000"/>
              </a:solidFill>
              <a:latin typeface="Arial"/>
              <a:cs typeface="Arial"/>
            </a:rPr>
            <a:t>veřejné zakázky celkem</a:t>
          </a:r>
          <a:endParaRPr lang="cs-CZ"/>
        </a:p>
      </cdr:txBody>
    </cdr: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0.22263</cdr:x>
      <cdr:y>0.22315</cdr:y>
    </cdr:from>
    <cdr:to>
      <cdr:x>0.82844</cdr:x>
      <cdr:y>0.30067</cdr:y>
    </cdr:to>
    <cdr:sp macro="" textlink="">
      <cdr:nvSpPr>
        <cdr:cNvPr id="2" name="Text Box 1"/>
        <cdr:cNvSpPr txBox="1">
          <a:spLocks xmlns:a="http://schemas.openxmlformats.org/drawingml/2006/main" noChangeArrowheads="1"/>
        </cdr:cNvSpPr>
      </cdr:nvSpPr>
      <cdr:spPr bwMode="auto">
        <a:xfrm xmlns:a="http://schemas.openxmlformats.org/drawingml/2006/main">
          <a:off x="591206" y="722967"/>
          <a:ext cx="1608771" cy="251147"/>
        </a:xfrm>
        <a:prstGeom xmlns:a="http://schemas.openxmlformats.org/drawingml/2006/main" prst="rect">
          <a:avLst/>
        </a:prstGeom>
        <a:noFill xmlns:a="http://schemas.openxmlformats.org/drawingml/2006/main"/>
        <a:ln xmlns:a="http://schemas.openxmlformats.org/drawingml/2006/main">
          <a:noFill/>
        </a:ln>
        <a:extLst xmlns:a="http://schemas.openxmlformats.org/drawingml/2006/main"/>
      </cdr:spPr>
      <cdr:txBody>
        <a:bodyPr xmlns:a="http://schemas.openxmlformats.org/drawingml/2006/main" wrap="square" lIns="0" tIns="22860" rIns="27432" bIns="0" anchor="t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pPr algn="ctr" rtl="0">
            <a:defRPr sz="1000"/>
          </a:pPr>
          <a:r>
            <a:rPr lang="cs-CZ" sz="800" b="0" i="1" u="none" strike="noStrike" baseline="0">
              <a:solidFill>
                <a:srgbClr val="000000"/>
              </a:solidFill>
              <a:latin typeface="Arial"/>
              <a:cs typeface="Arial"/>
            </a:rPr>
            <a:t>veřejné zakázky celkem</a:t>
          </a:r>
          <a:endParaRPr lang="cs-CZ"/>
        </a:p>
      </cdr:txBody>
    </cdr:sp>
  </cdr:relSizeAnchor>
</c:userShape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Kancelář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Kancelář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Kancelář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Kancelář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Kancelář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Kancelář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900219-B06A-420F-8301-B86C509EA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5</Pages>
  <Words>955</Words>
  <Characters>5637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6579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</cp:lastModifiedBy>
  <cp:revision>10</cp:revision>
  <dcterms:created xsi:type="dcterms:W3CDTF">2014-08-05T08:26:00Z</dcterms:created>
  <dcterms:modified xsi:type="dcterms:W3CDTF">2014-08-14T06:53:00Z</dcterms:modified>
</cp:coreProperties>
</file>