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E50" w:rsidRDefault="00A76E50" w:rsidP="004F5B5A">
      <w:pPr>
        <w:spacing w:after="0" w:line="288" w:lineRule="auto"/>
        <w:jc w:val="center"/>
        <w:rPr>
          <w:rFonts w:ascii="Arial" w:eastAsia="SimSun" w:hAnsi="Arial" w:cs="Arial"/>
          <w:b/>
          <w:bCs/>
          <w:kern w:val="1"/>
          <w:sz w:val="32"/>
          <w:szCs w:val="32"/>
        </w:rPr>
      </w:pPr>
    </w:p>
    <w:p w:rsidR="00016986" w:rsidRDefault="006718DD" w:rsidP="004F5B5A">
      <w:pPr>
        <w:spacing w:after="0" w:line="360" w:lineRule="auto"/>
        <w:jc w:val="center"/>
        <w:rPr>
          <w:rFonts w:ascii="Arial" w:eastAsia="SimSun" w:hAnsi="Arial" w:cs="Arial"/>
          <w:b/>
          <w:bCs/>
          <w:kern w:val="1"/>
          <w:sz w:val="32"/>
          <w:szCs w:val="32"/>
        </w:rPr>
      </w:pPr>
      <w:r>
        <w:rPr>
          <w:rFonts w:ascii="Arial" w:eastAsia="SimSun" w:hAnsi="Arial" w:cs="Arial"/>
          <w:b/>
          <w:bCs/>
          <w:kern w:val="1"/>
          <w:sz w:val="32"/>
          <w:szCs w:val="32"/>
        </w:rPr>
        <w:t>Pr</w:t>
      </w:r>
      <w:r w:rsidR="003A6F3A">
        <w:rPr>
          <w:rFonts w:ascii="Arial" w:eastAsia="SimSun" w:hAnsi="Arial" w:cs="Arial"/>
          <w:b/>
          <w:bCs/>
          <w:kern w:val="1"/>
          <w:sz w:val="32"/>
          <w:szCs w:val="32"/>
        </w:rPr>
        <w:t>ací</w:t>
      </w:r>
      <w:r>
        <w:rPr>
          <w:rFonts w:ascii="Arial" w:eastAsia="SimSun" w:hAnsi="Arial" w:cs="Arial"/>
          <w:b/>
          <w:bCs/>
          <w:kern w:val="1"/>
          <w:sz w:val="32"/>
          <w:szCs w:val="32"/>
        </w:rPr>
        <w:t xml:space="preserve"> pro projektanty </w:t>
      </w:r>
      <w:r w:rsidR="000853CA">
        <w:rPr>
          <w:rFonts w:ascii="Arial" w:eastAsia="SimSun" w:hAnsi="Arial" w:cs="Arial"/>
          <w:b/>
          <w:bCs/>
          <w:kern w:val="1"/>
          <w:sz w:val="32"/>
          <w:szCs w:val="32"/>
        </w:rPr>
        <w:t xml:space="preserve">se vypisuje </w:t>
      </w:r>
      <w:r>
        <w:rPr>
          <w:rFonts w:ascii="Arial" w:eastAsia="SimSun" w:hAnsi="Arial" w:cs="Arial"/>
          <w:b/>
          <w:bCs/>
          <w:kern w:val="1"/>
          <w:sz w:val="32"/>
          <w:szCs w:val="32"/>
        </w:rPr>
        <w:t>víc</w:t>
      </w:r>
      <w:r w:rsidR="000853CA">
        <w:rPr>
          <w:rFonts w:ascii="Arial" w:eastAsia="SimSun" w:hAnsi="Arial" w:cs="Arial"/>
          <w:b/>
          <w:bCs/>
          <w:kern w:val="1"/>
          <w:sz w:val="32"/>
          <w:szCs w:val="32"/>
        </w:rPr>
        <w:t>e</w:t>
      </w:r>
      <w:r>
        <w:rPr>
          <w:rFonts w:ascii="Arial" w:eastAsia="SimSun" w:hAnsi="Arial" w:cs="Arial"/>
          <w:b/>
          <w:bCs/>
          <w:kern w:val="1"/>
          <w:sz w:val="32"/>
          <w:szCs w:val="32"/>
        </w:rPr>
        <w:t>, zadávání zakázek ale vázne</w:t>
      </w:r>
    </w:p>
    <w:p w:rsidR="00E27F64" w:rsidRPr="0026597A" w:rsidRDefault="00E27F64" w:rsidP="004F5B5A">
      <w:pPr>
        <w:spacing w:after="0" w:line="360" w:lineRule="auto"/>
        <w:jc w:val="center"/>
        <w:rPr>
          <w:rFonts w:ascii="Arial" w:eastAsia="SimSun" w:hAnsi="Arial" w:cs="Arial"/>
          <w:b/>
          <w:bCs/>
          <w:kern w:val="1"/>
          <w:sz w:val="32"/>
          <w:szCs w:val="32"/>
        </w:rPr>
      </w:pPr>
    </w:p>
    <w:p w:rsidR="00B64398" w:rsidRPr="0026597A" w:rsidRDefault="009C099A" w:rsidP="004F5B5A">
      <w:pPr>
        <w:spacing w:after="0" w:line="360" w:lineRule="auto"/>
        <w:jc w:val="both"/>
        <w:rPr>
          <w:rFonts w:ascii="Arial" w:eastAsia="SimSun" w:hAnsi="Arial" w:cs="Arial"/>
          <w:b/>
          <w:kern w:val="1"/>
        </w:rPr>
      </w:pPr>
      <w:r>
        <w:rPr>
          <w:rFonts w:ascii="Arial" w:eastAsia="SimSun" w:hAnsi="Arial" w:cs="Arial"/>
          <w:b/>
          <w:kern w:val="1"/>
        </w:rPr>
        <w:t>Praha 1</w:t>
      </w:r>
      <w:r w:rsidR="00BA097C">
        <w:rPr>
          <w:rFonts w:ascii="Arial" w:eastAsia="SimSun" w:hAnsi="Arial" w:cs="Arial"/>
          <w:b/>
          <w:kern w:val="1"/>
        </w:rPr>
        <w:t>5</w:t>
      </w:r>
      <w:r w:rsidR="006718DD">
        <w:rPr>
          <w:rFonts w:ascii="Arial" w:eastAsia="SimSun" w:hAnsi="Arial" w:cs="Arial"/>
          <w:b/>
          <w:kern w:val="1"/>
        </w:rPr>
        <w:t>. července</w:t>
      </w:r>
      <w:r w:rsidR="00C968F2" w:rsidRPr="0026597A">
        <w:rPr>
          <w:rFonts w:ascii="Arial" w:eastAsia="SimSun" w:hAnsi="Arial" w:cs="Arial"/>
          <w:b/>
          <w:kern w:val="1"/>
        </w:rPr>
        <w:t xml:space="preserve"> </w:t>
      </w:r>
      <w:r w:rsidR="002A7D2C" w:rsidRPr="0026597A">
        <w:rPr>
          <w:rFonts w:ascii="Arial" w:eastAsia="SimSun" w:hAnsi="Arial" w:cs="Arial"/>
          <w:b/>
          <w:kern w:val="1"/>
        </w:rPr>
        <w:t>–</w:t>
      </w:r>
      <w:r w:rsidR="00C968F2" w:rsidRPr="0026597A">
        <w:rPr>
          <w:rFonts w:ascii="Arial" w:eastAsia="SimSun" w:hAnsi="Arial" w:cs="Arial"/>
          <w:b/>
          <w:kern w:val="1"/>
        </w:rPr>
        <w:t xml:space="preserve"> </w:t>
      </w:r>
      <w:r w:rsidR="009C265B">
        <w:rPr>
          <w:rFonts w:ascii="Arial" w:eastAsia="SimSun" w:hAnsi="Arial" w:cs="Arial"/>
          <w:b/>
          <w:kern w:val="1"/>
        </w:rPr>
        <w:t>Projektové fi</w:t>
      </w:r>
      <w:r w:rsidR="000853CA">
        <w:rPr>
          <w:rFonts w:ascii="Arial" w:eastAsia="SimSun" w:hAnsi="Arial" w:cs="Arial"/>
          <w:b/>
          <w:kern w:val="1"/>
        </w:rPr>
        <w:t>rmy se mohou těšit na potenciální nárůst objemu pr</w:t>
      </w:r>
      <w:r w:rsidR="003A6F3A">
        <w:rPr>
          <w:rFonts w:ascii="Arial" w:eastAsia="SimSun" w:hAnsi="Arial" w:cs="Arial"/>
          <w:b/>
          <w:kern w:val="1"/>
        </w:rPr>
        <w:t>ací.</w:t>
      </w:r>
      <w:r w:rsidR="000853CA">
        <w:rPr>
          <w:rFonts w:ascii="Arial" w:eastAsia="SimSun" w:hAnsi="Arial" w:cs="Arial"/>
          <w:b/>
          <w:kern w:val="1"/>
        </w:rPr>
        <w:t xml:space="preserve"> P</w:t>
      </w:r>
      <w:r w:rsidR="009C265B">
        <w:rPr>
          <w:rFonts w:ascii="Arial" w:eastAsia="SimSun" w:hAnsi="Arial" w:cs="Arial"/>
          <w:b/>
          <w:kern w:val="1"/>
        </w:rPr>
        <w:t xml:space="preserve">očet </w:t>
      </w:r>
      <w:r w:rsidR="000853CA">
        <w:rPr>
          <w:rFonts w:ascii="Arial" w:eastAsia="SimSun" w:hAnsi="Arial" w:cs="Arial"/>
          <w:b/>
          <w:kern w:val="1"/>
        </w:rPr>
        <w:t xml:space="preserve">vyhlášených </w:t>
      </w:r>
      <w:r w:rsidR="009C265B">
        <w:rPr>
          <w:rFonts w:ascii="Arial" w:eastAsia="SimSun" w:hAnsi="Arial" w:cs="Arial"/>
          <w:b/>
          <w:kern w:val="1"/>
        </w:rPr>
        <w:t>zakázek i jejich hodnota o</w:t>
      </w:r>
      <w:r w:rsidR="003A6F3A">
        <w:rPr>
          <w:rFonts w:ascii="Arial" w:eastAsia="SimSun" w:hAnsi="Arial" w:cs="Arial"/>
          <w:b/>
          <w:kern w:val="1"/>
        </w:rPr>
        <w:t>d</w:t>
      </w:r>
      <w:r w:rsidR="009C265B">
        <w:rPr>
          <w:rFonts w:ascii="Arial" w:eastAsia="SimSun" w:hAnsi="Arial" w:cs="Arial"/>
          <w:b/>
          <w:kern w:val="1"/>
        </w:rPr>
        <w:t xml:space="preserve"> začátku roku roste. </w:t>
      </w:r>
      <w:r w:rsidR="000853CA">
        <w:rPr>
          <w:rFonts w:ascii="Arial" w:eastAsia="SimSun" w:hAnsi="Arial" w:cs="Arial"/>
          <w:b/>
          <w:kern w:val="1"/>
        </w:rPr>
        <w:t xml:space="preserve">Problémem ale zůstává realizace výběrového řízení a samotné zadání zakázek, které </w:t>
      </w:r>
      <w:r>
        <w:rPr>
          <w:rFonts w:ascii="Arial" w:eastAsia="SimSun" w:hAnsi="Arial" w:cs="Arial"/>
          <w:b/>
          <w:kern w:val="1"/>
        </w:rPr>
        <w:t xml:space="preserve">naopak </w:t>
      </w:r>
      <w:r w:rsidR="000853CA">
        <w:rPr>
          <w:rFonts w:ascii="Arial" w:eastAsia="SimSun" w:hAnsi="Arial" w:cs="Arial"/>
          <w:b/>
          <w:kern w:val="1"/>
        </w:rPr>
        <w:t xml:space="preserve">vázne. </w:t>
      </w:r>
      <w:r w:rsidR="005A4048" w:rsidRPr="0026597A">
        <w:rPr>
          <w:rFonts w:ascii="Arial" w:eastAsia="SimSun" w:hAnsi="Arial" w:cs="Arial"/>
          <w:b/>
          <w:kern w:val="1"/>
        </w:rPr>
        <w:t>Vyplývá to z</w:t>
      </w:r>
      <w:r w:rsidR="00437237">
        <w:rPr>
          <w:rFonts w:ascii="Arial" w:eastAsia="SimSun" w:hAnsi="Arial" w:cs="Arial"/>
          <w:b/>
          <w:kern w:val="1"/>
        </w:rPr>
        <w:t> </w:t>
      </w:r>
      <w:r w:rsidR="000C079A" w:rsidRPr="0026597A">
        <w:rPr>
          <w:rFonts w:ascii="Arial" w:eastAsia="SimSun" w:hAnsi="Arial" w:cs="Arial"/>
          <w:b/>
          <w:kern w:val="1"/>
        </w:rPr>
        <w:t>nejnovější</w:t>
      </w:r>
      <w:r w:rsidR="00437237">
        <w:rPr>
          <w:rFonts w:ascii="Arial" w:eastAsia="SimSun" w:hAnsi="Arial" w:cs="Arial"/>
          <w:b/>
          <w:kern w:val="1"/>
        </w:rPr>
        <w:t xml:space="preserve"> analýzy </w:t>
      </w:r>
      <w:r w:rsidR="00F20E32" w:rsidRPr="0026597A">
        <w:rPr>
          <w:rFonts w:ascii="Arial" w:eastAsia="SimSun" w:hAnsi="Arial" w:cs="Arial"/>
          <w:b/>
          <w:kern w:val="1"/>
        </w:rPr>
        <w:t xml:space="preserve">zpracované </w:t>
      </w:r>
      <w:r w:rsidR="005A4048" w:rsidRPr="0026597A">
        <w:rPr>
          <w:rFonts w:ascii="Arial" w:eastAsia="SimSun" w:hAnsi="Arial" w:cs="Arial"/>
          <w:b/>
          <w:kern w:val="1"/>
        </w:rPr>
        <w:t>analytick</w:t>
      </w:r>
      <w:r w:rsidR="00F20E32">
        <w:rPr>
          <w:rFonts w:ascii="Arial" w:eastAsia="SimSun" w:hAnsi="Arial" w:cs="Arial"/>
          <w:b/>
          <w:kern w:val="1"/>
        </w:rPr>
        <w:t>ou</w:t>
      </w:r>
      <w:r w:rsidR="005A4048" w:rsidRPr="0026597A">
        <w:rPr>
          <w:rFonts w:ascii="Arial" w:eastAsia="SimSun" w:hAnsi="Arial" w:cs="Arial"/>
          <w:b/>
          <w:kern w:val="1"/>
        </w:rPr>
        <w:t xml:space="preserve"> společnost</w:t>
      </w:r>
      <w:r w:rsidR="00F20E32">
        <w:rPr>
          <w:rFonts w:ascii="Arial" w:eastAsia="SimSun" w:hAnsi="Arial" w:cs="Arial"/>
          <w:b/>
          <w:kern w:val="1"/>
        </w:rPr>
        <w:t>í</w:t>
      </w:r>
      <w:r w:rsidR="005A4048" w:rsidRPr="0026597A">
        <w:rPr>
          <w:rFonts w:ascii="Arial" w:eastAsia="SimSun" w:hAnsi="Arial" w:cs="Arial"/>
          <w:b/>
          <w:kern w:val="1"/>
        </w:rPr>
        <w:t xml:space="preserve"> </w:t>
      </w:r>
      <w:r w:rsidR="007A4BC1" w:rsidRPr="0026597A">
        <w:rPr>
          <w:rFonts w:ascii="Arial" w:eastAsia="SimSun" w:hAnsi="Arial" w:cs="Arial"/>
          <w:b/>
          <w:kern w:val="1"/>
        </w:rPr>
        <w:t xml:space="preserve">CEEC Research </w:t>
      </w:r>
      <w:r w:rsidR="005A4048" w:rsidRPr="0026597A">
        <w:rPr>
          <w:rFonts w:ascii="Arial" w:eastAsia="SimSun" w:hAnsi="Arial" w:cs="Arial"/>
          <w:b/>
          <w:kern w:val="1"/>
        </w:rPr>
        <w:t xml:space="preserve">na základě dat uveřejněných </w:t>
      </w:r>
      <w:r w:rsidR="003A6F3A">
        <w:rPr>
          <w:rFonts w:ascii="Arial" w:eastAsia="SimSun" w:hAnsi="Arial" w:cs="Arial"/>
          <w:b/>
          <w:kern w:val="1"/>
        </w:rPr>
        <w:t xml:space="preserve">na </w:t>
      </w:r>
      <w:r w:rsidR="00F20E32" w:rsidRPr="0026597A">
        <w:rPr>
          <w:rFonts w:ascii="Arial" w:eastAsia="SimSun" w:hAnsi="Arial" w:cs="Arial"/>
          <w:b/>
          <w:kern w:val="1"/>
        </w:rPr>
        <w:t>konci měsíce května 2014</w:t>
      </w:r>
      <w:r w:rsidR="00F20E32">
        <w:rPr>
          <w:rFonts w:ascii="Arial" w:eastAsia="SimSun" w:hAnsi="Arial" w:cs="Arial"/>
          <w:b/>
          <w:kern w:val="1"/>
        </w:rPr>
        <w:t xml:space="preserve"> </w:t>
      </w:r>
      <w:r w:rsidR="005A4048" w:rsidRPr="0026597A">
        <w:rPr>
          <w:rFonts w:ascii="Arial" w:eastAsia="SimSun" w:hAnsi="Arial" w:cs="Arial"/>
          <w:b/>
          <w:kern w:val="1"/>
        </w:rPr>
        <w:t>ve Věstníku veřejných zakázek</w:t>
      </w:r>
      <w:r w:rsidR="00F20E32">
        <w:rPr>
          <w:rFonts w:ascii="Arial" w:eastAsia="SimSun" w:hAnsi="Arial" w:cs="Arial"/>
          <w:b/>
          <w:kern w:val="1"/>
        </w:rPr>
        <w:t>.</w:t>
      </w:r>
      <w:r w:rsidR="00672B96" w:rsidRPr="0026597A">
        <w:rPr>
          <w:rFonts w:ascii="Arial" w:eastAsia="SimSun" w:hAnsi="Arial" w:cs="Arial"/>
          <w:b/>
          <w:kern w:val="1"/>
        </w:rPr>
        <w:t xml:space="preserve"> </w:t>
      </w:r>
    </w:p>
    <w:p w:rsidR="00672B96" w:rsidRPr="0026597A" w:rsidRDefault="00672B96" w:rsidP="004F5B5A">
      <w:pPr>
        <w:spacing w:after="0" w:line="360" w:lineRule="auto"/>
        <w:jc w:val="both"/>
        <w:rPr>
          <w:rFonts w:ascii="Arial" w:hAnsi="Arial" w:cs="Arial"/>
        </w:rPr>
      </w:pPr>
    </w:p>
    <w:p w:rsidR="00F5151A" w:rsidRPr="00C07B25" w:rsidRDefault="00672B96" w:rsidP="00C07B25">
      <w:pPr>
        <w:spacing w:after="0" w:line="360" w:lineRule="auto"/>
        <w:jc w:val="both"/>
        <w:rPr>
          <w:rFonts w:ascii="Arial" w:hAnsi="Arial" w:cs="Arial"/>
          <w:b/>
          <w:i/>
          <w:color w:val="FF0000"/>
        </w:rPr>
      </w:pPr>
      <w:r w:rsidRPr="0026597A">
        <w:rPr>
          <w:rFonts w:ascii="Arial" w:hAnsi="Arial" w:cs="Arial"/>
        </w:rPr>
        <w:t>V</w:t>
      </w:r>
      <w:r w:rsidR="006A231E">
        <w:rPr>
          <w:rFonts w:ascii="Arial" w:hAnsi="Arial" w:cs="Arial"/>
        </w:rPr>
        <w:t xml:space="preserve"> prvních pěti měsících letošního roku vypsali veřejní zadavatelé </w:t>
      </w:r>
      <w:r w:rsidR="00437237">
        <w:rPr>
          <w:rFonts w:ascii="Arial" w:hAnsi="Arial" w:cs="Arial"/>
        </w:rPr>
        <w:t xml:space="preserve">ve Věstníku VZ </w:t>
      </w:r>
      <w:r w:rsidR="006A231E">
        <w:rPr>
          <w:rFonts w:ascii="Arial" w:hAnsi="Arial" w:cs="Arial"/>
        </w:rPr>
        <w:t xml:space="preserve">téměř o polovinu (53,7 procenta) zakázek na projektové práce </w:t>
      </w:r>
      <w:r w:rsidR="003A6F3A">
        <w:rPr>
          <w:rFonts w:ascii="Arial" w:hAnsi="Arial" w:cs="Arial"/>
        </w:rPr>
        <w:t xml:space="preserve">více, </w:t>
      </w:r>
      <w:r w:rsidR="006A231E">
        <w:rPr>
          <w:rFonts w:ascii="Arial" w:hAnsi="Arial" w:cs="Arial"/>
        </w:rPr>
        <w:t xml:space="preserve">než ve stejném období loňského roku. </w:t>
      </w:r>
      <w:r w:rsidR="00A26852">
        <w:rPr>
          <w:rFonts w:ascii="Arial" w:hAnsi="Arial" w:cs="Arial"/>
        </w:rPr>
        <w:t>Ve srovnání s loňským rokem s</w:t>
      </w:r>
      <w:r w:rsidR="000633FF">
        <w:rPr>
          <w:rFonts w:ascii="Arial" w:hAnsi="Arial" w:cs="Arial"/>
        </w:rPr>
        <w:t>toupala i celková</w:t>
      </w:r>
      <w:r w:rsidR="00437237">
        <w:rPr>
          <w:rFonts w:ascii="Arial" w:hAnsi="Arial" w:cs="Arial"/>
        </w:rPr>
        <w:t xml:space="preserve"> hodnota vyhlášených veřejných</w:t>
      </w:r>
      <w:r w:rsidR="006A231E">
        <w:rPr>
          <w:rFonts w:ascii="Arial" w:hAnsi="Arial" w:cs="Arial"/>
        </w:rPr>
        <w:t xml:space="preserve"> zakázek</w:t>
      </w:r>
      <w:r w:rsidR="00437237">
        <w:rPr>
          <w:rFonts w:ascii="Arial" w:hAnsi="Arial" w:cs="Arial"/>
        </w:rPr>
        <w:t xml:space="preserve"> na projektové práce</w:t>
      </w:r>
      <w:r w:rsidR="006A231E">
        <w:rPr>
          <w:rFonts w:ascii="Arial" w:hAnsi="Arial" w:cs="Arial"/>
        </w:rPr>
        <w:t>, které se objevily ve Věstníku veřejných zakázek</w:t>
      </w:r>
      <w:r w:rsidR="000633FF">
        <w:rPr>
          <w:rFonts w:ascii="Arial" w:hAnsi="Arial" w:cs="Arial"/>
        </w:rPr>
        <w:t xml:space="preserve"> v lednu až květnu</w:t>
      </w:r>
      <w:r w:rsidR="00892803">
        <w:rPr>
          <w:rFonts w:ascii="Arial" w:hAnsi="Arial" w:cs="Arial"/>
        </w:rPr>
        <w:t xml:space="preserve">, </w:t>
      </w:r>
      <w:r w:rsidR="000633FF">
        <w:rPr>
          <w:rFonts w:ascii="Arial" w:hAnsi="Arial" w:cs="Arial"/>
        </w:rPr>
        <w:t>na 1,1 miliardy korun</w:t>
      </w:r>
      <w:r w:rsidR="004462F7">
        <w:rPr>
          <w:rFonts w:ascii="Arial" w:hAnsi="Arial" w:cs="Arial"/>
        </w:rPr>
        <w:t>, což je nárůst o třetinu (33,1 procenta).</w:t>
      </w:r>
      <w:r w:rsidR="000633FF">
        <w:rPr>
          <w:rFonts w:ascii="Arial" w:hAnsi="Arial" w:cs="Arial"/>
        </w:rPr>
        <w:t xml:space="preserve"> </w:t>
      </w:r>
      <w:r w:rsidR="004462F7">
        <w:rPr>
          <w:rFonts w:ascii="Arial" w:hAnsi="Arial" w:cs="Arial"/>
        </w:rPr>
        <w:t xml:space="preserve">Mezi </w:t>
      </w:r>
      <w:r w:rsidR="007E2491">
        <w:rPr>
          <w:rFonts w:ascii="Arial" w:hAnsi="Arial" w:cs="Arial"/>
        </w:rPr>
        <w:t>nejvýznamnější</w:t>
      </w:r>
      <w:r w:rsidR="004462F7">
        <w:rPr>
          <w:rFonts w:ascii="Arial" w:hAnsi="Arial" w:cs="Arial"/>
        </w:rPr>
        <w:t xml:space="preserve"> veřejné </w:t>
      </w:r>
      <w:r w:rsidR="00930100">
        <w:rPr>
          <w:rFonts w:ascii="Arial" w:hAnsi="Arial" w:cs="Arial"/>
        </w:rPr>
        <w:t>vypisovatele zakázek</w:t>
      </w:r>
      <w:r w:rsidR="00892803">
        <w:rPr>
          <w:rFonts w:ascii="Arial" w:hAnsi="Arial" w:cs="Arial"/>
        </w:rPr>
        <w:t xml:space="preserve"> v této oblasti</w:t>
      </w:r>
      <w:r w:rsidR="00930100">
        <w:rPr>
          <w:rFonts w:ascii="Arial" w:hAnsi="Arial" w:cs="Arial"/>
        </w:rPr>
        <w:t xml:space="preserve"> </w:t>
      </w:r>
      <w:r w:rsidR="004462F7">
        <w:rPr>
          <w:rFonts w:ascii="Arial" w:hAnsi="Arial" w:cs="Arial"/>
        </w:rPr>
        <w:t xml:space="preserve">patří Ředitelství silnic a dálnic a </w:t>
      </w:r>
      <w:r w:rsidR="004462F7" w:rsidRPr="00F5151A">
        <w:rPr>
          <w:rFonts w:ascii="Arial" w:hAnsi="Arial" w:cs="Arial"/>
        </w:rPr>
        <w:t xml:space="preserve">rovněž Správa železniční dopravní cesty. </w:t>
      </w:r>
      <w:r w:rsidR="00092923" w:rsidRPr="00092923">
        <w:rPr>
          <w:rFonts w:ascii="Arial" w:hAnsi="Arial" w:cs="Arial"/>
        </w:rPr>
        <w:t>„</w:t>
      </w:r>
      <w:r w:rsidR="00092923" w:rsidRPr="00092923">
        <w:rPr>
          <w:rFonts w:ascii="Arial" w:hAnsi="Arial" w:cs="Arial"/>
          <w:i/>
        </w:rPr>
        <w:t>Naším hlavním úkolem je stavět silnice a projektová příprava je pro to nezbytnou součástí. Nejrychleji můžeme uvádět do realizace projekty, které z jakéhokoliv důvodu čekají ze starší doby. Na nové zakázky včetně proje</w:t>
      </w:r>
      <w:bookmarkStart w:id="0" w:name="_GoBack"/>
      <w:bookmarkEnd w:id="0"/>
      <w:r w:rsidR="00092923" w:rsidRPr="00092923">
        <w:rPr>
          <w:rFonts w:ascii="Arial" w:hAnsi="Arial" w:cs="Arial"/>
          <w:i/>
        </w:rPr>
        <w:t>ktové přípravy výběrová řízení jsme buď už vypsali, nebo to v nejbližší době uděláme. Celková hodnota stavebních zakázek činí 39 miliard korun,</w:t>
      </w:r>
      <w:r w:rsidR="00092923" w:rsidRPr="00092923">
        <w:rPr>
          <w:rFonts w:ascii="Arial" w:hAnsi="Arial" w:cs="Arial"/>
        </w:rPr>
        <w:t xml:space="preserve">“ říká </w:t>
      </w:r>
      <w:r w:rsidR="00092923">
        <w:rPr>
          <w:rFonts w:ascii="Arial" w:hAnsi="Arial" w:cs="Arial"/>
          <w:b/>
          <w:i/>
        </w:rPr>
        <w:t>generální ředitel ŘSD ČR,</w:t>
      </w:r>
      <w:r w:rsidR="00092923" w:rsidRPr="00092923">
        <w:rPr>
          <w:rFonts w:ascii="Arial" w:hAnsi="Arial" w:cs="Arial"/>
          <w:b/>
          <w:i/>
        </w:rPr>
        <w:t xml:space="preserve"> Jan Kubiš</w:t>
      </w:r>
      <w:r w:rsidR="00092923" w:rsidRPr="00092923">
        <w:rPr>
          <w:rFonts w:ascii="Arial" w:hAnsi="Arial" w:cs="Arial"/>
        </w:rPr>
        <w:t>.</w:t>
      </w:r>
      <w:r w:rsidR="00092923">
        <w:rPr>
          <w:rFonts w:ascii="Arial" w:hAnsi="Arial" w:cs="Arial"/>
        </w:rPr>
        <w:t xml:space="preserve"> </w:t>
      </w:r>
      <w:r w:rsidR="004462F7" w:rsidRPr="00F5151A">
        <w:rPr>
          <w:rFonts w:ascii="Arial" w:hAnsi="Arial" w:cs="Arial"/>
        </w:rPr>
        <w:t xml:space="preserve">Zejména u druhého zmíněného zadavatele došlo k intenzivnímu růstu. </w:t>
      </w:r>
      <w:r w:rsidR="00F5151A" w:rsidRPr="00F5151A">
        <w:rPr>
          <w:rFonts w:ascii="Arial" w:hAnsi="Arial" w:cs="Arial"/>
        </w:rPr>
        <w:t>„</w:t>
      </w:r>
      <w:r w:rsidR="00F5151A" w:rsidRPr="00F5151A">
        <w:rPr>
          <w:rFonts w:ascii="Arial" w:hAnsi="Arial" w:cs="Arial"/>
          <w:i/>
        </w:rPr>
        <w:t xml:space="preserve">Jakožto uchazeč o VZ opravdu pociťujeme nárůst v počtu vypsaných VZ na přípravné práce. Prodlužuje se však lhůta od podání nabídky k samotnému započetí realizace předmětu díla VZ, ať už je vítěz kdokoliv. U některých zadávacích řízení čekáme déle než rok na pokyn k započetí prací či na vypsání druhého kola zadávacího řízení. Když nadále připočteme další lhůty způsobené legislativními překážkami během přípravy stavby, </w:t>
      </w:r>
      <w:r w:rsidR="00F5151A" w:rsidRPr="00C07B25">
        <w:rPr>
          <w:rFonts w:ascii="Arial" w:hAnsi="Arial" w:cs="Arial"/>
          <w:i/>
        </w:rPr>
        <w:t>tak cesta k samotné realizaci stavby a úspěšnému dokončení stavby je mnohokrát delší než plánované čerpání jednotlivých rozpočtů,“</w:t>
      </w:r>
      <w:r w:rsidR="00F5151A" w:rsidRPr="00C07B25">
        <w:rPr>
          <w:rFonts w:ascii="Arial" w:hAnsi="Arial" w:cs="Arial"/>
        </w:rPr>
        <w:t xml:space="preserve"> přibližuje dlouhou cestu zakázky do firmy </w:t>
      </w:r>
      <w:r w:rsidR="00F5151A" w:rsidRPr="00C07B25">
        <w:rPr>
          <w:rFonts w:ascii="Arial" w:hAnsi="Arial" w:cs="Arial"/>
          <w:b/>
          <w:i/>
        </w:rPr>
        <w:t xml:space="preserve">Lukáš </w:t>
      </w:r>
      <w:proofErr w:type="spellStart"/>
      <w:r w:rsidR="00F5151A" w:rsidRPr="00C07B25">
        <w:rPr>
          <w:rFonts w:ascii="Arial" w:hAnsi="Arial" w:cs="Arial"/>
          <w:b/>
          <w:i/>
        </w:rPr>
        <w:t>Hruboň</w:t>
      </w:r>
      <w:proofErr w:type="spellEnd"/>
      <w:r w:rsidR="00F5151A" w:rsidRPr="00C07B25">
        <w:rPr>
          <w:rFonts w:ascii="Arial" w:hAnsi="Arial" w:cs="Arial"/>
          <w:b/>
          <w:i/>
        </w:rPr>
        <w:t>, obchodní ředitel společností VALBEK.</w:t>
      </w:r>
    </w:p>
    <w:p w:rsidR="004462F7" w:rsidRPr="00C07B25" w:rsidRDefault="004462F7" w:rsidP="00C07B25">
      <w:pPr>
        <w:spacing w:after="0" w:line="360" w:lineRule="auto"/>
        <w:jc w:val="both"/>
        <w:rPr>
          <w:rFonts w:ascii="Arial" w:hAnsi="Arial" w:cs="Arial"/>
        </w:rPr>
      </w:pPr>
    </w:p>
    <w:p w:rsidR="000633FF" w:rsidRPr="00C07B25" w:rsidRDefault="00437237" w:rsidP="00C07B25">
      <w:pPr>
        <w:spacing w:after="0" w:line="360" w:lineRule="auto"/>
        <w:jc w:val="both"/>
        <w:rPr>
          <w:rFonts w:ascii="Arial" w:hAnsi="Arial" w:cs="Arial"/>
          <w:i/>
        </w:rPr>
      </w:pPr>
      <w:r w:rsidRPr="00C07B25">
        <w:rPr>
          <w:rFonts w:ascii="Arial" w:hAnsi="Arial" w:cs="Arial"/>
        </w:rPr>
        <w:lastRenderedPageBreak/>
        <w:t xml:space="preserve">Projektová příprava je klíčová pro následnou realizaci staveb a bez ní není možné stavby bezproblémově realizovat. Jedná se tudíž o určitý předstihový indikátor pro </w:t>
      </w:r>
      <w:r w:rsidR="00A26852" w:rsidRPr="00C07B25">
        <w:rPr>
          <w:rFonts w:ascii="Arial" w:hAnsi="Arial" w:cs="Arial"/>
        </w:rPr>
        <w:t xml:space="preserve">další </w:t>
      </w:r>
      <w:r w:rsidRPr="00C07B25">
        <w:rPr>
          <w:rFonts w:ascii="Arial" w:hAnsi="Arial" w:cs="Arial"/>
        </w:rPr>
        <w:t xml:space="preserve">vývoj stavebního sektoru. </w:t>
      </w:r>
      <w:r w:rsidRPr="00C07B25">
        <w:rPr>
          <w:rFonts w:ascii="Arial" w:hAnsi="Arial" w:cs="Arial"/>
          <w:i/>
        </w:rPr>
        <w:t>„České stavebnictví prošlo v předchozích pěti letech intenzivní krizí, jeho výkon oproti vrcholu v roce 2008 poklesl až o třetinu. Základem pro jeho opětovn</w:t>
      </w:r>
      <w:r w:rsidR="004462F7" w:rsidRPr="00C07B25">
        <w:rPr>
          <w:rFonts w:ascii="Arial" w:hAnsi="Arial" w:cs="Arial"/>
          <w:i/>
        </w:rPr>
        <w:t xml:space="preserve">ý návrat na výsluní </w:t>
      </w:r>
      <w:r w:rsidRPr="00C07B25">
        <w:rPr>
          <w:rFonts w:ascii="Arial" w:hAnsi="Arial" w:cs="Arial"/>
          <w:i/>
        </w:rPr>
        <w:t xml:space="preserve">je rozběhnutí projektové přípravy, bez </w:t>
      </w:r>
      <w:r w:rsidR="004462F7" w:rsidRPr="00C07B25">
        <w:rPr>
          <w:rFonts w:ascii="Arial" w:hAnsi="Arial" w:cs="Arial"/>
          <w:i/>
        </w:rPr>
        <w:t xml:space="preserve">níž </w:t>
      </w:r>
      <w:r w:rsidRPr="00C07B25">
        <w:rPr>
          <w:rFonts w:ascii="Arial" w:hAnsi="Arial" w:cs="Arial"/>
          <w:i/>
        </w:rPr>
        <w:t>se sektor nemá šanci vrátit k dlouhodobějšímu a stabilnímu růstu</w:t>
      </w:r>
      <w:r w:rsidR="004462F7" w:rsidRPr="00C07B25">
        <w:rPr>
          <w:rFonts w:ascii="Arial" w:hAnsi="Arial" w:cs="Arial"/>
          <w:i/>
        </w:rPr>
        <w:t>,</w:t>
      </w:r>
      <w:r w:rsidRPr="00C07B25">
        <w:rPr>
          <w:rFonts w:ascii="Arial" w:hAnsi="Arial" w:cs="Arial"/>
          <w:i/>
        </w:rPr>
        <w:t>“</w:t>
      </w:r>
      <w:r w:rsidRPr="00C07B25">
        <w:rPr>
          <w:rFonts w:ascii="Arial" w:hAnsi="Arial" w:cs="Arial"/>
        </w:rPr>
        <w:t xml:space="preserve"> vysvětluje </w:t>
      </w:r>
      <w:r w:rsidRPr="00C07B25">
        <w:rPr>
          <w:rFonts w:ascii="Arial" w:hAnsi="Arial" w:cs="Arial"/>
          <w:b/>
          <w:i/>
        </w:rPr>
        <w:t>Jiří Vacek, ředitel analytické společnosti CEEC Research</w:t>
      </w:r>
      <w:r w:rsidRPr="00C07B25">
        <w:rPr>
          <w:rFonts w:ascii="Arial" w:hAnsi="Arial" w:cs="Arial"/>
          <w:b/>
          <w:i/>
          <w:color w:val="000000" w:themeColor="text1"/>
        </w:rPr>
        <w:t>.</w:t>
      </w:r>
      <w:r w:rsidR="00FF4528" w:rsidRPr="00C07B25">
        <w:rPr>
          <w:rFonts w:ascii="Arial" w:hAnsi="Arial" w:cs="Arial"/>
          <w:b/>
          <w:i/>
          <w:color w:val="000000" w:themeColor="text1"/>
        </w:rPr>
        <w:t xml:space="preserve"> </w:t>
      </w:r>
    </w:p>
    <w:p w:rsidR="00466AB9" w:rsidRDefault="00466AB9" w:rsidP="00C07B25">
      <w:pPr>
        <w:spacing w:after="0" w:line="360" w:lineRule="auto"/>
        <w:jc w:val="both"/>
        <w:rPr>
          <w:rFonts w:ascii="Arial" w:hAnsi="Arial" w:cs="Arial"/>
        </w:rPr>
      </w:pPr>
    </w:p>
    <w:p w:rsidR="003008A7" w:rsidRPr="00C07B25" w:rsidRDefault="003008A7" w:rsidP="00C07B25">
      <w:pPr>
        <w:spacing w:after="0" w:line="360" w:lineRule="auto"/>
        <w:jc w:val="both"/>
        <w:rPr>
          <w:rFonts w:ascii="Arial" w:hAnsi="Arial" w:cs="Arial"/>
          <w:b/>
          <w:i/>
        </w:rPr>
      </w:pPr>
      <w:r w:rsidRPr="00C07B25">
        <w:rPr>
          <w:rFonts w:ascii="Arial" w:hAnsi="Arial" w:cs="Arial"/>
        </w:rPr>
        <w:t xml:space="preserve">U projektových zakázek, které </w:t>
      </w:r>
      <w:r w:rsidR="007E2491" w:rsidRPr="00C07B25">
        <w:rPr>
          <w:rFonts w:ascii="Arial" w:hAnsi="Arial" w:cs="Arial"/>
        </w:rPr>
        <w:t xml:space="preserve">již </w:t>
      </w:r>
      <w:r w:rsidRPr="00C07B25">
        <w:rPr>
          <w:rFonts w:ascii="Arial" w:hAnsi="Arial" w:cs="Arial"/>
        </w:rPr>
        <w:t xml:space="preserve">byly v minulosti </w:t>
      </w:r>
      <w:r w:rsidR="00437237" w:rsidRPr="00C07B25">
        <w:rPr>
          <w:rFonts w:ascii="Arial" w:hAnsi="Arial" w:cs="Arial"/>
        </w:rPr>
        <w:t xml:space="preserve">vypsány </w:t>
      </w:r>
      <w:r w:rsidRPr="00C07B25">
        <w:rPr>
          <w:rFonts w:ascii="Arial" w:hAnsi="Arial" w:cs="Arial"/>
        </w:rPr>
        <w:t xml:space="preserve">a </w:t>
      </w:r>
      <w:r w:rsidR="00437237" w:rsidRPr="00C07B25">
        <w:rPr>
          <w:rFonts w:ascii="Arial" w:hAnsi="Arial" w:cs="Arial"/>
        </w:rPr>
        <w:t xml:space="preserve">mají být </w:t>
      </w:r>
      <w:r w:rsidRPr="00C07B25">
        <w:rPr>
          <w:rFonts w:ascii="Arial" w:hAnsi="Arial" w:cs="Arial"/>
        </w:rPr>
        <w:t>postupně zadávány</w:t>
      </w:r>
      <w:r>
        <w:rPr>
          <w:rFonts w:ascii="Arial" w:hAnsi="Arial" w:cs="Arial"/>
        </w:rPr>
        <w:t xml:space="preserve"> </w:t>
      </w:r>
      <w:r w:rsidR="00437237">
        <w:rPr>
          <w:rFonts w:ascii="Arial" w:hAnsi="Arial" w:cs="Arial"/>
        </w:rPr>
        <w:t xml:space="preserve">vítězným </w:t>
      </w:r>
      <w:r>
        <w:rPr>
          <w:rFonts w:ascii="Arial" w:hAnsi="Arial" w:cs="Arial"/>
        </w:rPr>
        <w:t xml:space="preserve">projektovým firmám, </w:t>
      </w:r>
      <w:r w:rsidR="007E2491">
        <w:rPr>
          <w:rFonts w:ascii="Arial" w:hAnsi="Arial" w:cs="Arial"/>
        </w:rPr>
        <w:t xml:space="preserve">však </w:t>
      </w:r>
      <w:r>
        <w:rPr>
          <w:rFonts w:ascii="Arial" w:hAnsi="Arial" w:cs="Arial"/>
        </w:rPr>
        <w:t xml:space="preserve">situace </w:t>
      </w:r>
      <w:r w:rsidR="007E2491">
        <w:rPr>
          <w:rFonts w:ascii="Arial" w:hAnsi="Arial" w:cs="Arial"/>
        </w:rPr>
        <w:t xml:space="preserve">není </w:t>
      </w:r>
      <w:r w:rsidR="00FF4528">
        <w:rPr>
          <w:rFonts w:ascii="Arial" w:hAnsi="Arial" w:cs="Arial"/>
        </w:rPr>
        <w:t xml:space="preserve">zdaleka </w:t>
      </w:r>
      <w:r>
        <w:rPr>
          <w:rFonts w:ascii="Arial" w:hAnsi="Arial" w:cs="Arial"/>
        </w:rPr>
        <w:t xml:space="preserve">tak růžová. </w:t>
      </w:r>
      <w:r w:rsidR="007E2491">
        <w:rPr>
          <w:rFonts w:ascii="Arial" w:hAnsi="Arial" w:cs="Arial"/>
        </w:rPr>
        <w:t>Výrazně k</w:t>
      </w:r>
      <w:r>
        <w:rPr>
          <w:rFonts w:ascii="Arial" w:hAnsi="Arial" w:cs="Arial"/>
        </w:rPr>
        <w:t xml:space="preserve">lesl počet i hodnota </w:t>
      </w:r>
      <w:r w:rsidR="00437237">
        <w:rPr>
          <w:rFonts w:ascii="Arial" w:hAnsi="Arial" w:cs="Arial"/>
        </w:rPr>
        <w:t>zakázek</w:t>
      </w:r>
      <w:r>
        <w:rPr>
          <w:rFonts w:ascii="Arial" w:hAnsi="Arial" w:cs="Arial"/>
        </w:rPr>
        <w:t xml:space="preserve">, které zadali veřejní </w:t>
      </w:r>
      <w:r w:rsidR="00FF4528">
        <w:rPr>
          <w:rFonts w:ascii="Arial" w:hAnsi="Arial" w:cs="Arial"/>
        </w:rPr>
        <w:t>investoři letos v</w:t>
      </w:r>
      <w:r w:rsidR="00930100">
        <w:rPr>
          <w:rFonts w:ascii="Arial" w:hAnsi="Arial" w:cs="Arial"/>
        </w:rPr>
        <w:t> </w:t>
      </w:r>
      <w:r w:rsidR="00FF4528">
        <w:rPr>
          <w:rFonts w:ascii="Arial" w:hAnsi="Arial" w:cs="Arial"/>
        </w:rPr>
        <w:t>květnu</w:t>
      </w:r>
      <w:r w:rsidR="00930100">
        <w:rPr>
          <w:rFonts w:ascii="Arial" w:hAnsi="Arial" w:cs="Arial"/>
        </w:rPr>
        <w:t>.</w:t>
      </w:r>
      <w:r w:rsidR="00930100" w:rsidRPr="00930100">
        <w:rPr>
          <w:rFonts w:ascii="Arial" w:hAnsi="Arial" w:cs="Arial"/>
        </w:rPr>
        <w:t xml:space="preserve"> V květnu 2014 bylo zatím zadáno ve srovnání se stejným obdobím roku 2013 o 67,3 %</w:t>
      </w:r>
      <w:r w:rsidR="002E1B68">
        <w:rPr>
          <w:rFonts w:ascii="Arial" w:hAnsi="Arial" w:cs="Arial"/>
        </w:rPr>
        <w:t xml:space="preserve"> zakázek méně</w:t>
      </w:r>
      <w:r w:rsidR="00930100" w:rsidRPr="00930100">
        <w:rPr>
          <w:rFonts w:ascii="Arial" w:hAnsi="Arial" w:cs="Arial"/>
        </w:rPr>
        <w:t>. Hodnota těchto zakázek byla 26 mil. Kč a meziročně klesla o 77,8 %.</w:t>
      </w:r>
      <w:r w:rsidR="00930100" w:rsidRPr="000A064B">
        <w:rPr>
          <w:rFonts w:cs="Arial"/>
          <w:szCs w:val="20"/>
        </w:rPr>
        <w:t xml:space="preserve"> </w:t>
      </w:r>
      <w:r>
        <w:rPr>
          <w:rFonts w:ascii="Arial" w:hAnsi="Arial" w:cs="Arial"/>
        </w:rPr>
        <w:t xml:space="preserve">Záporná je bilance i při srovnání prvních pěti měsíců </w:t>
      </w:r>
      <w:r w:rsidR="008A1918">
        <w:rPr>
          <w:rFonts w:ascii="Arial" w:hAnsi="Arial" w:cs="Arial"/>
        </w:rPr>
        <w:t xml:space="preserve">letošního </w:t>
      </w:r>
      <w:r>
        <w:rPr>
          <w:rFonts w:ascii="Arial" w:hAnsi="Arial" w:cs="Arial"/>
        </w:rPr>
        <w:t xml:space="preserve">roku, i když celkový propad je menší. </w:t>
      </w:r>
      <w:r w:rsidRPr="003008A7">
        <w:rPr>
          <w:rFonts w:ascii="Arial" w:hAnsi="Arial" w:cs="Arial"/>
        </w:rPr>
        <w:t xml:space="preserve">V lednu až květnu 2014 bylo zatím zadáno o 9,6 </w:t>
      </w:r>
      <w:r>
        <w:rPr>
          <w:rFonts w:ascii="Arial" w:hAnsi="Arial" w:cs="Arial"/>
        </w:rPr>
        <w:t>procenta</w:t>
      </w:r>
      <w:r w:rsidRPr="003008A7">
        <w:rPr>
          <w:rFonts w:ascii="Arial" w:hAnsi="Arial" w:cs="Arial"/>
        </w:rPr>
        <w:t xml:space="preserve"> </w:t>
      </w:r>
      <w:r w:rsidR="00FF4528">
        <w:rPr>
          <w:rFonts w:ascii="Arial" w:hAnsi="Arial" w:cs="Arial"/>
        </w:rPr>
        <w:t>projektových zakázek</w:t>
      </w:r>
      <w:r w:rsidR="008A1918">
        <w:rPr>
          <w:rFonts w:ascii="Arial" w:hAnsi="Arial" w:cs="Arial"/>
        </w:rPr>
        <w:t xml:space="preserve"> </w:t>
      </w:r>
      <w:r w:rsidR="008A1918" w:rsidRPr="003008A7">
        <w:rPr>
          <w:rFonts w:ascii="Arial" w:hAnsi="Arial" w:cs="Arial"/>
        </w:rPr>
        <w:t>méně</w:t>
      </w:r>
      <w:r w:rsidR="008A1918">
        <w:rPr>
          <w:rFonts w:ascii="Arial" w:hAnsi="Arial" w:cs="Arial"/>
        </w:rPr>
        <w:t>,</w:t>
      </w:r>
      <w:r w:rsidR="00FF4528">
        <w:rPr>
          <w:rFonts w:ascii="Arial" w:hAnsi="Arial" w:cs="Arial"/>
        </w:rPr>
        <w:t xml:space="preserve"> </w:t>
      </w:r>
      <w:r w:rsidRPr="003008A7">
        <w:rPr>
          <w:rFonts w:ascii="Arial" w:hAnsi="Arial" w:cs="Arial"/>
        </w:rPr>
        <w:t>než ve stejném období roku 2013. Hodnota zakázek zadaných v lednu až květnu 2014 činila 585 mi</w:t>
      </w:r>
      <w:r>
        <w:rPr>
          <w:rFonts w:ascii="Arial" w:hAnsi="Arial" w:cs="Arial"/>
        </w:rPr>
        <w:t>l. Kč a meziročně klesla o 9,8 procenta</w:t>
      </w:r>
      <w:r w:rsidRPr="003008A7">
        <w:rPr>
          <w:rFonts w:ascii="Arial" w:hAnsi="Arial" w:cs="Arial"/>
        </w:rPr>
        <w:t>.</w:t>
      </w:r>
      <w:r>
        <w:rPr>
          <w:rFonts w:ascii="Arial" w:hAnsi="Arial" w:cs="Arial"/>
        </w:rPr>
        <w:t xml:space="preserve"> Stejně jako v případě </w:t>
      </w:r>
      <w:r w:rsidR="00930100">
        <w:rPr>
          <w:rFonts w:ascii="Arial" w:hAnsi="Arial" w:cs="Arial"/>
        </w:rPr>
        <w:t>vyhlášených</w:t>
      </w:r>
      <w:r>
        <w:rPr>
          <w:rFonts w:ascii="Arial" w:hAnsi="Arial" w:cs="Arial"/>
        </w:rPr>
        <w:t xml:space="preserve"> zakázek </w:t>
      </w:r>
      <w:r w:rsidR="00930100">
        <w:rPr>
          <w:rFonts w:ascii="Arial" w:hAnsi="Arial" w:cs="Arial"/>
        </w:rPr>
        <w:t xml:space="preserve">(výběrových řízení) </w:t>
      </w:r>
      <w:r>
        <w:rPr>
          <w:rFonts w:ascii="Arial" w:hAnsi="Arial" w:cs="Arial"/>
        </w:rPr>
        <w:t xml:space="preserve">byla </w:t>
      </w:r>
      <w:r w:rsidR="008A1918">
        <w:rPr>
          <w:rFonts w:ascii="Arial" w:hAnsi="Arial" w:cs="Arial"/>
        </w:rPr>
        <w:t xml:space="preserve">mezi nejvýznamnějšími </w:t>
      </w:r>
      <w:r w:rsidR="00930100">
        <w:rPr>
          <w:rFonts w:ascii="Arial" w:hAnsi="Arial" w:cs="Arial"/>
        </w:rPr>
        <w:t xml:space="preserve">zadavateli </w:t>
      </w:r>
      <w:r w:rsidR="008A1918">
        <w:rPr>
          <w:rFonts w:ascii="Arial" w:hAnsi="Arial" w:cs="Arial"/>
        </w:rPr>
        <w:t xml:space="preserve">zakázek </w:t>
      </w:r>
      <w:r>
        <w:rPr>
          <w:rFonts w:ascii="Arial" w:hAnsi="Arial" w:cs="Arial"/>
        </w:rPr>
        <w:t>mnohem aktivnější SŽDC než ŘSD.</w:t>
      </w:r>
      <w:r w:rsidR="0088009B">
        <w:rPr>
          <w:rFonts w:ascii="Arial" w:hAnsi="Arial" w:cs="Arial"/>
        </w:rPr>
        <w:t xml:space="preserve"> </w:t>
      </w:r>
      <w:r w:rsidR="0088009B" w:rsidRPr="0088009B">
        <w:rPr>
          <w:rFonts w:ascii="Arial" w:hAnsi="Arial" w:cs="Arial"/>
        </w:rPr>
        <w:t xml:space="preserve">To potvrzuje i </w:t>
      </w:r>
      <w:r w:rsidR="0088009B">
        <w:rPr>
          <w:rFonts w:ascii="Arial" w:hAnsi="Arial" w:cs="Arial"/>
        </w:rPr>
        <w:t xml:space="preserve">Petr </w:t>
      </w:r>
      <w:r w:rsidR="0088009B" w:rsidRPr="0088009B">
        <w:rPr>
          <w:rFonts w:ascii="Arial" w:hAnsi="Arial" w:cs="Arial"/>
        </w:rPr>
        <w:t>Čížek, předseda Sdružení pro v</w:t>
      </w:r>
      <w:r w:rsidR="0088009B">
        <w:rPr>
          <w:rFonts w:ascii="Arial" w:hAnsi="Arial" w:cs="Arial"/>
        </w:rPr>
        <w:t xml:space="preserve">ýstavbu silnic Praha. Poukazuje </w:t>
      </w:r>
      <w:r w:rsidR="0088009B" w:rsidRPr="0088009B">
        <w:rPr>
          <w:rFonts w:ascii="Arial" w:hAnsi="Arial" w:cs="Arial"/>
        </w:rPr>
        <w:t xml:space="preserve">na to, že u ŘSD bylo sice do konce června schváleno cca 740 soutěží na </w:t>
      </w:r>
      <w:r w:rsidR="00C231F2">
        <w:rPr>
          <w:rFonts w:ascii="Arial" w:hAnsi="Arial" w:cs="Arial"/>
        </w:rPr>
        <w:t xml:space="preserve">projektové </w:t>
      </w:r>
      <w:r w:rsidR="0088009B" w:rsidRPr="0088009B">
        <w:rPr>
          <w:rFonts w:ascii="Arial" w:hAnsi="Arial" w:cs="Arial"/>
        </w:rPr>
        <w:t xml:space="preserve">práce v hodnotě cca 460 mil. Kč, ale tyto soutěže nebyly z velké většiny zatím vypsány. </w:t>
      </w:r>
      <w:r w:rsidR="0088009B">
        <w:rPr>
          <w:rFonts w:ascii="Arial" w:hAnsi="Arial" w:cs="Arial"/>
        </w:rPr>
        <w:t>Není tedy zcela jasné</w:t>
      </w:r>
      <w:r w:rsidR="00C231F2">
        <w:rPr>
          <w:rFonts w:ascii="Arial" w:hAnsi="Arial" w:cs="Arial"/>
        </w:rPr>
        <w:t>,</w:t>
      </w:r>
      <w:r w:rsidR="0088009B" w:rsidRPr="0088009B">
        <w:rPr>
          <w:rFonts w:ascii="Arial" w:hAnsi="Arial" w:cs="Arial"/>
        </w:rPr>
        <w:t xml:space="preserve"> </w:t>
      </w:r>
      <w:r w:rsidR="0088009B">
        <w:rPr>
          <w:rFonts w:ascii="Arial" w:hAnsi="Arial" w:cs="Arial"/>
        </w:rPr>
        <w:t xml:space="preserve">zda </w:t>
      </w:r>
      <w:r w:rsidR="0088009B" w:rsidRPr="0088009B">
        <w:rPr>
          <w:rFonts w:ascii="Arial" w:hAnsi="Arial" w:cs="Arial"/>
        </w:rPr>
        <w:t>se vůbec velké stavby silniční infrastruktury</w:t>
      </w:r>
      <w:r w:rsidR="0088009B">
        <w:rPr>
          <w:rFonts w:ascii="Arial" w:hAnsi="Arial" w:cs="Arial"/>
        </w:rPr>
        <w:t xml:space="preserve"> připravují</w:t>
      </w:r>
      <w:r w:rsidR="0088009B" w:rsidRPr="0088009B">
        <w:rPr>
          <w:rFonts w:ascii="Arial" w:hAnsi="Arial" w:cs="Arial"/>
        </w:rPr>
        <w:t xml:space="preserve">. Upozorňuje i na fakt, že od předběžného oznámení soutěže do vyhodnocení soutěže uplyne minimálně jeden rok. </w:t>
      </w:r>
      <w:r w:rsidR="00C231F2">
        <w:rPr>
          <w:rFonts w:ascii="Arial" w:hAnsi="Arial" w:cs="Arial"/>
        </w:rPr>
        <w:t>Petr Čížek</w:t>
      </w:r>
      <w:r w:rsidR="0088009B" w:rsidRPr="0088009B">
        <w:rPr>
          <w:rFonts w:ascii="Arial" w:hAnsi="Arial" w:cs="Arial"/>
        </w:rPr>
        <w:t xml:space="preserve"> proto celou situaci vidí značně skepticky a přestává věřit optimistickým vyjádřením politiků o prioritě investic do dopravní infrastruktury.</w:t>
      </w:r>
      <w:r w:rsidR="0088009B">
        <w:rPr>
          <w:rFonts w:ascii="Arial" w:hAnsi="Arial" w:cs="Arial"/>
        </w:rPr>
        <w:t xml:space="preserve"> </w:t>
      </w:r>
      <w:r w:rsidR="0074021E">
        <w:rPr>
          <w:rFonts w:ascii="Arial" w:hAnsi="Arial" w:cs="Arial"/>
        </w:rPr>
        <w:t xml:space="preserve">Obdobný názor má také </w:t>
      </w:r>
      <w:r w:rsidR="0074021E" w:rsidRPr="008F4D01">
        <w:rPr>
          <w:rFonts w:ascii="Arial" w:hAnsi="Arial" w:cs="Arial"/>
          <w:b/>
          <w:i/>
        </w:rPr>
        <w:t xml:space="preserve">generální ředitel společností </w:t>
      </w:r>
      <w:r w:rsidR="0074021E">
        <w:rPr>
          <w:rFonts w:ascii="Arial" w:hAnsi="Arial" w:cs="Arial"/>
          <w:b/>
          <w:i/>
        </w:rPr>
        <w:t xml:space="preserve">SUDOP GROUP a.s, Pavel Havlíček: </w:t>
      </w:r>
      <w:r>
        <w:rPr>
          <w:rFonts w:ascii="Arial" w:hAnsi="Arial" w:cs="Arial"/>
        </w:rPr>
        <w:t xml:space="preserve"> </w:t>
      </w:r>
      <w:r w:rsidR="008F4D01">
        <w:rPr>
          <w:rFonts w:ascii="Arial" w:hAnsi="Arial" w:cs="Arial"/>
        </w:rPr>
        <w:t>„</w:t>
      </w:r>
      <w:r w:rsidR="008F4D01" w:rsidRPr="008F4D01">
        <w:rPr>
          <w:rFonts w:ascii="Arial" w:hAnsi="Arial" w:cs="Arial"/>
          <w:i/>
        </w:rPr>
        <w:t>ŘSD bylo za poslední 4 roky na rozdíl od SŽDC v několika vlnách významně personálně změněno a až na několik výjimek v roce 2012 zastavilo vypisování významnějších zakázek na projektování. Za tuto krátkou dobu jsme zažili 7 ministrů a 7 generálních ředitelů. Od poloviny června se zdá, že po několikaletém půstu se si</w:t>
      </w:r>
      <w:r w:rsidR="008F4D01">
        <w:rPr>
          <w:rFonts w:ascii="Arial" w:hAnsi="Arial" w:cs="Arial"/>
          <w:i/>
        </w:rPr>
        <w:t>tuace pomalu stabilizuje a mění</w:t>
      </w:r>
      <w:r w:rsidR="008F4D01" w:rsidRPr="008F4D01">
        <w:rPr>
          <w:rFonts w:ascii="Arial" w:hAnsi="Arial" w:cs="Arial"/>
          <w:i/>
        </w:rPr>
        <w:t>. Registrujeme zvyšující se aktivitu ŘSD a doufáme v pokračování nasazeného trendu</w:t>
      </w:r>
      <w:r w:rsidR="00C07B25">
        <w:rPr>
          <w:rFonts w:ascii="Arial" w:hAnsi="Arial" w:cs="Arial"/>
          <w:i/>
        </w:rPr>
        <w:t>,</w:t>
      </w:r>
      <w:r w:rsidR="008F4D01" w:rsidRPr="008F4D01">
        <w:rPr>
          <w:rFonts w:ascii="Arial" w:hAnsi="Arial" w:cs="Arial"/>
          <w:i/>
        </w:rPr>
        <w:t xml:space="preserve"> co se týká poptávek na přípravu. Přál bych si, aby se všichni poučili z chyb svých předchůdců a našli takové mechanismy, aby se vybíralo na základě kvality a nikoliv ceny. V českém stavebnictví se bohužel v krátkodobém horizontu změna neprojeví. Je všeobecně známo, že zrychlení povolovacího procesu a </w:t>
      </w:r>
      <w:r w:rsidR="008F4D01" w:rsidRPr="008F4D01">
        <w:rPr>
          <w:rFonts w:ascii="Arial" w:hAnsi="Arial" w:cs="Arial"/>
          <w:i/>
        </w:rPr>
        <w:lastRenderedPageBreak/>
        <w:t>majetkoprávního vypořádání je při dalším budování infrastruktury nutnost. To platí též o době nutné pro zadávání veřejných zakázek. Na změnách zajetých mechanismů nás</w:t>
      </w:r>
      <w:r w:rsidR="0088009B">
        <w:rPr>
          <w:rFonts w:ascii="Arial" w:hAnsi="Arial" w:cs="Arial"/>
          <w:i/>
        </w:rPr>
        <w:t xml:space="preserve"> všechny čeká ještě mnoho práce.“</w:t>
      </w:r>
      <w:r w:rsidR="008F4D01" w:rsidRPr="008F4D01">
        <w:rPr>
          <w:rFonts w:ascii="Arial" w:hAnsi="Arial" w:cs="Arial"/>
        </w:rPr>
        <w:t xml:space="preserve"> </w:t>
      </w:r>
      <w:r w:rsidR="00C07B25">
        <w:rPr>
          <w:rFonts w:ascii="Arial" w:hAnsi="Arial" w:cs="Arial"/>
        </w:rPr>
        <w:t>„</w:t>
      </w:r>
      <w:r w:rsidR="00C07B25" w:rsidRPr="00C07B25">
        <w:rPr>
          <w:rFonts w:ascii="Arial" w:hAnsi="Arial" w:cs="Arial"/>
          <w:i/>
        </w:rPr>
        <w:t>V současné době se nacházíme na prahu druhého období finanční pomoci EU, od kterého očekáváme lepší výsledky, tj. vyšší procento čerpání, než je očekávaná skutečnost za období první. Odvolávat se na finanční krizi a úsporná opat</w:t>
      </w:r>
      <w:r w:rsidR="00E9337A">
        <w:rPr>
          <w:rFonts w:ascii="Arial" w:hAnsi="Arial" w:cs="Arial"/>
          <w:i/>
        </w:rPr>
        <w:t xml:space="preserve">ření </w:t>
      </w:r>
      <w:r w:rsidR="00C07B25" w:rsidRPr="00C07B25">
        <w:rPr>
          <w:rFonts w:ascii="Arial" w:hAnsi="Arial" w:cs="Arial"/>
          <w:i/>
        </w:rPr>
        <w:t>v tomto případě, kdy objem prostředků SFDI vynakládaný např. na přípravu staveb pozemních komunikací Řed</w:t>
      </w:r>
      <w:r w:rsidR="00C07B25">
        <w:rPr>
          <w:rFonts w:ascii="Arial" w:hAnsi="Arial" w:cs="Arial"/>
          <w:i/>
        </w:rPr>
        <w:t>itelstvím silnic dálnic klesl ze</w:t>
      </w:r>
      <w:r w:rsidR="00C07B25" w:rsidRPr="00C07B25">
        <w:rPr>
          <w:rFonts w:ascii="Arial" w:hAnsi="Arial" w:cs="Arial"/>
          <w:i/>
        </w:rPr>
        <w:t xml:space="preserve"> 4,6 miliardy Kč v roce 2007 na necelých 900 milionů Kč v roce 2013</w:t>
      </w:r>
      <w:r w:rsidR="00C07B25">
        <w:rPr>
          <w:rFonts w:ascii="Arial" w:hAnsi="Arial" w:cs="Arial"/>
          <w:i/>
        </w:rPr>
        <w:t>,</w:t>
      </w:r>
      <w:r w:rsidR="00C07B25" w:rsidRPr="00C07B25">
        <w:rPr>
          <w:rFonts w:ascii="Arial" w:hAnsi="Arial" w:cs="Arial"/>
          <w:i/>
        </w:rPr>
        <w:t xml:space="preserve"> nemá smysl, protože roční částky vynakládané na přípravu Ředitelstvím silnic a dálnic představují pouhých 2-5% ročního rozpočtu SFDI. Zatímco dopady z nepřipravenosti šplhají do miliard a jsou vážnou hrozbu v čerpání prostředků v letech 2014-2020 v podobě ještě vyššího propadu, než očekáváme nyní</w:t>
      </w:r>
      <w:r w:rsidR="00C07B25">
        <w:rPr>
          <w:rFonts w:ascii="Arial" w:hAnsi="Arial" w:cs="Arial"/>
        </w:rPr>
        <w:t xml:space="preserve">,“ doplňuje </w:t>
      </w:r>
      <w:r w:rsidR="00C07B25" w:rsidRPr="00C07B25">
        <w:rPr>
          <w:rFonts w:ascii="Arial" w:hAnsi="Arial" w:cs="Arial"/>
          <w:b/>
          <w:i/>
        </w:rPr>
        <w:t>Radovan Hrnčíř, ředitel a jednatel společnosti, HBH Projekt spol. s r.o.</w:t>
      </w:r>
    </w:p>
    <w:p w:rsidR="00A76E50" w:rsidRPr="0026597A" w:rsidRDefault="00A76E50" w:rsidP="004F5B5A">
      <w:pPr>
        <w:spacing w:after="0" w:line="288" w:lineRule="auto"/>
        <w:jc w:val="both"/>
        <w:rPr>
          <w:rFonts w:ascii="Arial" w:hAnsi="Arial" w:cs="Arial"/>
        </w:rPr>
      </w:pPr>
    </w:p>
    <w:p w:rsidR="000853CA" w:rsidRDefault="000853CA" w:rsidP="004F5B5A">
      <w:pPr>
        <w:spacing w:after="0" w:line="240" w:lineRule="auto"/>
        <w:rPr>
          <w:rFonts w:ascii="Arial" w:hAnsi="Arial" w:cs="Arial"/>
          <w:b/>
          <w:lang w:val="sk-SK"/>
        </w:rPr>
      </w:pPr>
    </w:p>
    <w:p w:rsidR="000853CA" w:rsidRDefault="000853CA" w:rsidP="00FF4528">
      <w:pPr>
        <w:spacing w:line="360" w:lineRule="auto"/>
        <w:jc w:val="center"/>
        <w:rPr>
          <w:bCs/>
        </w:rPr>
      </w:pPr>
      <w:r>
        <w:rPr>
          <w:b/>
          <w:bCs/>
        </w:rPr>
        <w:t xml:space="preserve">Meziroční změny </w:t>
      </w:r>
      <w:r w:rsidR="00FF4528">
        <w:rPr>
          <w:b/>
          <w:bCs/>
        </w:rPr>
        <w:t xml:space="preserve">zadaných zakázek </w:t>
      </w:r>
      <w:r>
        <w:rPr>
          <w:b/>
          <w:bCs/>
        </w:rPr>
        <w:t>v roce 2014</w:t>
      </w:r>
      <w:r w:rsidR="00FF4528">
        <w:rPr>
          <w:b/>
          <w:bCs/>
        </w:rPr>
        <w:t xml:space="preserve"> (leden-květen)</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34"/>
        <w:gridCol w:w="1985"/>
        <w:gridCol w:w="1505"/>
        <w:gridCol w:w="1505"/>
        <w:gridCol w:w="1505"/>
        <w:gridCol w:w="1506"/>
      </w:tblGrid>
      <w:tr w:rsidR="000853CA" w:rsidTr="000853CA">
        <w:trPr>
          <w:cantSplit/>
          <w:trHeight w:val="309"/>
        </w:trPr>
        <w:tc>
          <w:tcPr>
            <w:tcW w:w="3119" w:type="dxa"/>
            <w:gridSpan w:val="2"/>
            <w:vMerge w:val="restart"/>
            <w:tcBorders>
              <w:top w:val="nil"/>
              <w:left w:val="nil"/>
              <w:bottom w:val="single" w:sz="4" w:space="0" w:color="auto"/>
              <w:right w:val="single" w:sz="4" w:space="0" w:color="auto"/>
            </w:tcBorders>
            <w:vAlign w:val="center"/>
            <w:hideMark/>
          </w:tcPr>
          <w:p w:rsidR="000853CA" w:rsidRDefault="000853CA" w:rsidP="000853CA">
            <w:pPr>
              <w:jc w:val="center"/>
              <w:rPr>
                <w:rFonts w:ascii="Arial" w:hAnsi="Arial"/>
                <w:bCs/>
                <w:sz w:val="18"/>
                <w:szCs w:val="24"/>
              </w:rPr>
            </w:pPr>
            <w:r>
              <w:rPr>
                <w:bCs/>
                <w:sz w:val="18"/>
              </w:rPr>
              <w:t>Zakázky projektové</w:t>
            </w:r>
          </w:p>
        </w:tc>
        <w:tc>
          <w:tcPr>
            <w:tcW w:w="6021" w:type="dxa"/>
            <w:gridSpan w:val="4"/>
            <w:tcBorders>
              <w:top w:val="single" w:sz="4" w:space="0" w:color="auto"/>
              <w:left w:val="single" w:sz="4" w:space="0" w:color="auto"/>
              <w:bottom w:val="single" w:sz="4" w:space="0" w:color="auto"/>
              <w:right w:val="single" w:sz="4" w:space="0" w:color="auto"/>
            </w:tcBorders>
            <w:vAlign w:val="center"/>
            <w:hideMark/>
          </w:tcPr>
          <w:p w:rsidR="000853CA" w:rsidRDefault="000853CA">
            <w:pPr>
              <w:jc w:val="center"/>
              <w:rPr>
                <w:rFonts w:ascii="Arial" w:hAnsi="Arial"/>
                <w:bCs/>
                <w:sz w:val="18"/>
                <w:szCs w:val="24"/>
              </w:rPr>
            </w:pPr>
            <w:r>
              <w:rPr>
                <w:bCs/>
                <w:sz w:val="18"/>
                <w:szCs w:val="18"/>
              </w:rPr>
              <w:t>Meziroční změna v %</w:t>
            </w:r>
          </w:p>
        </w:tc>
      </w:tr>
      <w:tr w:rsidR="000853CA" w:rsidTr="000853CA">
        <w:trPr>
          <w:cantSplit/>
          <w:trHeight w:val="309"/>
        </w:trPr>
        <w:tc>
          <w:tcPr>
            <w:tcW w:w="0" w:type="auto"/>
            <w:gridSpan w:val="2"/>
            <w:vMerge/>
            <w:tcBorders>
              <w:top w:val="nil"/>
              <w:left w:val="nil"/>
              <w:bottom w:val="single" w:sz="4" w:space="0" w:color="auto"/>
              <w:right w:val="single" w:sz="4" w:space="0" w:color="auto"/>
            </w:tcBorders>
            <w:vAlign w:val="center"/>
            <w:hideMark/>
          </w:tcPr>
          <w:p w:rsidR="000853CA" w:rsidRDefault="000853CA">
            <w:pPr>
              <w:rPr>
                <w:rFonts w:ascii="Arial" w:hAnsi="Arial"/>
                <w:bCs/>
                <w:sz w:val="18"/>
                <w:szCs w:val="24"/>
              </w:rPr>
            </w:pPr>
          </w:p>
        </w:tc>
        <w:tc>
          <w:tcPr>
            <w:tcW w:w="3010" w:type="dxa"/>
            <w:gridSpan w:val="2"/>
            <w:tcBorders>
              <w:top w:val="single" w:sz="4" w:space="0" w:color="auto"/>
              <w:left w:val="single" w:sz="4" w:space="0" w:color="auto"/>
              <w:bottom w:val="single" w:sz="4" w:space="0" w:color="auto"/>
              <w:right w:val="double" w:sz="4" w:space="0" w:color="auto"/>
            </w:tcBorders>
            <w:vAlign w:val="center"/>
            <w:hideMark/>
          </w:tcPr>
          <w:p w:rsidR="000853CA" w:rsidRDefault="000853CA">
            <w:pPr>
              <w:jc w:val="center"/>
              <w:rPr>
                <w:rFonts w:ascii="Arial" w:hAnsi="Arial"/>
                <w:bCs/>
                <w:sz w:val="18"/>
                <w:szCs w:val="24"/>
              </w:rPr>
            </w:pPr>
            <w:r>
              <w:rPr>
                <w:bCs/>
                <w:sz w:val="18"/>
              </w:rPr>
              <w:t>Počet</w:t>
            </w:r>
          </w:p>
        </w:tc>
        <w:tc>
          <w:tcPr>
            <w:tcW w:w="3011" w:type="dxa"/>
            <w:gridSpan w:val="2"/>
            <w:tcBorders>
              <w:top w:val="single" w:sz="4" w:space="0" w:color="auto"/>
              <w:left w:val="double" w:sz="4" w:space="0" w:color="auto"/>
              <w:bottom w:val="single" w:sz="4" w:space="0" w:color="auto"/>
              <w:right w:val="single" w:sz="4" w:space="0" w:color="auto"/>
            </w:tcBorders>
            <w:vAlign w:val="center"/>
            <w:hideMark/>
          </w:tcPr>
          <w:p w:rsidR="000853CA" w:rsidRDefault="000853CA">
            <w:pPr>
              <w:jc w:val="center"/>
              <w:rPr>
                <w:rFonts w:ascii="Arial" w:hAnsi="Arial"/>
                <w:bCs/>
                <w:sz w:val="18"/>
                <w:szCs w:val="24"/>
              </w:rPr>
            </w:pPr>
            <w:r>
              <w:rPr>
                <w:bCs/>
                <w:sz w:val="18"/>
              </w:rPr>
              <w:t>Hodnota</w:t>
            </w:r>
          </w:p>
        </w:tc>
      </w:tr>
      <w:tr w:rsidR="000853CA" w:rsidTr="000853CA">
        <w:trPr>
          <w:cantSplit/>
          <w:trHeight w:val="455"/>
        </w:trPr>
        <w:tc>
          <w:tcPr>
            <w:tcW w:w="1134" w:type="dxa"/>
            <w:vMerge w:val="restart"/>
            <w:tcBorders>
              <w:top w:val="double" w:sz="4" w:space="0" w:color="auto"/>
              <w:left w:val="single" w:sz="4" w:space="0" w:color="auto"/>
              <w:bottom w:val="single" w:sz="4" w:space="0" w:color="auto"/>
              <w:right w:val="single" w:sz="4" w:space="0" w:color="auto"/>
            </w:tcBorders>
            <w:vAlign w:val="center"/>
            <w:hideMark/>
          </w:tcPr>
          <w:p w:rsidR="000853CA" w:rsidRDefault="000853CA">
            <w:pPr>
              <w:jc w:val="center"/>
              <w:rPr>
                <w:rFonts w:ascii="Arial" w:hAnsi="Arial" w:cs="Arial"/>
                <w:sz w:val="18"/>
                <w:szCs w:val="16"/>
              </w:rPr>
            </w:pPr>
            <w:r>
              <w:rPr>
                <w:rFonts w:cs="Arial"/>
                <w:sz w:val="18"/>
                <w:szCs w:val="16"/>
              </w:rPr>
              <w:t>2014</w:t>
            </w:r>
          </w:p>
        </w:tc>
        <w:tc>
          <w:tcPr>
            <w:tcW w:w="1985" w:type="dxa"/>
            <w:tcBorders>
              <w:top w:val="double" w:sz="4" w:space="0" w:color="auto"/>
              <w:left w:val="single" w:sz="4" w:space="0" w:color="auto"/>
              <w:bottom w:val="nil"/>
              <w:right w:val="single" w:sz="4" w:space="0" w:color="auto"/>
            </w:tcBorders>
            <w:vAlign w:val="center"/>
            <w:hideMark/>
          </w:tcPr>
          <w:p w:rsidR="000853CA" w:rsidRDefault="000853CA">
            <w:pPr>
              <w:rPr>
                <w:rFonts w:ascii="Arial" w:hAnsi="Arial"/>
                <w:bCs/>
                <w:sz w:val="18"/>
                <w:szCs w:val="24"/>
              </w:rPr>
            </w:pPr>
            <w:r>
              <w:rPr>
                <w:rFonts w:cs="Arial"/>
                <w:sz w:val="18"/>
                <w:szCs w:val="16"/>
              </w:rPr>
              <w:t>Leden</w:t>
            </w:r>
          </w:p>
        </w:tc>
        <w:tc>
          <w:tcPr>
            <w:tcW w:w="1505" w:type="dxa"/>
            <w:tcBorders>
              <w:top w:val="double" w:sz="4" w:space="0" w:color="auto"/>
              <w:left w:val="single" w:sz="4" w:space="0" w:color="auto"/>
              <w:bottom w:val="nil"/>
              <w:right w:val="nil"/>
            </w:tcBorders>
            <w:vAlign w:val="center"/>
            <w:hideMark/>
          </w:tcPr>
          <w:p w:rsidR="000853CA" w:rsidRDefault="000853CA">
            <w:pPr>
              <w:jc w:val="center"/>
              <w:rPr>
                <w:rFonts w:ascii="Arial" w:hAnsi="Arial"/>
                <w:bCs/>
                <w:color w:val="92D050"/>
                <w:sz w:val="40"/>
                <w:szCs w:val="40"/>
              </w:rPr>
            </w:pPr>
            <w:r>
              <w:rPr>
                <w:bCs/>
                <w:color w:val="92D050"/>
                <w:sz w:val="40"/>
                <w:szCs w:val="40"/>
              </w:rPr>
              <w:sym w:font="Wingdings 3" w:char="F0C7"/>
            </w:r>
          </w:p>
        </w:tc>
        <w:tc>
          <w:tcPr>
            <w:tcW w:w="1505" w:type="dxa"/>
            <w:tcBorders>
              <w:top w:val="double" w:sz="4" w:space="0" w:color="auto"/>
              <w:left w:val="nil"/>
              <w:bottom w:val="nil"/>
              <w:right w:val="double" w:sz="4" w:space="0" w:color="auto"/>
            </w:tcBorders>
            <w:tcMar>
              <w:top w:w="0" w:type="dxa"/>
              <w:left w:w="70" w:type="dxa"/>
              <w:bottom w:w="0" w:type="dxa"/>
              <w:right w:w="567" w:type="dxa"/>
            </w:tcMar>
            <w:vAlign w:val="center"/>
            <w:hideMark/>
          </w:tcPr>
          <w:p w:rsidR="000853CA" w:rsidRDefault="000853CA">
            <w:pPr>
              <w:jc w:val="right"/>
              <w:rPr>
                <w:rFonts w:ascii="Arial" w:hAnsi="Arial"/>
                <w:bCs/>
                <w:sz w:val="18"/>
                <w:szCs w:val="24"/>
              </w:rPr>
            </w:pPr>
            <w:r>
              <w:rPr>
                <w:bCs/>
                <w:sz w:val="18"/>
              </w:rPr>
              <w:t>+44,0</w:t>
            </w:r>
          </w:p>
        </w:tc>
        <w:tc>
          <w:tcPr>
            <w:tcW w:w="1505" w:type="dxa"/>
            <w:tcBorders>
              <w:top w:val="double" w:sz="4" w:space="0" w:color="auto"/>
              <w:left w:val="double" w:sz="4" w:space="0" w:color="auto"/>
              <w:bottom w:val="nil"/>
              <w:right w:val="nil"/>
            </w:tcBorders>
            <w:vAlign w:val="center"/>
            <w:hideMark/>
          </w:tcPr>
          <w:p w:rsidR="000853CA" w:rsidRDefault="000853CA">
            <w:pPr>
              <w:jc w:val="center"/>
              <w:rPr>
                <w:rFonts w:ascii="Arial" w:hAnsi="Arial"/>
                <w:bCs/>
                <w:sz w:val="18"/>
                <w:szCs w:val="24"/>
              </w:rPr>
            </w:pPr>
            <w:r>
              <w:rPr>
                <w:b/>
                <w:bCs/>
                <w:color w:val="FF0000"/>
                <w:sz w:val="40"/>
                <w:szCs w:val="40"/>
              </w:rPr>
              <w:sym w:font="Wingdings 3" w:char="F0C8"/>
            </w:r>
          </w:p>
        </w:tc>
        <w:tc>
          <w:tcPr>
            <w:tcW w:w="1506" w:type="dxa"/>
            <w:tcBorders>
              <w:top w:val="double" w:sz="4" w:space="0" w:color="auto"/>
              <w:left w:val="nil"/>
              <w:bottom w:val="nil"/>
              <w:right w:val="single" w:sz="4" w:space="0" w:color="auto"/>
            </w:tcBorders>
            <w:tcMar>
              <w:top w:w="0" w:type="dxa"/>
              <w:left w:w="70" w:type="dxa"/>
              <w:bottom w:w="0" w:type="dxa"/>
              <w:right w:w="567" w:type="dxa"/>
            </w:tcMar>
            <w:vAlign w:val="center"/>
            <w:hideMark/>
          </w:tcPr>
          <w:p w:rsidR="000853CA" w:rsidRDefault="000853CA">
            <w:pPr>
              <w:jc w:val="right"/>
              <w:rPr>
                <w:rFonts w:ascii="Arial" w:hAnsi="Arial"/>
                <w:bCs/>
                <w:sz w:val="18"/>
                <w:szCs w:val="24"/>
              </w:rPr>
            </w:pPr>
            <w:r>
              <w:rPr>
                <w:bCs/>
                <w:sz w:val="18"/>
              </w:rPr>
              <w:t>-20,2</w:t>
            </w:r>
          </w:p>
        </w:tc>
      </w:tr>
      <w:tr w:rsidR="000853CA" w:rsidTr="000853CA">
        <w:trPr>
          <w:cantSplit/>
          <w:trHeight w:val="455"/>
        </w:trPr>
        <w:tc>
          <w:tcPr>
            <w:tcW w:w="0" w:type="auto"/>
            <w:vMerge/>
            <w:tcBorders>
              <w:top w:val="double" w:sz="4" w:space="0" w:color="auto"/>
              <w:left w:val="single" w:sz="4" w:space="0" w:color="auto"/>
              <w:bottom w:val="single" w:sz="4" w:space="0" w:color="auto"/>
              <w:right w:val="single" w:sz="4" w:space="0" w:color="auto"/>
            </w:tcBorders>
            <w:vAlign w:val="center"/>
            <w:hideMark/>
          </w:tcPr>
          <w:p w:rsidR="000853CA" w:rsidRDefault="000853CA">
            <w:pPr>
              <w:rPr>
                <w:rFonts w:ascii="Arial" w:hAnsi="Arial" w:cs="Arial"/>
                <w:sz w:val="18"/>
                <w:szCs w:val="16"/>
              </w:rPr>
            </w:pPr>
          </w:p>
        </w:tc>
        <w:tc>
          <w:tcPr>
            <w:tcW w:w="1985" w:type="dxa"/>
            <w:tcBorders>
              <w:top w:val="nil"/>
              <w:left w:val="single" w:sz="4" w:space="0" w:color="auto"/>
              <w:bottom w:val="nil"/>
              <w:right w:val="single" w:sz="4" w:space="0" w:color="auto"/>
            </w:tcBorders>
            <w:vAlign w:val="center"/>
            <w:hideMark/>
          </w:tcPr>
          <w:p w:rsidR="000853CA" w:rsidRDefault="000853CA">
            <w:pPr>
              <w:rPr>
                <w:rFonts w:ascii="Arial" w:hAnsi="Arial"/>
                <w:bCs/>
                <w:sz w:val="18"/>
                <w:szCs w:val="24"/>
              </w:rPr>
            </w:pPr>
            <w:r>
              <w:rPr>
                <w:bCs/>
                <w:sz w:val="18"/>
              </w:rPr>
              <w:t>Únor</w:t>
            </w:r>
          </w:p>
        </w:tc>
        <w:tc>
          <w:tcPr>
            <w:tcW w:w="1505" w:type="dxa"/>
            <w:tcBorders>
              <w:top w:val="nil"/>
              <w:left w:val="single" w:sz="4" w:space="0" w:color="auto"/>
              <w:bottom w:val="nil"/>
              <w:right w:val="nil"/>
            </w:tcBorders>
            <w:vAlign w:val="center"/>
            <w:hideMark/>
          </w:tcPr>
          <w:p w:rsidR="000853CA" w:rsidRDefault="000853CA">
            <w:pPr>
              <w:jc w:val="center"/>
              <w:rPr>
                <w:rFonts w:ascii="Arial" w:hAnsi="Arial"/>
                <w:bCs/>
                <w:color w:val="92D050"/>
                <w:sz w:val="40"/>
                <w:szCs w:val="40"/>
              </w:rPr>
            </w:pPr>
            <w:r>
              <w:rPr>
                <w:bCs/>
                <w:color w:val="92D050"/>
                <w:sz w:val="40"/>
                <w:szCs w:val="40"/>
              </w:rPr>
              <w:sym w:font="Wingdings 3" w:char="F0C7"/>
            </w:r>
          </w:p>
        </w:tc>
        <w:tc>
          <w:tcPr>
            <w:tcW w:w="1505" w:type="dxa"/>
            <w:tcBorders>
              <w:top w:val="nil"/>
              <w:left w:val="nil"/>
              <w:bottom w:val="nil"/>
              <w:right w:val="double" w:sz="4" w:space="0" w:color="auto"/>
            </w:tcBorders>
            <w:tcMar>
              <w:top w:w="0" w:type="dxa"/>
              <w:left w:w="70" w:type="dxa"/>
              <w:bottom w:w="0" w:type="dxa"/>
              <w:right w:w="567" w:type="dxa"/>
            </w:tcMar>
            <w:vAlign w:val="center"/>
            <w:hideMark/>
          </w:tcPr>
          <w:p w:rsidR="000853CA" w:rsidRDefault="000853CA">
            <w:pPr>
              <w:jc w:val="right"/>
              <w:rPr>
                <w:rFonts w:ascii="Arial" w:hAnsi="Arial"/>
                <w:bCs/>
                <w:sz w:val="18"/>
                <w:szCs w:val="24"/>
              </w:rPr>
            </w:pPr>
            <w:r>
              <w:rPr>
                <w:bCs/>
                <w:sz w:val="18"/>
              </w:rPr>
              <w:t>+43,5</w:t>
            </w:r>
          </w:p>
        </w:tc>
        <w:tc>
          <w:tcPr>
            <w:tcW w:w="1505" w:type="dxa"/>
            <w:tcBorders>
              <w:top w:val="nil"/>
              <w:left w:val="double" w:sz="4" w:space="0" w:color="auto"/>
              <w:bottom w:val="nil"/>
              <w:right w:val="nil"/>
            </w:tcBorders>
            <w:vAlign w:val="center"/>
            <w:hideMark/>
          </w:tcPr>
          <w:p w:rsidR="000853CA" w:rsidRDefault="000853CA">
            <w:pPr>
              <w:jc w:val="center"/>
              <w:rPr>
                <w:rFonts w:ascii="Arial" w:hAnsi="Arial"/>
                <w:b/>
                <w:bCs/>
                <w:color w:val="FF0000"/>
                <w:sz w:val="40"/>
                <w:szCs w:val="40"/>
              </w:rPr>
            </w:pPr>
            <w:r>
              <w:rPr>
                <w:bCs/>
                <w:color w:val="92D050"/>
                <w:sz w:val="40"/>
                <w:szCs w:val="40"/>
              </w:rPr>
              <w:sym w:font="Wingdings 3" w:char="F0C7"/>
            </w:r>
          </w:p>
        </w:tc>
        <w:tc>
          <w:tcPr>
            <w:tcW w:w="1506" w:type="dxa"/>
            <w:tcBorders>
              <w:top w:val="nil"/>
              <w:left w:val="nil"/>
              <w:bottom w:val="nil"/>
              <w:right w:val="single" w:sz="4" w:space="0" w:color="auto"/>
            </w:tcBorders>
            <w:tcMar>
              <w:top w:w="0" w:type="dxa"/>
              <w:left w:w="70" w:type="dxa"/>
              <w:bottom w:w="0" w:type="dxa"/>
              <w:right w:w="567" w:type="dxa"/>
            </w:tcMar>
            <w:vAlign w:val="center"/>
            <w:hideMark/>
          </w:tcPr>
          <w:p w:rsidR="000853CA" w:rsidRDefault="000853CA">
            <w:pPr>
              <w:jc w:val="right"/>
              <w:rPr>
                <w:rFonts w:ascii="Arial" w:hAnsi="Arial"/>
                <w:bCs/>
                <w:sz w:val="18"/>
                <w:szCs w:val="24"/>
              </w:rPr>
            </w:pPr>
            <w:r>
              <w:rPr>
                <w:bCs/>
                <w:sz w:val="18"/>
              </w:rPr>
              <w:t>+0,2</w:t>
            </w:r>
          </w:p>
        </w:tc>
      </w:tr>
      <w:tr w:rsidR="000853CA" w:rsidTr="000853CA">
        <w:trPr>
          <w:cantSplit/>
          <w:trHeight w:val="456"/>
        </w:trPr>
        <w:tc>
          <w:tcPr>
            <w:tcW w:w="0" w:type="auto"/>
            <w:vMerge/>
            <w:tcBorders>
              <w:top w:val="double" w:sz="4" w:space="0" w:color="auto"/>
              <w:left w:val="single" w:sz="4" w:space="0" w:color="auto"/>
              <w:bottom w:val="single" w:sz="4" w:space="0" w:color="auto"/>
              <w:right w:val="single" w:sz="4" w:space="0" w:color="auto"/>
            </w:tcBorders>
            <w:vAlign w:val="center"/>
            <w:hideMark/>
          </w:tcPr>
          <w:p w:rsidR="000853CA" w:rsidRDefault="000853CA">
            <w:pPr>
              <w:rPr>
                <w:rFonts w:ascii="Arial" w:hAnsi="Arial" w:cs="Arial"/>
                <w:sz w:val="18"/>
                <w:szCs w:val="16"/>
              </w:rPr>
            </w:pPr>
          </w:p>
        </w:tc>
        <w:tc>
          <w:tcPr>
            <w:tcW w:w="1985" w:type="dxa"/>
            <w:tcBorders>
              <w:top w:val="nil"/>
              <w:left w:val="single" w:sz="4" w:space="0" w:color="auto"/>
              <w:bottom w:val="single" w:sz="4" w:space="0" w:color="auto"/>
              <w:right w:val="single" w:sz="4" w:space="0" w:color="auto"/>
            </w:tcBorders>
            <w:vAlign w:val="center"/>
            <w:hideMark/>
          </w:tcPr>
          <w:p w:rsidR="000853CA" w:rsidRDefault="000853CA">
            <w:pPr>
              <w:rPr>
                <w:rFonts w:ascii="Arial" w:hAnsi="Arial"/>
                <w:bCs/>
                <w:sz w:val="18"/>
                <w:szCs w:val="24"/>
              </w:rPr>
            </w:pPr>
            <w:r>
              <w:rPr>
                <w:bCs/>
                <w:sz w:val="18"/>
              </w:rPr>
              <w:t>Březen</w:t>
            </w:r>
          </w:p>
        </w:tc>
        <w:tc>
          <w:tcPr>
            <w:tcW w:w="1505" w:type="dxa"/>
            <w:tcBorders>
              <w:top w:val="nil"/>
              <w:left w:val="single" w:sz="4" w:space="0" w:color="auto"/>
              <w:bottom w:val="single" w:sz="4" w:space="0" w:color="auto"/>
              <w:right w:val="nil"/>
            </w:tcBorders>
            <w:vAlign w:val="center"/>
            <w:hideMark/>
          </w:tcPr>
          <w:p w:rsidR="000853CA" w:rsidRDefault="000853CA">
            <w:pPr>
              <w:jc w:val="center"/>
              <w:rPr>
                <w:rFonts w:ascii="Arial" w:hAnsi="Arial"/>
                <w:bCs/>
                <w:color w:val="92D050"/>
                <w:sz w:val="40"/>
                <w:szCs w:val="40"/>
              </w:rPr>
            </w:pPr>
            <w:r>
              <w:rPr>
                <w:bCs/>
                <w:color w:val="92D050"/>
                <w:sz w:val="40"/>
                <w:szCs w:val="40"/>
              </w:rPr>
              <w:sym w:font="Wingdings 3" w:char="F0C7"/>
            </w:r>
          </w:p>
        </w:tc>
        <w:tc>
          <w:tcPr>
            <w:tcW w:w="1505" w:type="dxa"/>
            <w:tcBorders>
              <w:top w:val="nil"/>
              <w:left w:val="nil"/>
              <w:bottom w:val="single" w:sz="4" w:space="0" w:color="auto"/>
              <w:right w:val="double" w:sz="4" w:space="0" w:color="auto"/>
            </w:tcBorders>
            <w:tcMar>
              <w:top w:w="0" w:type="dxa"/>
              <w:left w:w="70" w:type="dxa"/>
              <w:bottom w:w="0" w:type="dxa"/>
              <w:right w:w="567" w:type="dxa"/>
            </w:tcMar>
            <w:vAlign w:val="center"/>
            <w:hideMark/>
          </w:tcPr>
          <w:p w:rsidR="000853CA" w:rsidRDefault="000853CA">
            <w:pPr>
              <w:jc w:val="right"/>
              <w:rPr>
                <w:rFonts w:ascii="Arial" w:hAnsi="Arial"/>
                <w:bCs/>
                <w:sz w:val="18"/>
                <w:szCs w:val="24"/>
              </w:rPr>
            </w:pPr>
            <w:r>
              <w:rPr>
                <w:bCs/>
                <w:sz w:val="18"/>
              </w:rPr>
              <w:t>+8,0</w:t>
            </w:r>
          </w:p>
        </w:tc>
        <w:tc>
          <w:tcPr>
            <w:tcW w:w="1505" w:type="dxa"/>
            <w:tcBorders>
              <w:top w:val="nil"/>
              <w:left w:val="double" w:sz="4" w:space="0" w:color="auto"/>
              <w:bottom w:val="single" w:sz="4" w:space="0" w:color="auto"/>
              <w:right w:val="nil"/>
            </w:tcBorders>
            <w:vAlign w:val="center"/>
            <w:hideMark/>
          </w:tcPr>
          <w:p w:rsidR="000853CA" w:rsidRDefault="000853CA">
            <w:pPr>
              <w:jc w:val="center"/>
              <w:rPr>
                <w:rFonts w:ascii="Arial" w:hAnsi="Arial"/>
                <w:b/>
                <w:bCs/>
                <w:color w:val="FF0000"/>
                <w:sz w:val="40"/>
                <w:szCs w:val="40"/>
              </w:rPr>
            </w:pPr>
            <w:r>
              <w:rPr>
                <w:bCs/>
                <w:color w:val="92D050"/>
                <w:sz w:val="40"/>
                <w:szCs w:val="40"/>
              </w:rPr>
              <w:sym w:font="Wingdings 3" w:char="F0C7"/>
            </w:r>
          </w:p>
        </w:tc>
        <w:tc>
          <w:tcPr>
            <w:tcW w:w="1506" w:type="dxa"/>
            <w:tcBorders>
              <w:top w:val="nil"/>
              <w:left w:val="nil"/>
              <w:bottom w:val="single" w:sz="4" w:space="0" w:color="auto"/>
              <w:right w:val="single" w:sz="4" w:space="0" w:color="auto"/>
            </w:tcBorders>
            <w:tcMar>
              <w:top w:w="0" w:type="dxa"/>
              <w:left w:w="70" w:type="dxa"/>
              <w:bottom w:w="0" w:type="dxa"/>
              <w:right w:w="567" w:type="dxa"/>
            </w:tcMar>
            <w:vAlign w:val="center"/>
            <w:hideMark/>
          </w:tcPr>
          <w:p w:rsidR="000853CA" w:rsidRDefault="000853CA">
            <w:pPr>
              <w:jc w:val="right"/>
              <w:rPr>
                <w:rFonts w:ascii="Arial" w:hAnsi="Arial"/>
                <w:bCs/>
                <w:sz w:val="18"/>
                <w:szCs w:val="24"/>
              </w:rPr>
            </w:pPr>
            <w:r>
              <w:rPr>
                <w:bCs/>
                <w:sz w:val="18"/>
              </w:rPr>
              <w:t>+71,1</w:t>
            </w:r>
          </w:p>
        </w:tc>
      </w:tr>
      <w:tr w:rsidR="000853CA" w:rsidTr="000853CA">
        <w:trPr>
          <w:cantSplit/>
          <w:trHeight w:val="455"/>
        </w:trPr>
        <w:tc>
          <w:tcPr>
            <w:tcW w:w="0" w:type="auto"/>
            <w:vMerge/>
            <w:tcBorders>
              <w:top w:val="double" w:sz="4" w:space="0" w:color="auto"/>
              <w:left w:val="single" w:sz="4" w:space="0" w:color="auto"/>
              <w:bottom w:val="single" w:sz="4" w:space="0" w:color="auto"/>
              <w:right w:val="single" w:sz="4" w:space="0" w:color="auto"/>
            </w:tcBorders>
            <w:vAlign w:val="center"/>
            <w:hideMark/>
          </w:tcPr>
          <w:p w:rsidR="000853CA" w:rsidRDefault="000853CA">
            <w:pPr>
              <w:rPr>
                <w:rFonts w:ascii="Arial" w:hAnsi="Arial" w:cs="Arial"/>
                <w:sz w:val="18"/>
                <w:szCs w:val="16"/>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0853CA" w:rsidRDefault="000853CA">
            <w:pPr>
              <w:rPr>
                <w:rFonts w:ascii="Arial" w:hAnsi="Arial"/>
                <w:bCs/>
                <w:sz w:val="18"/>
                <w:szCs w:val="24"/>
              </w:rPr>
            </w:pPr>
            <w:r>
              <w:rPr>
                <w:rFonts w:cs="Arial"/>
                <w:sz w:val="18"/>
                <w:szCs w:val="16"/>
              </w:rPr>
              <w:t>1. čtvrtletí</w:t>
            </w:r>
          </w:p>
        </w:tc>
        <w:tc>
          <w:tcPr>
            <w:tcW w:w="1505" w:type="dxa"/>
            <w:tcBorders>
              <w:top w:val="single" w:sz="4" w:space="0" w:color="auto"/>
              <w:left w:val="single" w:sz="4" w:space="0" w:color="auto"/>
              <w:bottom w:val="single" w:sz="4" w:space="0" w:color="auto"/>
              <w:right w:val="nil"/>
            </w:tcBorders>
            <w:vAlign w:val="center"/>
            <w:hideMark/>
          </w:tcPr>
          <w:p w:rsidR="000853CA" w:rsidRDefault="000853CA">
            <w:pPr>
              <w:jc w:val="center"/>
              <w:rPr>
                <w:rFonts w:ascii="Arial" w:hAnsi="Arial"/>
                <w:b/>
                <w:bCs/>
                <w:color w:val="FF0000"/>
                <w:sz w:val="40"/>
                <w:szCs w:val="40"/>
              </w:rPr>
            </w:pPr>
            <w:r>
              <w:rPr>
                <w:bCs/>
                <w:color w:val="92D050"/>
                <w:sz w:val="40"/>
                <w:szCs w:val="40"/>
              </w:rPr>
              <w:sym w:font="Wingdings 3" w:char="F0C7"/>
            </w:r>
          </w:p>
        </w:tc>
        <w:tc>
          <w:tcPr>
            <w:tcW w:w="1505" w:type="dxa"/>
            <w:tcBorders>
              <w:top w:val="single" w:sz="4" w:space="0" w:color="auto"/>
              <w:left w:val="nil"/>
              <w:bottom w:val="single" w:sz="4" w:space="0" w:color="auto"/>
              <w:right w:val="double" w:sz="4" w:space="0" w:color="auto"/>
            </w:tcBorders>
            <w:tcMar>
              <w:top w:w="0" w:type="dxa"/>
              <w:left w:w="70" w:type="dxa"/>
              <w:bottom w:w="0" w:type="dxa"/>
              <w:right w:w="567" w:type="dxa"/>
            </w:tcMar>
            <w:vAlign w:val="center"/>
            <w:hideMark/>
          </w:tcPr>
          <w:p w:rsidR="000853CA" w:rsidRDefault="000853CA">
            <w:pPr>
              <w:jc w:val="right"/>
              <w:rPr>
                <w:rFonts w:ascii="Arial" w:hAnsi="Arial"/>
                <w:bCs/>
                <w:sz w:val="18"/>
                <w:szCs w:val="24"/>
              </w:rPr>
            </w:pPr>
            <w:r>
              <w:rPr>
                <w:bCs/>
                <w:sz w:val="18"/>
              </w:rPr>
              <w:t>+31,5</w:t>
            </w:r>
          </w:p>
        </w:tc>
        <w:tc>
          <w:tcPr>
            <w:tcW w:w="1505" w:type="dxa"/>
            <w:tcBorders>
              <w:top w:val="single" w:sz="4" w:space="0" w:color="auto"/>
              <w:left w:val="double" w:sz="4" w:space="0" w:color="auto"/>
              <w:bottom w:val="single" w:sz="4" w:space="0" w:color="auto"/>
              <w:right w:val="nil"/>
            </w:tcBorders>
            <w:vAlign w:val="center"/>
            <w:hideMark/>
          </w:tcPr>
          <w:p w:rsidR="000853CA" w:rsidRDefault="000853CA">
            <w:pPr>
              <w:jc w:val="center"/>
              <w:rPr>
                <w:rFonts w:ascii="Arial" w:hAnsi="Arial"/>
                <w:bCs/>
                <w:color w:val="92D050"/>
                <w:sz w:val="40"/>
                <w:szCs w:val="40"/>
              </w:rPr>
            </w:pPr>
            <w:r>
              <w:rPr>
                <w:bCs/>
                <w:color w:val="92D050"/>
                <w:sz w:val="40"/>
                <w:szCs w:val="40"/>
              </w:rPr>
              <w:sym w:font="Wingdings 3" w:char="F0C7"/>
            </w:r>
          </w:p>
        </w:tc>
        <w:tc>
          <w:tcPr>
            <w:tcW w:w="1506" w:type="dxa"/>
            <w:tcBorders>
              <w:top w:val="single" w:sz="4" w:space="0" w:color="auto"/>
              <w:left w:val="nil"/>
              <w:bottom w:val="single" w:sz="4" w:space="0" w:color="auto"/>
              <w:right w:val="single" w:sz="4" w:space="0" w:color="auto"/>
            </w:tcBorders>
            <w:tcMar>
              <w:top w:w="0" w:type="dxa"/>
              <w:left w:w="70" w:type="dxa"/>
              <w:bottom w:w="0" w:type="dxa"/>
              <w:right w:w="567" w:type="dxa"/>
            </w:tcMar>
            <w:vAlign w:val="center"/>
            <w:hideMark/>
          </w:tcPr>
          <w:p w:rsidR="000853CA" w:rsidRDefault="000853CA">
            <w:pPr>
              <w:jc w:val="right"/>
              <w:rPr>
                <w:rFonts w:ascii="Arial" w:hAnsi="Arial"/>
                <w:bCs/>
                <w:sz w:val="18"/>
                <w:szCs w:val="24"/>
              </w:rPr>
            </w:pPr>
            <w:r>
              <w:rPr>
                <w:bCs/>
                <w:sz w:val="18"/>
              </w:rPr>
              <w:t>+24,6</w:t>
            </w:r>
          </w:p>
        </w:tc>
      </w:tr>
      <w:tr w:rsidR="000853CA" w:rsidTr="000853CA">
        <w:trPr>
          <w:cantSplit/>
          <w:trHeight w:val="456"/>
        </w:trPr>
        <w:tc>
          <w:tcPr>
            <w:tcW w:w="0" w:type="auto"/>
            <w:vMerge/>
            <w:tcBorders>
              <w:top w:val="double" w:sz="4" w:space="0" w:color="auto"/>
              <w:left w:val="single" w:sz="4" w:space="0" w:color="auto"/>
              <w:bottom w:val="single" w:sz="4" w:space="0" w:color="auto"/>
              <w:right w:val="single" w:sz="4" w:space="0" w:color="auto"/>
            </w:tcBorders>
            <w:vAlign w:val="center"/>
            <w:hideMark/>
          </w:tcPr>
          <w:p w:rsidR="000853CA" w:rsidRDefault="000853CA">
            <w:pPr>
              <w:rPr>
                <w:rFonts w:ascii="Arial" w:hAnsi="Arial" w:cs="Arial"/>
                <w:sz w:val="18"/>
                <w:szCs w:val="16"/>
              </w:rPr>
            </w:pPr>
          </w:p>
        </w:tc>
        <w:tc>
          <w:tcPr>
            <w:tcW w:w="1985" w:type="dxa"/>
            <w:tcBorders>
              <w:top w:val="single" w:sz="4" w:space="0" w:color="auto"/>
              <w:left w:val="single" w:sz="4" w:space="0" w:color="auto"/>
              <w:bottom w:val="nil"/>
              <w:right w:val="single" w:sz="4" w:space="0" w:color="auto"/>
            </w:tcBorders>
            <w:vAlign w:val="center"/>
            <w:hideMark/>
          </w:tcPr>
          <w:p w:rsidR="000853CA" w:rsidRDefault="000853CA">
            <w:pPr>
              <w:rPr>
                <w:rFonts w:ascii="Arial" w:hAnsi="Arial" w:cs="Arial"/>
                <w:sz w:val="18"/>
                <w:szCs w:val="16"/>
              </w:rPr>
            </w:pPr>
            <w:r>
              <w:rPr>
                <w:rFonts w:cs="Arial"/>
                <w:sz w:val="18"/>
                <w:szCs w:val="16"/>
              </w:rPr>
              <w:t>Duben</w:t>
            </w:r>
          </w:p>
        </w:tc>
        <w:tc>
          <w:tcPr>
            <w:tcW w:w="1505" w:type="dxa"/>
            <w:tcBorders>
              <w:top w:val="single" w:sz="4" w:space="0" w:color="auto"/>
              <w:left w:val="single" w:sz="4" w:space="0" w:color="auto"/>
              <w:bottom w:val="nil"/>
              <w:right w:val="nil"/>
            </w:tcBorders>
            <w:vAlign w:val="center"/>
            <w:hideMark/>
          </w:tcPr>
          <w:p w:rsidR="000853CA" w:rsidRDefault="000853CA">
            <w:pPr>
              <w:jc w:val="center"/>
              <w:rPr>
                <w:rFonts w:ascii="Arial" w:hAnsi="Arial"/>
                <w:bCs/>
                <w:sz w:val="18"/>
                <w:szCs w:val="24"/>
              </w:rPr>
            </w:pPr>
            <w:r>
              <w:rPr>
                <w:b/>
                <w:bCs/>
                <w:color w:val="FF0000"/>
                <w:sz w:val="40"/>
                <w:szCs w:val="40"/>
              </w:rPr>
              <w:sym w:font="Wingdings 3" w:char="F0C8"/>
            </w:r>
          </w:p>
        </w:tc>
        <w:tc>
          <w:tcPr>
            <w:tcW w:w="1505" w:type="dxa"/>
            <w:tcBorders>
              <w:top w:val="single" w:sz="4" w:space="0" w:color="auto"/>
              <w:left w:val="nil"/>
              <w:bottom w:val="nil"/>
              <w:right w:val="double" w:sz="4" w:space="0" w:color="auto"/>
            </w:tcBorders>
            <w:tcMar>
              <w:top w:w="0" w:type="dxa"/>
              <w:left w:w="70" w:type="dxa"/>
              <w:bottom w:w="0" w:type="dxa"/>
              <w:right w:w="567" w:type="dxa"/>
            </w:tcMar>
            <w:vAlign w:val="center"/>
            <w:hideMark/>
          </w:tcPr>
          <w:p w:rsidR="000853CA" w:rsidRDefault="000853CA">
            <w:pPr>
              <w:jc w:val="right"/>
              <w:rPr>
                <w:rFonts w:ascii="Arial" w:hAnsi="Arial"/>
                <w:bCs/>
                <w:sz w:val="18"/>
                <w:szCs w:val="24"/>
              </w:rPr>
            </w:pPr>
            <w:r>
              <w:rPr>
                <w:bCs/>
                <w:sz w:val="18"/>
              </w:rPr>
              <w:t>-3,6</w:t>
            </w:r>
          </w:p>
        </w:tc>
        <w:tc>
          <w:tcPr>
            <w:tcW w:w="1505" w:type="dxa"/>
            <w:tcBorders>
              <w:top w:val="single" w:sz="4" w:space="0" w:color="auto"/>
              <w:left w:val="double" w:sz="4" w:space="0" w:color="auto"/>
              <w:bottom w:val="nil"/>
              <w:right w:val="nil"/>
            </w:tcBorders>
            <w:vAlign w:val="center"/>
            <w:hideMark/>
          </w:tcPr>
          <w:p w:rsidR="000853CA" w:rsidRDefault="000853CA">
            <w:pPr>
              <w:jc w:val="center"/>
              <w:rPr>
                <w:rFonts w:ascii="Arial" w:hAnsi="Arial"/>
                <w:bCs/>
                <w:sz w:val="18"/>
                <w:szCs w:val="24"/>
              </w:rPr>
            </w:pPr>
            <w:r>
              <w:rPr>
                <w:b/>
                <w:bCs/>
                <w:color w:val="FF0000"/>
                <w:sz w:val="40"/>
                <w:szCs w:val="40"/>
              </w:rPr>
              <w:sym w:font="Wingdings 3" w:char="F0C8"/>
            </w:r>
          </w:p>
        </w:tc>
        <w:tc>
          <w:tcPr>
            <w:tcW w:w="1506" w:type="dxa"/>
            <w:tcBorders>
              <w:top w:val="single" w:sz="4" w:space="0" w:color="auto"/>
              <w:left w:val="nil"/>
              <w:bottom w:val="nil"/>
              <w:right w:val="single" w:sz="4" w:space="0" w:color="auto"/>
            </w:tcBorders>
            <w:tcMar>
              <w:top w:w="0" w:type="dxa"/>
              <w:left w:w="70" w:type="dxa"/>
              <w:bottom w:w="0" w:type="dxa"/>
              <w:right w:w="567" w:type="dxa"/>
            </w:tcMar>
            <w:vAlign w:val="center"/>
            <w:hideMark/>
          </w:tcPr>
          <w:p w:rsidR="000853CA" w:rsidRDefault="000853CA">
            <w:pPr>
              <w:jc w:val="right"/>
              <w:rPr>
                <w:rFonts w:ascii="Arial" w:hAnsi="Arial"/>
                <w:bCs/>
                <w:sz w:val="18"/>
                <w:szCs w:val="24"/>
              </w:rPr>
            </w:pPr>
            <w:r>
              <w:rPr>
                <w:bCs/>
                <w:sz w:val="18"/>
              </w:rPr>
              <w:t>-77,4</w:t>
            </w:r>
          </w:p>
        </w:tc>
      </w:tr>
      <w:tr w:rsidR="000853CA" w:rsidTr="000853CA">
        <w:trPr>
          <w:cantSplit/>
          <w:trHeight w:val="455"/>
        </w:trPr>
        <w:tc>
          <w:tcPr>
            <w:tcW w:w="0" w:type="auto"/>
            <w:vMerge/>
            <w:tcBorders>
              <w:top w:val="double" w:sz="4" w:space="0" w:color="auto"/>
              <w:left w:val="single" w:sz="4" w:space="0" w:color="auto"/>
              <w:bottom w:val="single" w:sz="4" w:space="0" w:color="auto"/>
              <w:right w:val="single" w:sz="4" w:space="0" w:color="auto"/>
            </w:tcBorders>
            <w:vAlign w:val="center"/>
            <w:hideMark/>
          </w:tcPr>
          <w:p w:rsidR="000853CA" w:rsidRDefault="000853CA">
            <w:pPr>
              <w:rPr>
                <w:rFonts w:ascii="Arial" w:hAnsi="Arial" w:cs="Arial"/>
                <w:sz w:val="18"/>
                <w:szCs w:val="16"/>
              </w:rPr>
            </w:pPr>
          </w:p>
        </w:tc>
        <w:tc>
          <w:tcPr>
            <w:tcW w:w="1985" w:type="dxa"/>
            <w:tcBorders>
              <w:top w:val="nil"/>
              <w:left w:val="single" w:sz="4" w:space="0" w:color="auto"/>
              <w:bottom w:val="single" w:sz="4" w:space="0" w:color="auto"/>
              <w:right w:val="single" w:sz="4" w:space="0" w:color="auto"/>
            </w:tcBorders>
            <w:vAlign w:val="center"/>
            <w:hideMark/>
          </w:tcPr>
          <w:p w:rsidR="000853CA" w:rsidRDefault="000853CA">
            <w:pPr>
              <w:rPr>
                <w:rFonts w:ascii="Arial" w:hAnsi="Arial" w:cs="Arial"/>
                <w:sz w:val="18"/>
                <w:szCs w:val="16"/>
              </w:rPr>
            </w:pPr>
            <w:r>
              <w:rPr>
                <w:rFonts w:cs="Arial"/>
                <w:sz w:val="18"/>
                <w:szCs w:val="16"/>
              </w:rPr>
              <w:t>Květen</w:t>
            </w:r>
          </w:p>
        </w:tc>
        <w:tc>
          <w:tcPr>
            <w:tcW w:w="1505" w:type="dxa"/>
            <w:tcBorders>
              <w:top w:val="nil"/>
              <w:left w:val="single" w:sz="4" w:space="0" w:color="auto"/>
              <w:bottom w:val="single" w:sz="4" w:space="0" w:color="auto"/>
              <w:right w:val="nil"/>
            </w:tcBorders>
            <w:vAlign w:val="center"/>
            <w:hideMark/>
          </w:tcPr>
          <w:p w:rsidR="000853CA" w:rsidRDefault="000853CA">
            <w:pPr>
              <w:jc w:val="center"/>
              <w:rPr>
                <w:rFonts w:ascii="Arial" w:hAnsi="Arial"/>
                <w:bCs/>
                <w:sz w:val="18"/>
                <w:szCs w:val="24"/>
              </w:rPr>
            </w:pPr>
            <w:r>
              <w:rPr>
                <w:b/>
                <w:bCs/>
                <w:color w:val="FF0000"/>
                <w:sz w:val="40"/>
                <w:szCs w:val="40"/>
              </w:rPr>
              <w:sym w:font="Wingdings 3" w:char="F0C8"/>
            </w:r>
          </w:p>
        </w:tc>
        <w:tc>
          <w:tcPr>
            <w:tcW w:w="1505" w:type="dxa"/>
            <w:tcBorders>
              <w:top w:val="nil"/>
              <w:left w:val="nil"/>
              <w:bottom w:val="single" w:sz="4" w:space="0" w:color="auto"/>
              <w:right w:val="double" w:sz="4" w:space="0" w:color="auto"/>
            </w:tcBorders>
            <w:tcMar>
              <w:top w:w="0" w:type="dxa"/>
              <w:left w:w="70" w:type="dxa"/>
              <w:bottom w:w="0" w:type="dxa"/>
              <w:right w:w="567" w:type="dxa"/>
            </w:tcMar>
            <w:vAlign w:val="center"/>
            <w:hideMark/>
          </w:tcPr>
          <w:p w:rsidR="000853CA" w:rsidRDefault="000853CA">
            <w:pPr>
              <w:jc w:val="right"/>
              <w:rPr>
                <w:rFonts w:ascii="Arial" w:hAnsi="Arial"/>
                <w:bCs/>
                <w:sz w:val="18"/>
                <w:szCs w:val="24"/>
              </w:rPr>
            </w:pPr>
            <w:r>
              <w:rPr>
                <w:bCs/>
                <w:sz w:val="18"/>
              </w:rPr>
              <w:t>-67,3</w:t>
            </w:r>
          </w:p>
        </w:tc>
        <w:tc>
          <w:tcPr>
            <w:tcW w:w="1505" w:type="dxa"/>
            <w:tcBorders>
              <w:top w:val="nil"/>
              <w:left w:val="double" w:sz="4" w:space="0" w:color="auto"/>
              <w:bottom w:val="single" w:sz="4" w:space="0" w:color="auto"/>
              <w:right w:val="nil"/>
            </w:tcBorders>
            <w:vAlign w:val="center"/>
            <w:hideMark/>
          </w:tcPr>
          <w:p w:rsidR="000853CA" w:rsidRDefault="000853CA">
            <w:pPr>
              <w:jc w:val="center"/>
              <w:rPr>
                <w:rFonts w:ascii="Arial" w:hAnsi="Arial"/>
                <w:bCs/>
                <w:sz w:val="18"/>
                <w:szCs w:val="24"/>
              </w:rPr>
            </w:pPr>
            <w:r>
              <w:rPr>
                <w:b/>
                <w:bCs/>
                <w:color w:val="FF0000"/>
                <w:sz w:val="40"/>
                <w:szCs w:val="40"/>
              </w:rPr>
              <w:sym w:font="Wingdings 3" w:char="F0C8"/>
            </w:r>
          </w:p>
        </w:tc>
        <w:tc>
          <w:tcPr>
            <w:tcW w:w="1506" w:type="dxa"/>
            <w:tcBorders>
              <w:top w:val="nil"/>
              <w:left w:val="nil"/>
              <w:bottom w:val="single" w:sz="4" w:space="0" w:color="auto"/>
              <w:right w:val="single" w:sz="4" w:space="0" w:color="auto"/>
            </w:tcBorders>
            <w:tcMar>
              <w:top w:w="0" w:type="dxa"/>
              <w:left w:w="70" w:type="dxa"/>
              <w:bottom w:w="0" w:type="dxa"/>
              <w:right w:w="567" w:type="dxa"/>
            </w:tcMar>
            <w:vAlign w:val="center"/>
            <w:hideMark/>
          </w:tcPr>
          <w:p w:rsidR="000853CA" w:rsidRDefault="000853CA">
            <w:pPr>
              <w:jc w:val="right"/>
              <w:rPr>
                <w:rFonts w:ascii="Arial" w:hAnsi="Arial"/>
                <w:bCs/>
                <w:sz w:val="18"/>
                <w:szCs w:val="24"/>
              </w:rPr>
            </w:pPr>
            <w:r>
              <w:rPr>
                <w:bCs/>
                <w:sz w:val="18"/>
              </w:rPr>
              <w:t>-77,8</w:t>
            </w:r>
          </w:p>
        </w:tc>
      </w:tr>
      <w:tr w:rsidR="000853CA" w:rsidTr="000853CA">
        <w:trPr>
          <w:cantSplit/>
          <w:trHeight w:val="456"/>
        </w:trPr>
        <w:tc>
          <w:tcPr>
            <w:tcW w:w="0" w:type="auto"/>
            <w:vMerge/>
            <w:tcBorders>
              <w:top w:val="double" w:sz="4" w:space="0" w:color="auto"/>
              <w:left w:val="single" w:sz="4" w:space="0" w:color="auto"/>
              <w:bottom w:val="single" w:sz="4" w:space="0" w:color="auto"/>
              <w:right w:val="single" w:sz="4" w:space="0" w:color="auto"/>
            </w:tcBorders>
            <w:vAlign w:val="center"/>
            <w:hideMark/>
          </w:tcPr>
          <w:p w:rsidR="000853CA" w:rsidRDefault="000853CA">
            <w:pPr>
              <w:rPr>
                <w:rFonts w:ascii="Arial" w:hAnsi="Arial" w:cs="Arial"/>
                <w:sz w:val="18"/>
                <w:szCs w:val="16"/>
              </w:rPr>
            </w:pPr>
          </w:p>
        </w:tc>
        <w:tc>
          <w:tcPr>
            <w:tcW w:w="1985" w:type="dxa"/>
            <w:tcBorders>
              <w:top w:val="nil"/>
              <w:left w:val="single" w:sz="4" w:space="0" w:color="auto"/>
              <w:bottom w:val="single" w:sz="4" w:space="0" w:color="auto"/>
              <w:right w:val="single" w:sz="4" w:space="0" w:color="auto"/>
            </w:tcBorders>
            <w:vAlign w:val="center"/>
            <w:hideMark/>
          </w:tcPr>
          <w:p w:rsidR="000853CA" w:rsidRDefault="000853CA">
            <w:pPr>
              <w:rPr>
                <w:rFonts w:ascii="Arial" w:hAnsi="Arial" w:cs="Arial"/>
                <w:sz w:val="18"/>
                <w:szCs w:val="16"/>
              </w:rPr>
            </w:pPr>
            <w:r>
              <w:rPr>
                <w:rFonts w:cs="Arial"/>
                <w:sz w:val="18"/>
                <w:szCs w:val="16"/>
              </w:rPr>
              <w:t>Leden až květen</w:t>
            </w:r>
          </w:p>
        </w:tc>
        <w:tc>
          <w:tcPr>
            <w:tcW w:w="1505" w:type="dxa"/>
            <w:tcBorders>
              <w:top w:val="nil"/>
              <w:left w:val="single" w:sz="4" w:space="0" w:color="auto"/>
              <w:bottom w:val="single" w:sz="4" w:space="0" w:color="auto"/>
              <w:right w:val="nil"/>
            </w:tcBorders>
            <w:vAlign w:val="center"/>
            <w:hideMark/>
          </w:tcPr>
          <w:p w:rsidR="000853CA" w:rsidRDefault="000853CA">
            <w:pPr>
              <w:jc w:val="center"/>
              <w:rPr>
                <w:rFonts w:ascii="Arial" w:hAnsi="Arial"/>
                <w:bCs/>
                <w:sz w:val="18"/>
                <w:szCs w:val="24"/>
              </w:rPr>
            </w:pPr>
            <w:r>
              <w:rPr>
                <w:b/>
                <w:bCs/>
                <w:color w:val="FF0000"/>
                <w:sz w:val="40"/>
                <w:szCs w:val="40"/>
              </w:rPr>
              <w:sym w:font="Wingdings 3" w:char="F0C8"/>
            </w:r>
          </w:p>
        </w:tc>
        <w:tc>
          <w:tcPr>
            <w:tcW w:w="1505" w:type="dxa"/>
            <w:tcBorders>
              <w:top w:val="nil"/>
              <w:left w:val="nil"/>
              <w:bottom w:val="single" w:sz="4" w:space="0" w:color="auto"/>
              <w:right w:val="double" w:sz="4" w:space="0" w:color="auto"/>
            </w:tcBorders>
            <w:tcMar>
              <w:top w:w="0" w:type="dxa"/>
              <w:left w:w="70" w:type="dxa"/>
              <w:bottom w:w="0" w:type="dxa"/>
              <w:right w:w="567" w:type="dxa"/>
            </w:tcMar>
            <w:vAlign w:val="center"/>
            <w:hideMark/>
          </w:tcPr>
          <w:p w:rsidR="000853CA" w:rsidRDefault="000853CA">
            <w:pPr>
              <w:jc w:val="right"/>
              <w:rPr>
                <w:rFonts w:ascii="Arial" w:hAnsi="Arial"/>
                <w:bCs/>
                <w:sz w:val="18"/>
                <w:szCs w:val="24"/>
              </w:rPr>
            </w:pPr>
            <w:r>
              <w:rPr>
                <w:bCs/>
                <w:sz w:val="18"/>
              </w:rPr>
              <w:t>-9,6</w:t>
            </w:r>
          </w:p>
        </w:tc>
        <w:tc>
          <w:tcPr>
            <w:tcW w:w="1505" w:type="dxa"/>
            <w:tcBorders>
              <w:top w:val="nil"/>
              <w:left w:val="double" w:sz="4" w:space="0" w:color="auto"/>
              <w:bottom w:val="single" w:sz="4" w:space="0" w:color="auto"/>
              <w:right w:val="nil"/>
            </w:tcBorders>
            <w:vAlign w:val="center"/>
            <w:hideMark/>
          </w:tcPr>
          <w:p w:rsidR="000853CA" w:rsidRDefault="000853CA">
            <w:pPr>
              <w:jc w:val="center"/>
              <w:rPr>
                <w:rFonts w:ascii="Arial" w:hAnsi="Arial"/>
                <w:bCs/>
                <w:sz w:val="18"/>
                <w:szCs w:val="24"/>
              </w:rPr>
            </w:pPr>
            <w:r>
              <w:rPr>
                <w:b/>
                <w:bCs/>
                <w:color w:val="FF0000"/>
                <w:sz w:val="40"/>
                <w:szCs w:val="40"/>
              </w:rPr>
              <w:sym w:font="Wingdings 3" w:char="F0C8"/>
            </w:r>
          </w:p>
        </w:tc>
        <w:tc>
          <w:tcPr>
            <w:tcW w:w="1506" w:type="dxa"/>
            <w:tcBorders>
              <w:top w:val="nil"/>
              <w:left w:val="nil"/>
              <w:bottom w:val="single" w:sz="4" w:space="0" w:color="auto"/>
              <w:right w:val="single" w:sz="4" w:space="0" w:color="auto"/>
            </w:tcBorders>
            <w:tcMar>
              <w:top w:w="0" w:type="dxa"/>
              <w:left w:w="70" w:type="dxa"/>
              <w:bottom w:w="0" w:type="dxa"/>
              <w:right w:w="567" w:type="dxa"/>
            </w:tcMar>
            <w:vAlign w:val="center"/>
            <w:hideMark/>
          </w:tcPr>
          <w:p w:rsidR="000853CA" w:rsidRDefault="000853CA">
            <w:pPr>
              <w:jc w:val="right"/>
              <w:rPr>
                <w:rFonts w:ascii="Arial" w:hAnsi="Arial"/>
                <w:bCs/>
                <w:sz w:val="18"/>
                <w:szCs w:val="24"/>
              </w:rPr>
            </w:pPr>
            <w:r>
              <w:rPr>
                <w:bCs/>
                <w:sz w:val="18"/>
              </w:rPr>
              <w:t>-9,8</w:t>
            </w:r>
          </w:p>
        </w:tc>
      </w:tr>
    </w:tbl>
    <w:p w:rsidR="000853CA" w:rsidRDefault="000853CA" w:rsidP="000853CA">
      <w:pPr>
        <w:spacing w:line="360" w:lineRule="auto"/>
        <w:rPr>
          <w:rFonts w:ascii="Arial" w:hAnsi="Arial"/>
          <w:b/>
          <w:bCs/>
          <w:sz w:val="20"/>
        </w:rPr>
      </w:pPr>
      <w:r>
        <w:rPr>
          <w:bCs/>
          <w:sz w:val="16"/>
          <w:szCs w:val="16"/>
        </w:rPr>
        <w:t>Zdroj: Věstník veřejných zakázek, výpočty CEEC Research</w:t>
      </w:r>
    </w:p>
    <w:p w:rsidR="000853CA" w:rsidRDefault="000853CA" w:rsidP="004F5B5A">
      <w:pPr>
        <w:spacing w:after="0" w:line="240" w:lineRule="auto"/>
        <w:rPr>
          <w:rFonts w:ascii="Arial" w:hAnsi="Arial" w:cs="Arial"/>
          <w:b/>
          <w:lang w:val="sk-SK"/>
        </w:rPr>
      </w:pPr>
    </w:p>
    <w:p w:rsidR="00C968F2" w:rsidRPr="0026597A" w:rsidRDefault="00C968F2" w:rsidP="004F5B5A">
      <w:pPr>
        <w:spacing w:after="0" w:line="240" w:lineRule="auto"/>
        <w:rPr>
          <w:rFonts w:ascii="Arial" w:hAnsi="Arial" w:cs="Arial"/>
          <w:b/>
          <w:lang w:val="sk-SK"/>
        </w:rPr>
      </w:pPr>
      <w:r w:rsidRPr="0026597A">
        <w:rPr>
          <w:rFonts w:ascii="Arial" w:hAnsi="Arial" w:cs="Arial"/>
          <w:b/>
          <w:lang w:val="sk-SK"/>
        </w:rPr>
        <w:t xml:space="preserve">Kontakt </w:t>
      </w:r>
      <w:proofErr w:type="spellStart"/>
      <w:r w:rsidRPr="0026597A">
        <w:rPr>
          <w:rFonts w:ascii="Arial" w:hAnsi="Arial" w:cs="Arial"/>
          <w:b/>
          <w:lang w:val="sk-SK"/>
        </w:rPr>
        <w:t>pro</w:t>
      </w:r>
      <w:proofErr w:type="spellEnd"/>
      <w:r w:rsidRPr="0026597A">
        <w:rPr>
          <w:rFonts w:ascii="Arial" w:hAnsi="Arial" w:cs="Arial"/>
          <w:b/>
          <w:lang w:val="sk-SK"/>
        </w:rPr>
        <w:t xml:space="preserve"> média:</w:t>
      </w:r>
    </w:p>
    <w:p w:rsidR="00C968F2" w:rsidRPr="0026597A" w:rsidRDefault="00C968F2" w:rsidP="004F5B5A">
      <w:pPr>
        <w:spacing w:after="0" w:line="240" w:lineRule="auto"/>
        <w:rPr>
          <w:rFonts w:ascii="Arial" w:hAnsi="Arial" w:cs="Arial"/>
          <w:lang w:val="sk-SK"/>
        </w:rPr>
      </w:pPr>
      <w:r w:rsidRPr="0026597A">
        <w:rPr>
          <w:rFonts w:ascii="Arial" w:hAnsi="Arial" w:cs="Arial"/>
          <w:b/>
          <w:sz w:val="8"/>
          <w:szCs w:val="8"/>
          <w:lang w:val="sk-SK"/>
        </w:rPr>
        <w:lastRenderedPageBreak/>
        <w:br/>
      </w:r>
      <w:r w:rsidRPr="0026597A">
        <w:rPr>
          <w:rFonts w:ascii="Arial" w:hAnsi="Arial" w:cs="Arial"/>
          <w:lang w:val="sk-SK"/>
        </w:rPr>
        <w:t xml:space="preserve">Alena </w:t>
      </w:r>
      <w:proofErr w:type="spellStart"/>
      <w:r w:rsidRPr="0026597A">
        <w:rPr>
          <w:rFonts w:ascii="Arial" w:hAnsi="Arial" w:cs="Arial"/>
          <w:lang w:val="sk-SK"/>
        </w:rPr>
        <w:t>Setničková</w:t>
      </w:r>
      <w:proofErr w:type="spellEnd"/>
      <w:r w:rsidRPr="0026597A">
        <w:rPr>
          <w:rFonts w:ascii="Arial" w:hAnsi="Arial" w:cs="Arial"/>
          <w:lang w:val="sk-SK"/>
        </w:rPr>
        <w:br/>
        <w:t xml:space="preserve">PR &amp; </w:t>
      </w:r>
      <w:proofErr w:type="spellStart"/>
      <w:r w:rsidRPr="0026597A">
        <w:rPr>
          <w:rFonts w:ascii="Arial" w:hAnsi="Arial" w:cs="Arial"/>
          <w:lang w:val="sk-SK"/>
        </w:rPr>
        <w:t>Communication</w:t>
      </w:r>
      <w:proofErr w:type="spellEnd"/>
      <w:r w:rsidRPr="0026597A">
        <w:rPr>
          <w:rFonts w:ascii="Arial" w:hAnsi="Arial" w:cs="Arial"/>
          <w:lang w:val="sk-SK"/>
        </w:rPr>
        <w:t xml:space="preserve"> </w:t>
      </w:r>
      <w:proofErr w:type="spellStart"/>
      <w:r w:rsidRPr="0026597A">
        <w:rPr>
          <w:rFonts w:ascii="Arial" w:hAnsi="Arial" w:cs="Arial"/>
          <w:lang w:val="sk-SK"/>
        </w:rPr>
        <w:t>Director</w:t>
      </w:r>
      <w:proofErr w:type="spellEnd"/>
      <w:r w:rsidRPr="0026597A">
        <w:rPr>
          <w:rFonts w:ascii="Arial" w:hAnsi="Arial" w:cs="Arial"/>
          <w:lang w:val="sk-SK"/>
        </w:rPr>
        <w:br/>
        <w:t>CEEC Research</w:t>
      </w:r>
      <w:r w:rsidRPr="0026597A">
        <w:rPr>
          <w:rFonts w:ascii="Arial" w:hAnsi="Arial" w:cs="Arial"/>
          <w:lang w:val="sk-SK"/>
        </w:rPr>
        <w:br/>
        <w:t xml:space="preserve">E-mail: </w:t>
      </w:r>
      <w:proofErr w:type="spellStart"/>
      <w:r w:rsidRPr="0026597A">
        <w:rPr>
          <w:rFonts w:ascii="Arial" w:hAnsi="Arial" w:cs="Arial"/>
          <w:lang w:val="sk-SK"/>
        </w:rPr>
        <w:t>setnickova@ceec.eu</w:t>
      </w:r>
      <w:proofErr w:type="spellEnd"/>
      <w:r w:rsidRPr="0026597A">
        <w:rPr>
          <w:rFonts w:ascii="Arial" w:hAnsi="Arial" w:cs="Arial"/>
          <w:lang w:val="sk-SK"/>
        </w:rPr>
        <w:br/>
        <w:t>Tel.: +420 777 299</w:t>
      </w:r>
      <w:r w:rsidR="004F5B5A" w:rsidRPr="0026597A">
        <w:rPr>
          <w:rFonts w:ascii="Arial" w:hAnsi="Arial" w:cs="Arial"/>
          <w:lang w:val="sk-SK"/>
        </w:rPr>
        <w:t> </w:t>
      </w:r>
      <w:r w:rsidRPr="0026597A">
        <w:rPr>
          <w:rFonts w:ascii="Arial" w:hAnsi="Arial" w:cs="Arial"/>
          <w:lang w:val="sk-SK"/>
        </w:rPr>
        <w:t>790</w:t>
      </w:r>
    </w:p>
    <w:p w:rsidR="004F5B5A" w:rsidRPr="0026597A" w:rsidRDefault="004F5B5A" w:rsidP="004F5B5A">
      <w:pPr>
        <w:spacing w:after="0" w:line="240" w:lineRule="auto"/>
        <w:rPr>
          <w:rFonts w:ascii="Arial" w:hAnsi="Arial" w:cs="Arial"/>
          <w:b/>
          <w:sz w:val="18"/>
          <w:szCs w:val="18"/>
        </w:rPr>
      </w:pPr>
    </w:p>
    <w:p w:rsidR="00702F17" w:rsidRDefault="00702F17" w:rsidP="00702F17">
      <w:pPr>
        <w:spacing w:line="360" w:lineRule="auto"/>
        <w:jc w:val="both"/>
        <w:rPr>
          <w:rFonts w:ascii="Arial" w:hAnsi="Arial" w:cs="Arial"/>
          <w:i/>
          <w:sz w:val="16"/>
          <w:szCs w:val="16"/>
        </w:rPr>
      </w:pPr>
      <w:r>
        <w:rPr>
          <w:rFonts w:ascii="Arial" w:hAnsi="Arial" w:cs="Arial"/>
          <w:b/>
          <w:i/>
          <w:sz w:val="16"/>
          <w:szCs w:val="16"/>
        </w:rPr>
        <w:t>CEEC Research</w:t>
      </w:r>
      <w:r>
        <w:rPr>
          <w:rFonts w:ascii="Arial" w:hAnsi="Arial" w:cs="Arial"/>
          <w:i/>
          <w:sz w:val="16"/>
          <w:szCs w:val="16"/>
        </w:rPr>
        <w:t xml:space="preserve"> je největší analytickou společností specializující se na stavebnictví v zemích střední a východní Evropy. Byla založena v roce 2005 a od té doby bezplatně poskytuje studie o aktuálním stavu a očekávaném vývoji stavebnictví v deseti zemích střední a východní Evropy. Všechny studie a analýzy CEEC Research jsou založeny výhradně na údajích získaných z pravidelných strukturovaných interview s klíčovými představiteli vybraných největších, středních i malých stavebních společností. </w:t>
      </w:r>
    </w:p>
    <w:p w:rsidR="00702F17" w:rsidRDefault="00702F17" w:rsidP="00702F17">
      <w:pPr>
        <w:spacing w:line="360" w:lineRule="auto"/>
        <w:jc w:val="both"/>
        <w:rPr>
          <w:rFonts w:ascii="Arial" w:hAnsi="Arial" w:cs="Arial"/>
          <w:i/>
          <w:sz w:val="16"/>
          <w:szCs w:val="16"/>
        </w:rPr>
      </w:pPr>
      <w:r w:rsidRPr="00702F17">
        <w:rPr>
          <w:rFonts w:ascii="Arial" w:hAnsi="Arial" w:cs="Arial"/>
          <w:b/>
          <w:i/>
          <w:sz w:val="16"/>
          <w:szCs w:val="16"/>
        </w:rPr>
        <w:t xml:space="preserve">CEEC Research </w:t>
      </w:r>
      <w:r>
        <w:rPr>
          <w:rFonts w:ascii="Arial" w:hAnsi="Arial" w:cs="Arial"/>
          <w:i/>
          <w:sz w:val="16"/>
          <w:szCs w:val="16"/>
        </w:rPr>
        <w:t>navíc k pravidelným a bezplatným analýzám stavebnictví také organizuje Setkání lídrů českého stavebnictví, kterých se účastní generální ředitelé nejvýznamnějších stavebních, developerských a projektových společností, prezidenti svazů, cechů a komor z oblasti stavebnictví a rovněž i ministři a nejvyšší představitelé státu vybraných zemí.</w:t>
      </w:r>
    </w:p>
    <w:p w:rsidR="007C55A2" w:rsidRDefault="007C55A2" w:rsidP="004F5B5A">
      <w:pPr>
        <w:spacing w:after="0"/>
        <w:rPr>
          <w:rFonts w:cs="Arial"/>
          <w:szCs w:val="20"/>
        </w:rPr>
      </w:pPr>
    </w:p>
    <w:p w:rsidR="007C55A2" w:rsidRDefault="007C55A2" w:rsidP="004F5B5A">
      <w:pPr>
        <w:spacing w:after="0"/>
      </w:pPr>
    </w:p>
    <w:sectPr w:rsidR="007C55A2" w:rsidSect="00721DB4">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552" w:rsidRDefault="00003552" w:rsidP="00A76E50">
      <w:pPr>
        <w:spacing w:after="0" w:line="240" w:lineRule="auto"/>
      </w:pPr>
      <w:r>
        <w:separator/>
      </w:r>
    </w:p>
  </w:endnote>
  <w:endnote w:type="continuationSeparator" w:id="0">
    <w:p w:rsidR="00003552" w:rsidRDefault="00003552" w:rsidP="00A76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Wingdings 3">
    <w:panose1 w:val="050401020108070707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552" w:rsidRDefault="00003552" w:rsidP="00A76E50">
      <w:pPr>
        <w:spacing w:after="0" w:line="240" w:lineRule="auto"/>
      </w:pPr>
      <w:r>
        <w:separator/>
      </w:r>
    </w:p>
  </w:footnote>
  <w:footnote w:type="continuationSeparator" w:id="0">
    <w:p w:rsidR="00003552" w:rsidRDefault="00003552" w:rsidP="00A76E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CB9" w:rsidRDefault="00012CB9" w:rsidP="00BD7803">
    <w:pPr>
      <w:pStyle w:val="Zhlav"/>
      <w:tabs>
        <w:tab w:val="clear" w:pos="4536"/>
        <w:tab w:val="clear" w:pos="9072"/>
        <w:tab w:val="left" w:pos="3585"/>
      </w:tabs>
      <w:jc w:val="center"/>
      <w:rPr>
        <w:b/>
        <w:noProof/>
        <w:color w:val="808080" w:themeColor="background1" w:themeShade="80"/>
        <w:sz w:val="60"/>
        <w:szCs w:val="60"/>
        <w:lang w:eastAsia="cs-CZ"/>
      </w:rPr>
    </w:pPr>
    <w:r>
      <w:rPr>
        <w:noProof/>
        <w:lang w:eastAsia="cs-CZ"/>
      </w:rPr>
      <w:drawing>
        <wp:anchor distT="0" distB="0" distL="114300" distR="114300" simplePos="0" relativeHeight="251659264" behindDoc="0" locked="0" layoutInCell="1" allowOverlap="1">
          <wp:simplePos x="0" y="0"/>
          <wp:positionH relativeFrom="column">
            <wp:posOffset>-238760</wp:posOffset>
          </wp:positionH>
          <wp:positionV relativeFrom="paragraph">
            <wp:posOffset>-199390</wp:posOffset>
          </wp:positionV>
          <wp:extent cx="1285240" cy="758825"/>
          <wp:effectExtent l="0" t="0" r="0" b="3175"/>
          <wp:wrapSquare wrapText="bothSides"/>
          <wp:docPr id="5" name="obrázek 6" descr="Popis: Popis: Popis: Popis: Popis: Popis: Popis: logo CEEC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descr="Popis: Popis: Popis: Popis: Popis: Popis: Popis: logo CEEC Resea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240" cy="758825"/>
                  </a:xfrm>
                  <a:prstGeom prst="rect">
                    <a:avLst/>
                  </a:prstGeom>
                  <a:noFill/>
                  <a:ln>
                    <a:noFill/>
                  </a:ln>
                </pic:spPr>
              </pic:pic>
            </a:graphicData>
          </a:graphic>
        </wp:anchor>
      </w:drawing>
    </w:r>
  </w:p>
  <w:p w:rsidR="00012CB9" w:rsidRPr="00484806" w:rsidRDefault="00012CB9" w:rsidP="00BD7803">
    <w:pPr>
      <w:pStyle w:val="Zhlav"/>
      <w:tabs>
        <w:tab w:val="clear" w:pos="4536"/>
        <w:tab w:val="clear" w:pos="9072"/>
        <w:tab w:val="left" w:pos="3585"/>
      </w:tabs>
      <w:jc w:val="center"/>
      <w:rPr>
        <w:b/>
        <w:color w:val="808080" w:themeColor="background1" w:themeShade="80"/>
        <w:sz w:val="60"/>
        <w:szCs w:val="60"/>
      </w:rPr>
    </w:pPr>
    <w:r w:rsidRPr="00484806">
      <w:rPr>
        <w:b/>
        <w:noProof/>
        <w:color w:val="808080" w:themeColor="background1" w:themeShade="80"/>
        <w:sz w:val="60"/>
        <w:szCs w:val="60"/>
        <w:lang w:eastAsia="cs-CZ"/>
      </w:rPr>
      <w:t>Tisková zpráva</w:t>
    </w:r>
  </w:p>
  <w:p w:rsidR="00012CB9" w:rsidRDefault="00012CB9">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5A2"/>
    <w:rsid w:val="00003552"/>
    <w:rsid w:val="00012CB9"/>
    <w:rsid w:val="00016986"/>
    <w:rsid w:val="000431B3"/>
    <w:rsid w:val="00055D25"/>
    <w:rsid w:val="000633FF"/>
    <w:rsid w:val="000803AD"/>
    <w:rsid w:val="000853CA"/>
    <w:rsid w:val="00092923"/>
    <w:rsid w:val="00093D49"/>
    <w:rsid w:val="000C079A"/>
    <w:rsid w:val="000C2B3C"/>
    <w:rsid w:val="000D5EC9"/>
    <w:rsid w:val="000E71B9"/>
    <w:rsid w:val="000F4820"/>
    <w:rsid w:val="001111BA"/>
    <w:rsid w:val="00116FFB"/>
    <w:rsid w:val="00121151"/>
    <w:rsid w:val="00125253"/>
    <w:rsid w:val="001A281A"/>
    <w:rsid w:val="001B76D5"/>
    <w:rsid w:val="001C6F33"/>
    <w:rsid w:val="001D36EB"/>
    <w:rsid w:val="001D7AEC"/>
    <w:rsid w:val="001F22BC"/>
    <w:rsid w:val="00211533"/>
    <w:rsid w:val="00233D6F"/>
    <w:rsid w:val="002353AC"/>
    <w:rsid w:val="002560EF"/>
    <w:rsid w:val="0026597A"/>
    <w:rsid w:val="00271171"/>
    <w:rsid w:val="00275AD4"/>
    <w:rsid w:val="00293553"/>
    <w:rsid w:val="002A7D2C"/>
    <w:rsid w:val="002B7003"/>
    <w:rsid w:val="002C6870"/>
    <w:rsid w:val="002E1B68"/>
    <w:rsid w:val="002E1CCD"/>
    <w:rsid w:val="003008A7"/>
    <w:rsid w:val="00311BF9"/>
    <w:rsid w:val="003964E1"/>
    <w:rsid w:val="003A181B"/>
    <w:rsid w:val="003A6F3A"/>
    <w:rsid w:val="003A7A48"/>
    <w:rsid w:val="003B2E18"/>
    <w:rsid w:val="003E77A1"/>
    <w:rsid w:val="0043543D"/>
    <w:rsid w:val="00437237"/>
    <w:rsid w:val="00441736"/>
    <w:rsid w:val="004462F7"/>
    <w:rsid w:val="0046114D"/>
    <w:rsid w:val="00466AB9"/>
    <w:rsid w:val="004861FD"/>
    <w:rsid w:val="004907FF"/>
    <w:rsid w:val="004B2FEB"/>
    <w:rsid w:val="004C14E3"/>
    <w:rsid w:val="004C778E"/>
    <w:rsid w:val="004F5B5A"/>
    <w:rsid w:val="0052175E"/>
    <w:rsid w:val="0054668A"/>
    <w:rsid w:val="005556C1"/>
    <w:rsid w:val="005677BC"/>
    <w:rsid w:val="005733C7"/>
    <w:rsid w:val="005912F8"/>
    <w:rsid w:val="005A4048"/>
    <w:rsid w:val="005D15C7"/>
    <w:rsid w:val="005F436D"/>
    <w:rsid w:val="00625010"/>
    <w:rsid w:val="00665B5E"/>
    <w:rsid w:val="006718DD"/>
    <w:rsid w:val="00672B96"/>
    <w:rsid w:val="00684B67"/>
    <w:rsid w:val="006A13CF"/>
    <w:rsid w:val="006A231E"/>
    <w:rsid w:val="006A594B"/>
    <w:rsid w:val="00702F17"/>
    <w:rsid w:val="00710EF9"/>
    <w:rsid w:val="0071470C"/>
    <w:rsid w:val="007151ED"/>
    <w:rsid w:val="00721DB4"/>
    <w:rsid w:val="0074021E"/>
    <w:rsid w:val="007430B7"/>
    <w:rsid w:val="00744A97"/>
    <w:rsid w:val="00752F10"/>
    <w:rsid w:val="00763269"/>
    <w:rsid w:val="0077612F"/>
    <w:rsid w:val="00785B22"/>
    <w:rsid w:val="007A4BC1"/>
    <w:rsid w:val="007B2BC0"/>
    <w:rsid w:val="007C55A2"/>
    <w:rsid w:val="007D51D0"/>
    <w:rsid w:val="007E2491"/>
    <w:rsid w:val="00875B48"/>
    <w:rsid w:val="0088009B"/>
    <w:rsid w:val="00892803"/>
    <w:rsid w:val="008A1918"/>
    <w:rsid w:val="008F4D01"/>
    <w:rsid w:val="00906B01"/>
    <w:rsid w:val="00930100"/>
    <w:rsid w:val="009452AD"/>
    <w:rsid w:val="00965531"/>
    <w:rsid w:val="00984994"/>
    <w:rsid w:val="00985694"/>
    <w:rsid w:val="009A1D73"/>
    <w:rsid w:val="009B41D2"/>
    <w:rsid w:val="009C099A"/>
    <w:rsid w:val="009C265B"/>
    <w:rsid w:val="009F318A"/>
    <w:rsid w:val="00A13B5D"/>
    <w:rsid w:val="00A13BD2"/>
    <w:rsid w:val="00A26852"/>
    <w:rsid w:val="00A32EEE"/>
    <w:rsid w:val="00A3482C"/>
    <w:rsid w:val="00A45442"/>
    <w:rsid w:val="00A76E50"/>
    <w:rsid w:val="00AB2DE8"/>
    <w:rsid w:val="00AC22A3"/>
    <w:rsid w:val="00AE1035"/>
    <w:rsid w:val="00B30D0D"/>
    <w:rsid w:val="00B64398"/>
    <w:rsid w:val="00B660F0"/>
    <w:rsid w:val="00BA097C"/>
    <w:rsid w:val="00BB3010"/>
    <w:rsid w:val="00BC3888"/>
    <w:rsid w:val="00BD7803"/>
    <w:rsid w:val="00BE0FB2"/>
    <w:rsid w:val="00BE4C87"/>
    <w:rsid w:val="00C07B25"/>
    <w:rsid w:val="00C1456C"/>
    <w:rsid w:val="00C231F2"/>
    <w:rsid w:val="00C57142"/>
    <w:rsid w:val="00C66B21"/>
    <w:rsid w:val="00C91307"/>
    <w:rsid w:val="00C945F2"/>
    <w:rsid w:val="00C968F2"/>
    <w:rsid w:val="00CC3C58"/>
    <w:rsid w:val="00CD2EFD"/>
    <w:rsid w:val="00CE177F"/>
    <w:rsid w:val="00D52AE5"/>
    <w:rsid w:val="00D601E1"/>
    <w:rsid w:val="00D6587A"/>
    <w:rsid w:val="00D8719A"/>
    <w:rsid w:val="00DB21E5"/>
    <w:rsid w:val="00DE5DFF"/>
    <w:rsid w:val="00DE6B4C"/>
    <w:rsid w:val="00E15E35"/>
    <w:rsid w:val="00E22B32"/>
    <w:rsid w:val="00E27F64"/>
    <w:rsid w:val="00E50CC2"/>
    <w:rsid w:val="00E6747F"/>
    <w:rsid w:val="00E907AC"/>
    <w:rsid w:val="00E9100F"/>
    <w:rsid w:val="00E9337A"/>
    <w:rsid w:val="00EA4F78"/>
    <w:rsid w:val="00EC008B"/>
    <w:rsid w:val="00EC5FD4"/>
    <w:rsid w:val="00F20E32"/>
    <w:rsid w:val="00F21FD4"/>
    <w:rsid w:val="00F5151A"/>
    <w:rsid w:val="00F740B9"/>
    <w:rsid w:val="00F94DB2"/>
    <w:rsid w:val="00F976FB"/>
    <w:rsid w:val="00FF07BB"/>
    <w:rsid w:val="00FF1841"/>
    <w:rsid w:val="00FF1E26"/>
    <w:rsid w:val="00FF4528"/>
  </w:rsids>
  <m:mathPr>
    <m:mathFont m:val="Cambria Math"/>
    <m:brkBin m:val="before"/>
    <m:brkBinSub m:val="--"/>
    <m:smallFrac m:val="0"/>
    <m:dispDef/>
    <m:lMargin m:val="0"/>
    <m:rMargin m:val="0"/>
    <m:defJc m:val="centerGroup"/>
    <m:wrapIndent m:val="1440"/>
    <m:intLim m:val="subSup"/>
    <m:naryLim m:val="undOvr"/>
  </m:mathPr>
  <w:themeFontLang w:val="cs-CZ" w:eastAsia="zh-TW" w:bidi="my-M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sid w:val="00C968F2"/>
    <w:rPr>
      <w:color w:val="0000FF"/>
      <w:u w:val="single"/>
    </w:rPr>
  </w:style>
  <w:style w:type="character" w:customStyle="1" w:styleId="hps">
    <w:name w:val="hps"/>
    <w:basedOn w:val="Standardnpsmoodstavce"/>
    <w:rsid w:val="00C968F2"/>
  </w:style>
  <w:style w:type="paragraph" w:styleId="Zhlav">
    <w:name w:val="header"/>
    <w:basedOn w:val="Normln"/>
    <w:link w:val="ZhlavChar"/>
    <w:uiPriority w:val="99"/>
    <w:unhideWhenUsed/>
    <w:rsid w:val="00A76E5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76E50"/>
  </w:style>
  <w:style w:type="paragraph" w:styleId="Zpat">
    <w:name w:val="footer"/>
    <w:basedOn w:val="Normln"/>
    <w:link w:val="ZpatChar"/>
    <w:uiPriority w:val="99"/>
    <w:unhideWhenUsed/>
    <w:rsid w:val="00A76E50"/>
    <w:pPr>
      <w:tabs>
        <w:tab w:val="center" w:pos="4536"/>
        <w:tab w:val="right" w:pos="9072"/>
      </w:tabs>
      <w:spacing w:after="0" w:line="240" w:lineRule="auto"/>
    </w:pPr>
  </w:style>
  <w:style w:type="character" w:customStyle="1" w:styleId="ZpatChar">
    <w:name w:val="Zápatí Char"/>
    <w:basedOn w:val="Standardnpsmoodstavce"/>
    <w:link w:val="Zpat"/>
    <w:uiPriority w:val="99"/>
    <w:rsid w:val="00A76E50"/>
  </w:style>
  <w:style w:type="paragraph" w:styleId="Textbubliny">
    <w:name w:val="Balloon Text"/>
    <w:basedOn w:val="Normln"/>
    <w:link w:val="TextbublinyChar"/>
    <w:uiPriority w:val="99"/>
    <w:semiHidden/>
    <w:unhideWhenUsed/>
    <w:rsid w:val="00FF07B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F07BB"/>
    <w:rPr>
      <w:rFonts w:ascii="Tahoma" w:hAnsi="Tahoma" w:cs="Tahoma"/>
      <w:sz w:val="16"/>
      <w:szCs w:val="16"/>
    </w:rPr>
  </w:style>
  <w:style w:type="character" w:styleId="Odkaznakoment">
    <w:name w:val="annotation reference"/>
    <w:basedOn w:val="Standardnpsmoodstavce"/>
    <w:uiPriority w:val="99"/>
    <w:semiHidden/>
    <w:unhideWhenUsed/>
    <w:rsid w:val="00F94DB2"/>
    <w:rPr>
      <w:sz w:val="16"/>
      <w:szCs w:val="16"/>
    </w:rPr>
  </w:style>
  <w:style w:type="paragraph" w:styleId="Textkomente">
    <w:name w:val="annotation text"/>
    <w:basedOn w:val="Normln"/>
    <w:link w:val="TextkomenteChar"/>
    <w:uiPriority w:val="99"/>
    <w:semiHidden/>
    <w:unhideWhenUsed/>
    <w:rsid w:val="00F94DB2"/>
    <w:pPr>
      <w:spacing w:line="240" w:lineRule="auto"/>
    </w:pPr>
    <w:rPr>
      <w:sz w:val="20"/>
      <w:szCs w:val="20"/>
    </w:rPr>
  </w:style>
  <w:style w:type="character" w:customStyle="1" w:styleId="TextkomenteChar">
    <w:name w:val="Text komentáře Char"/>
    <w:basedOn w:val="Standardnpsmoodstavce"/>
    <w:link w:val="Textkomente"/>
    <w:uiPriority w:val="99"/>
    <w:semiHidden/>
    <w:rsid w:val="00F94DB2"/>
    <w:rPr>
      <w:sz w:val="20"/>
      <w:szCs w:val="20"/>
    </w:rPr>
  </w:style>
  <w:style w:type="paragraph" w:styleId="Pedmtkomente">
    <w:name w:val="annotation subject"/>
    <w:basedOn w:val="Textkomente"/>
    <w:next w:val="Textkomente"/>
    <w:link w:val="PedmtkomenteChar"/>
    <w:uiPriority w:val="99"/>
    <w:semiHidden/>
    <w:unhideWhenUsed/>
    <w:rsid w:val="00F94DB2"/>
    <w:rPr>
      <w:b/>
      <w:bCs/>
    </w:rPr>
  </w:style>
  <w:style w:type="character" w:customStyle="1" w:styleId="PedmtkomenteChar">
    <w:name w:val="Předmět komentáře Char"/>
    <w:basedOn w:val="TextkomenteChar"/>
    <w:link w:val="Pedmtkomente"/>
    <w:uiPriority w:val="99"/>
    <w:semiHidden/>
    <w:rsid w:val="00F94DB2"/>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sid w:val="00C968F2"/>
    <w:rPr>
      <w:color w:val="0000FF"/>
      <w:u w:val="single"/>
    </w:rPr>
  </w:style>
  <w:style w:type="character" w:customStyle="1" w:styleId="hps">
    <w:name w:val="hps"/>
    <w:basedOn w:val="Standardnpsmoodstavce"/>
    <w:rsid w:val="00C968F2"/>
  </w:style>
  <w:style w:type="paragraph" w:styleId="Zhlav">
    <w:name w:val="header"/>
    <w:basedOn w:val="Normln"/>
    <w:link w:val="ZhlavChar"/>
    <w:uiPriority w:val="99"/>
    <w:unhideWhenUsed/>
    <w:rsid w:val="00A76E5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76E50"/>
  </w:style>
  <w:style w:type="paragraph" w:styleId="Zpat">
    <w:name w:val="footer"/>
    <w:basedOn w:val="Normln"/>
    <w:link w:val="ZpatChar"/>
    <w:uiPriority w:val="99"/>
    <w:unhideWhenUsed/>
    <w:rsid w:val="00A76E50"/>
    <w:pPr>
      <w:tabs>
        <w:tab w:val="center" w:pos="4536"/>
        <w:tab w:val="right" w:pos="9072"/>
      </w:tabs>
      <w:spacing w:after="0" w:line="240" w:lineRule="auto"/>
    </w:pPr>
  </w:style>
  <w:style w:type="character" w:customStyle="1" w:styleId="ZpatChar">
    <w:name w:val="Zápatí Char"/>
    <w:basedOn w:val="Standardnpsmoodstavce"/>
    <w:link w:val="Zpat"/>
    <w:uiPriority w:val="99"/>
    <w:rsid w:val="00A76E50"/>
  </w:style>
  <w:style w:type="paragraph" w:styleId="Textbubliny">
    <w:name w:val="Balloon Text"/>
    <w:basedOn w:val="Normln"/>
    <w:link w:val="TextbublinyChar"/>
    <w:uiPriority w:val="99"/>
    <w:semiHidden/>
    <w:unhideWhenUsed/>
    <w:rsid w:val="00FF07B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F07BB"/>
    <w:rPr>
      <w:rFonts w:ascii="Tahoma" w:hAnsi="Tahoma" w:cs="Tahoma"/>
      <w:sz w:val="16"/>
      <w:szCs w:val="16"/>
    </w:rPr>
  </w:style>
  <w:style w:type="character" w:styleId="Odkaznakoment">
    <w:name w:val="annotation reference"/>
    <w:basedOn w:val="Standardnpsmoodstavce"/>
    <w:uiPriority w:val="99"/>
    <w:semiHidden/>
    <w:unhideWhenUsed/>
    <w:rsid w:val="00F94DB2"/>
    <w:rPr>
      <w:sz w:val="16"/>
      <w:szCs w:val="16"/>
    </w:rPr>
  </w:style>
  <w:style w:type="paragraph" w:styleId="Textkomente">
    <w:name w:val="annotation text"/>
    <w:basedOn w:val="Normln"/>
    <w:link w:val="TextkomenteChar"/>
    <w:uiPriority w:val="99"/>
    <w:semiHidden/>
    <w:unhideWhenUsed/>
    <w:rsid w:val="00F94DB2"/>
    <w:pPr>
      <w:spacing w:line="240" w:lineRule="auto"/>
    </w:pPr>
    <w:rPr>
      <w:sz w:val="20"/>
      <w:szCs w:val="20"/>
    </w:rPr>
  </w:style>
  <w:style w:type="character" w:customStyle="1" w:styleId="TextkomenteChar">
    <w:name w:val="Text komentáře Char"/>
    <w:basedOn w:val="Standardnpsmoodstavce"/>
    <w:link w:val="Textkomente"/>
    <w:uiPriority w:val="99"/>
    <w:semiHidden/>
    <w:rsid w:val="00F94DB2"/>
    <w:rPr>
      <w:sz w:val="20"/>
      <w:szCs w:val="20"/>
    </w:rPr>
  </w:style>
  <w:style w:type="paragraph" w:styleId="Pedmtkomente">
    <w:name w:val="annotation subject"/>
    <w:basedOn w:val="Textkomente"/>
    <w:next w:val="Textkomente"/>
    <w:link w:val="PedmtkomenteChar"/>
    <w:uiPriority w:val="99"/>
    <w:semiHidden/>
    <w:unhideWhenUsed/>
    <w:rsid w:val="00F94DB2"/>
    <w:rPr>
      <w:b/>
      <w:bCs/>
    </w:rPr>
  </w:style>
  <w:style w:type="character" w:customStyle="1" w:styleId="PedmtkomenteChar">
    <w:name w:val="Předmět komentáře Char"/>
    <w:basedOn w:val="TextkomenteChar"/>
    <w:link w:val="Pedmtkomente"/>
    <w:uiPriority w:val="99"/>
    <w:semiHidden/>
    <w:rsid w:val="00F94D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128374">
      <w:bodyDiv w:val="1"/>
      <w:marLeft w:val="0"/>
      <w:marRight w:val="0"/>
      <w:marTop w:val="0"/>
      <w:marBottom w:val="0"/>
      <w:divBdr>
        <w:top w:val="none" w:sz="0" w:space="0" w:color="auto"/>
        <w:left w:val="none" w:sz="0" w:space="0" w:color="auto"/>
        <w:bottom w:val="none" w:sz="0" w:space="0" w:color="auto"/>
        <w:right w:val="none" w:sz="0" w:space="0" w:color="auto"/>
      </w:divBdr>
    </w:div>
    <w:div w:id="260451162">
      <w:bodyDiv w:val="1"/>
      <w:marLeft w:val="0"/>
      <w:marRight w:val="0"/>
      <w:marTop w:val="0"/>
      <w:marBottom w:val="0"/>
      <w:divBdr>
        <w:top w:val="none" w:sz="0" w:space="0" w:color="auto"/>
        <w:left w:val="none" w:sz="0" w:space="0" w:color="auto"/>
        <w:bottom w:val="none" w:sz="0" w:space="0" w:color="auto"/>
        <w:right w:val="none" w:sz="0" w:space="0" w:color="auto"/>
      </w:divBdr>
    </w:div>
    <w:div w:id="323822136">
      <w:bodyDiv w:val="1"/>
      <w:marLeft w:val="0"/>
      <w:marRight w:val="0"/>
      <w:marTop w:val="0"/>
      <w:marBottom w:val="0"/>
      <w:divBdr>
        <w:top w:val="none" w:sz="0" w:space="0" w:color="auto"/>
        <w:left w:val="none" w:sz="0" w:space="0" w:color="auto"/>
        <w:bottom w:val="none" w:sz="0" w:space="0" w:color="auto"/>
        <w:right w:val="none" w:sz="0" w:space="0" w:color="auto"/>
      </w:divBdr>
    </w:div>
    <w:div w:id="326520374">
      <w:bodyDiv w:val="1"/>
      <w:marLeft w:val="0"/>
      <w:marRight w:val="0"/>
      <w:marTop w:val="0"/>
      <w:marBottom w:val="0"/>
      <w:divBdr>
        <w:top w:val="none" w:sz="0" w:space="0" w:color="auto"/>
        <w:left w:val="none" w:sz="0" w:space="0" w:color="auto"/>
        <w:bottom w:val="none" w:sz="0" w:space="0" w:color="auto"/>
        <w:right w:val="none" w:sz="0" w:space="0" w:color="auto"/>
      </w:divBdr>
    </w:div>
    <w:div w:id="631986430">
      <w:bodyDiv w:val="1"/>
      <w:marLeft w:val="0"/>
      <w:marRight w:val="0"/>
      <w:marTop w:val="0"/>
      <w:marBottom w:val="0"/>
      <w:divBdr>
        <w:top w:val="none" w:sz="0" w:space="0" w:color="auto"/>
        <w:left w:val="none" w:sz="0" w:space="0" w:color="auto"/>
        <w:bottom w:val="none" w:sz="0" w:space="0" w:color="auto"/>
        <w:right w:val="none" w:sz="0" w:space="0" w:color="auto"/>
      </w:divBdr>
    </w:div>
    <w:div w:id="719983553">
      <w:bodyDiv w:val="1"/>
      <w:marLeft w:val="0"/>
      <w:marRight w:val="0"/>
      <w:marTop w:val="0"/>
      <w:marBottom w:val="0"/>
      <w:divBdr>
        <w:top w:val="none" w:sz="0" w:space="0" w:color="auto"/>
        <w:left w:val="none" w:sz="0" w:space="0" w:color="auto"/>
        <w:bottom w:val="none" w:sz="0" w:space="0" w:color="auto"/>
        <w:right w:val="none" w:sz="0" w:space="0" w:color="auto"/>
      </w:divBdr>
    </w:div>
    <w:div w:id="1197238044">
      <w:bodyDiv w:val="1"/>
      <w:marLeft w:val="0"/>
      <w:marRight w:val="0"/>
      <w:marTop w:val="0"/>
      <w:marBottom w:val="0"/>
      <w:divBdr>
        <w:top w:val="none" w:sz="0" w:space="0" w:color="auto"/>
        <w:left w:val="none" w:sz="0" w:space="0" w:color="auto"/>
        <w:bottom w:val="none" w:sz="0" w:space="0" w:color="auto"/>
        <w:right w:val="none" w:sz="0" w:space="0" w:color="auto"/>
      </w:divBdr>
    </w:div>
    <w:div w:id="1321039592">
      <w:bodyDiv w:val="1"/>
      <w:marLeft w:val="0"/>
      <w:marRight w:val="0"/>
      <w:marTop w:val="0"/>
      <w:marBottom w:val="0"/>
      <w:divBdr>
        <w:top w:val="none" w:sz="0" w:space="0" w:color="auto"/>
        <w:left w:val="none" w:sz="0" w:space="0" w:color="auto"/>
        <w:bottom w:val="none" w:sz="0" w:space="0" w:color="auto"/>
        <w:right w:val="none" w:sz="0" w:space="0" w:color="auto"/>
      </w:divBdr>
    </w:div>
    <w:div w:id="1658654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E2BECA-2182-485A-BFCA-029771E1C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1068</Words>
  <Characters>6303</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ČSÚ</Company>
  <LinksUpToDate>false</LinksUpToDate>
  <CharactersWithSpaces>7357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CEEC</dc:creator>
  <cp:lastModifiedBy>CEEC</cp:lastModifiedBy>
  <cp:revision>3</cp:revision>
  <dcterms:created xsi:type="dcterms:W3CDTF">2014-07-13T11:42:00Z</dcterms:created>
  <dcterms:modified xsi:type="dcterms:W3CDTF">2014-07-14T14:21:00Z</dcterms:modified>
</cp:coreProperties>
</file>