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58C" w:rsidRPr="005C20C9" w:rsidRDefault="00F5658C" w:rsidP="00BE1F4A">
      <w:pPr>
        <w:spacing w:after="360" w:line="288" w:lineRule="auto"/>
        <w:jc w:val="both"/>
        <w:rPr>
          <w:lang w:eastAsia="cs-CZ"/>
        </w:rPr>
        <w:sectPr w:rsidR="00F5658C" w:rsidRPr="005C20C9" w:rsidSect="00F5658C">
          <w:headerReference w:type="default" r:id="rId9"/>
          <w:headerReference w:type="first" r:id="rId10"/>
          <w:pgSz w:w="11906" w:h="16838"/>
          <w:pgMar w:top="1417" w:right="1417" w:bottom="1417" w:left="1417" w:header="850" w:footer="794" w:gutter="0"/>
          <w:cols w:num="2" w:space="708"/>
          <w:titlePg/>
          <w:docGrid w:linePitch="360" w:charSpace="4096"/>
        </w:sectPr>
      </w:pPr>
    </w:p>
    <w:p w:rsidR="00230B2C" w:rsidRPr="005C20C9" w:rsidRDefault="006E1516" w:rsidP="00BE1F4A">
      <w:pPr>
        <w:spacing w:after="360" w:line="288" w:lineRule="auto"/>
        <w:jc w:val="center"/>
        <w:rPr>
          <w:rFonts w:ascii="Arial" w:hAnsi="Arial" w:cs="Arial"/>
          <w:b/>
          <w:bCs/>
          <w:sz w:val="32"/>
          <w:szCs w:val="32"/>
        </w:rPr>
      </w:pPr>
      <w:r w:rsidRPr="005C20C9">
        <w:rPr>
          <w:rFonts w:ascii="Arial" w:hAnsi="Arial" w:cs="Arial"/>
          <w:b/>
          <w:bCs/>
          <w:sz w:val="32"/>
          <w:szCs w:val="32"/>
        </w:rPr>
        <w:lastRenderedPageBreak/>
        <w:t xml:space="preserve">Prahu čeká příliv nových kanceláří </w:t>
      </w:r>
    </w:p>
    <w:p w:rsidR="00230B2C" w:rsidRPr="005C20C9" w:rsidRDefault="00654F84" w:rsidP="0079172B">
      <w:pPr>
        <w:spacing w:line="360" w:lineRule="auto"/>
        <w:jc w:val="both"/>
        <w:rPr>
          <w:rFonts w:ascii="Arial" w:hAnsi="Arial" w:cs="Arial"/>
          <w:b/>
          <w:bCs/>
        </w:rPr>
      </w:pPr>
      <w:r w:rsidRPr="005C20C9">
        <w:rPr>
          <w:rFonts w:ascii="Arial" w:hAnsi="Arial" w:cs="Arial"/>
          <w:b/>
          <w:bCs/>
        </w:rPr>
        <w:t xml:space="preserve">Praha, </w:t>
      </w:r>
      <w:r w:rsidR="00E80F45" w:rsidRPr="005C20C9">
        <w:rPr>
          <w:rFonts w:ascii="Arial" w:hAnsi="Arial" w:cs="Arial"/>
          <w:b/>
          <w:bCs/>
        </w:rPr>
        <w:t>2</w:t>
      </w:r>
      <w:r w:rsidR="00220D72" w:rsidRPr="005C20C9">
        <w:rPr>
          <w:rFonts w:ascii="Arial" w:hAnsi="Arial" w:cs="Arial"/>
          <w:b/>
          <w:bCs/>
        </w:rPr>
        <w:t>6</w:t>
      </w:r>
      <w:r w:rsidR="009D7D1C" w:rsidRPr="005C20C9">
        <w:rPr>
          <w:rFonts w:ascii="Arial" w:hAnsi="Arial" w:cs="Arial"/>
          <w:b/>
          <w:bCs/>
        </w:rPr>
        <w:t xml:space="preserve">. </w:t>
      </w:r>
      <w:r w:rsidRPr="005C20C9">
        <w:rPr>
          <w:rFonts w:ascii="Arial" w:hAnsi="Arial" w:cs="Arial"/>
          <w:b/>
          <w:bCs/>
        </w:rPr>
        <w:t>k</w:t>
      </w:r>
      <w:r w:rsidR="005540DD" w:rsidRPr="005C20C9">
        <w:rPr>
          <w:rFonts w:ascii="Arial" w:hAnsi="Arial" w:cs="Arial"/>
          <w:b/>
          <w:bCs/>
        </w:rPr>
        <w:t>větna</w:t>
      </w:r>
      <w:r w:rsidR="00F027B4" w:rsidRPr="005C20C9">
        <w:rPr>
          <w:rFonts w:ascii="Arial" w:hAnsi="Arial" w:cs="Arial"/>
          <w:b/>
          <w:bCs/>
        </w:rPr>
        <w:t xml:space="preserve"> – Podmínky pronájmu kanceláří budou </w:t>
      </w:r>
      <w:r w:rsidR="00E00F81" w:rsidRPr="005C20C9">
        <w:rPr>
          <w:rFonts w:ascii="Arial" w:hAnsi="Arial" w:cs="Arial"/>
          <w:b/>
          <w:bCs/>
        </w:rPr>
        <w:t>v</w:t>
      </w:r>
      <w:r w:rsidR="00E00F81">
        <w:rPr>
          <w:rFonts w:ascii="Arial" w:hAnsi="Arial" w:cs="Arial"/>
          <w:b/>
          <w:bCs/>
        </w:rPr>
        <w:t> </w:t>
      </w:r>
      <w:r w:rsidR="00E00F81" w:rsidRPr="005C20C9">
        <w:rPr>
          <w:rFonts w:ascii="Arial" w:hAnsi="Arial" w:cs="Arial"/>
          <w:b/>
          <w:bCs/>
        </w:rPr>
        <w:t>následujících</w:t>
      </w:r>
      <w:r w:rsidR="00E00F81">
        <w:rPr>
          <w:rFonts w:ascii="Arial" w:hAnsi="Arial" w:cs="Arial"/>
          <w:b/>
          <w:bCs/>
        </w:rPr>
        <w:t xml:space="preserve"> </w:t>
      </w:r>
      <w:r w:rsidR="006131B0">
        <w:rPr>
          <w:rFonts w:ascii="Arial" w:hAnsi="Arial" w:cs="Arial"/>
          <w:b/>
          <w:bCs/>
        </w:rPr>
        <w:t xml:space="preserve">minimálně </w:t>
      </w:r>
      <w:r w:rsidR="00F027B4" w:rsidRPr="005C20C9">
        <w:rPr>
          <w:rFonts w:ascii="Arial" w:hAnsi="Arial" w:cs="Arial"/>
          <w:b/>
          <w:bCs/>
        </w:rPr>
        <w:t xml:space="preserve">dvou letech v režii nájemníků. Na trhu je administrativních budov </w:t>
      </w:r>
      <w:r w:rsidR="00E00F81" w:rsidRPr="005C20C9">
        <w:rPr>
          <w:rFonts w:ascii="Arial" w:hAnsi="Arial" w:cs="Arial"/>
          <w:b/>
          <w:bCs/>
        </w:rPr>
        <w:t xml:space="preserve">přebytek </w:t>
      </w:r>
      <w:r w:rsidR="00F027B4" w:rsidRPr="005C20C9">
        <w:rPr>
          <w:rFonts w:ascii="Arial" w:hAnsi="Arial" w:cs="Arial"/>
          <w:b/>
          <w:bCs/>
        </w:rPr>
        <w:t xml:space="preserve">a developerské společnosti se chystají </w:t>
      </w:r>
      <w:r w:rsidR="006E1516" w:rsidRPr="005C20C9">
        <w:rPr>
          <w:rFonts w:ascii="Arial" w:hAnsi="Arial" w:cs="Arial"/>
          <w:b/>
          <w:bCs/>
        </w:rPr>
        <w:t>dodat na trh další. Poptávka ze strany zákazníků by měla růst, ale znatelně pozvolněji.</w:t>
      </w:r>
      <w:r w:rsidR="005E174D" w:rsidRPr="005C20C9">
        <w:rPr>
          <w:rFonts w:ascii="Arial" w:hAnsi="Arial" w:cs="Arial"/>
          <w:b/>
          <w:bCs/>
        </w:rPr>
        <w:t xml:space="preserve"> </w:t>
      </w:r>
      <w:r w:rsidR="00E00F81">
        <w:rPr>
          <w:rFonts w:ascii="Arial" w:hAnsi="Arial" w:cs="Arial"/>
          <w:b/>
          <w:bCs/>
        </w:rPr>
        <w:t>P</w:t>
      </w:r>
      <w:r w:rsidR="00E00F81" w:rsidRPr="005C20C9">
        <w:rPr>
          <w:rFonts w:ascii="Arial" w:hAnsi="Arial" w:cs="Arial"/>
          <w:b/>
          <w:bCs/>
        </w:rPr>
        <w:t>odle více než poloviny ředitelů developerských firem</w:t>
      </w:r>
      <w:r w:rsidR="00E00F81">
        <w:rPr>
          <w:rFonts w:ascii="Arial" w:hAnsi="Arial" w:cs="Arial"/>
          <w:b/>
          <w:bCs/>
        </w:rPr>
        <w:t xml:space="preserve"> </w:t>
      </w:r>
      <w:r w:rsidR="00E00F81" w:rsidRPr="005C20C9">
        <w:rPr>
          <w:rFonts w:ascii="Arial" w:hAnsi="Arial" w:cs="Arial"/>
          <w:b/>
          <w:bCs/>
        </w:rPr>
        <w:t xml:space="preserve">budou </w:t>
      </w:r>
      <w:r w:rsidR="00E00F81">
        <w:rPr>
          <w:rFonts w:ascii="Arial" w:hAnsi="Arial" w:cs="Arial"/>
          <w:b/>
          <w:bCs/>
        </w:rPr>
        <w:t>c</w:t>
      </w:r>
      <w:r w:rsidR="005E174D" w:rsidRPr="005C20C9">
        <w:rPr>
          <w:rFonts w:ascii="Arial" w:hAnsi="Arial" w:cs="Arial"/>
          <w:b/>
          <w:bCs/>
        </w:rPr>
        <w:t xml:space="preserve">eny nájemného </w:t>
      </w:r>
      <w:r w:rsidR="006E1516" w:rsidRPr="005C20C9">
        <w:rPr>
          <w:rFonts w:ascii="Arial" w:hAnsi="Arial" w:cs="Arial"/>
          <w:b/>
          <w:bCs/>
        </w:rPr>
        <w:t xml:space="preserve">v důsledku přetlaku nabídky </w:t>
      </w:r>
      <w:r w:rsidR="005E174D" w:rsidRPr="005C20C9">
        <w:rPr>
          <w:rFonts w:ascii="Arial" w:hAnsi="Arial" w:cs="Arial"/>
          <w:b/>
          <w:bCs/>
        </w:rPr>
        <w:t xml:space="preserve">klesat. </w:t>
      </w:r>
      <w:r w:rsidR="00A71BD0" w:rsidRPr="005C20C9">
        <w:rPr>
          <w:rFonts w:ascii="Arial" w:hAnsi="Arial" w:cs="Arial"/>
          <w:b/>
          <w:bCs/>
        </w:rPr>
        <w:t xml:space="preserve">Vyplývá to z nejnovější Kvartální analýzy českého stavebnictví Q2/2014 zpracované </w:t>
      </w:r>
      <w:r w:rsidR="00C15191" w:rsidRPr="005C20C9">
        <w:rPr>
          <w:rFonts w:ascii="Arial" w:hAnsi="Arial" w:cs="Arial"/>
          <w:b/>
          <w:bCs/>
        </w:rPr>
        <w:t xml:space="preserve">analytickou </w:t>
      </w:r>
      <w:r w:rsidR="00A71BD0" w:rsidRPr="005C20C9">
        <w:rPr>
          <w:rFonts w:ascii="Arial" w:hAnsi="Arial" w:cs="Arial"/>
          <w:b/>
          <w:bCs/>
        </w:rPr>
        <w:t>společnost</w:t>
      </w:r>
      <w:r w:rsidR="00C15191" w:rsidRPr="005C20C9">
        <w:rPr>
          <w:rFonts w:ascii="Arial" w:hAnsi="Arial" w:cs="Arial"/>
          <w:b/>
          <w:bCs/>
        </w:rPr>
        <w:t>í</w:t>
      </w:r>
      <w:r w:rsidR="00A71BD0" w:rsidRPr="005C20C9">
        <w:rPr>
          <w:rFonts w:ascii="Arial" w:hAnsi="Arial" w:cs="Arial"/>
          <w:b/>
          <w:bCs/>
        </w:rPr>
        <w:t xml:space="preserve"> CEEC Research </w:t>
      </w:r>
      <w:r w:rsidR="00C15191" w:rsidRPr="005C20C9">
        <w:rPr>
          <w:rFonts w:ascii="Arial" w:hAnsi="Arial" w:cs="Arial"/>
          <w:b/>
          <w:bCs/>
        </w:rPr>
        <w:t xml:space="preserve">ve spolupráci s poradenskou společností </w:t>
      </w:r>
      <w:r w:rsidR="00A71BD0" w:rsidRPr="005C20C9">
        <w:rPr>
          <w:rFonts w:ascii="Arial" w:hAnsi="Arial" w:cs="Arial"/>
          <w:b/>
          <w:bCs/>
        </w:rPr>
        <w:t xml:space="preserve">KPMG Česká republika. </w:t>
      </w:r>
    </w:p>
    <w:p w:rsidR="00B34CE5" w:rsidRPr="005C20C9" w:rsidRDefault="00220D72" w:rsidP="0079172B">
      <w:pPr>
        <w:spacing w:line="360" w:lineRule="auto"/>
        <w:jc w:val="both"/>
        <w:rPr>
          <w:rFonts w:ascii="Arial" w:hAnsi="Arial" w:cs="Arial"/>
          <w:b/>
          <w:i/>
        </w:rPr>
      </w:pPr>
      <w:r w:rsidRPr="005C20C9">
        <w:rPr>
          <w:rFonts w:ascii="Arial" w:hAnsi="Arial" w:cs="Arial"/>
        </w:rPr>
        <w:t>Firmy, které hledají na pražském trhu kanceláře k</w:t>
      </w:r>
      <w:r w:rsidR="004E556E" w:rsidRPr="005C20C9">
        <w:rPr>
          <w:rFonts w:ascii="Arial" w:hAnsi="Arial" w:cs="Arial"/>
        </w:rPr>
        <w:t> </w:t>
      </w:r>
      <w:r w:rsidRPr="005C20C9">
        <w:rPr>
          <w:rFonts w:ascii="Arial" w:hAnsi="Arial" w:cs="Arial"/>
        </w:rPr>
        <w:t>pronájmu</w:t>
      </w:r>
      <w:r w:rsidR="004E556E" w:rsidRPr="005C20C9">
        <w:rPr>
          <w:rFonts w:ascii="Arial" w:hAnsi="Arial" w:cs="Arial"/>
        </w:rPr>
        <w:t>,</w:t>
      </w:r>
      <w:r w:rsidRPr="005C20C9">
        <w:rPr>
          <w:rFonts w:ascii="Arial" w:hAnsi="Arial" w:cs="Arial"/>
        </w:rPr>
        <w:t xml:space="preserve"> mají z čeho vybírat.</w:t>
      </w:r>
      <w:r w:rsidR="004E556E" w:rsidRPr="005C20C9">
        <w:rPr>
          <w:rFonts w:ascii="Arial" w:hAnsi="Arial" w:cs="Arial"/>
        </w:rPr>
        <w:t xml:space="preserve"> Kancelářských budov stále přibývá a developerské společnosti plánují v následujících letech (do roku 2016) </w:t>
      </w:r>
      <w:r w:rsidR="006E1516" w:rsidRPr="005C20C9">
        <w:rPr>
          <w:rFonts w:ascii="Arial" w:hAnsi="Arial" w:cs="Arial"/>
        </w:rPr>
        <w:t>dodat na trh další nové kancelářské prostory</w:t>
      </w:r>
      <w:r w:rsidR="00E00F81">
        <w:rPr>
          <w:rFonts w:ascii="Arial" w:hAnsi="Arial" w:cs="Arial"/>
        </w:rPr>
        <w:t>.</w:t>
      </w:r>
      <w:r w:rsidR="00A57546">
        <w:rPr>
          <w:rFonts w:ascii="Arial" w:hAnsi="Arial" w:cs="Arial"/>
        </w:rPr>
        <w:t xml:space="preserve"> </w:t>
      </w:r>
      <w:r w:rsidR="00E00F81">
        <w:rPr>
          <w:rFonts w:ascii="Arial" w:hAnsi="Arial" w:cs="Arial"/>
        </w:rPr>
        <w:t>C</w:t>
      </w:r>
      <w:r w:rsidR="00AB6C6B" w:rsidRPr="005C20C9">
        <w:rPr>
          <w:rFonts w:ascii="Arial" w:hAnsi="Arial" w:cs="Arial"/>
        </w:rPr>
        <w:t xml:space="preserve">htějí </w:t>
      </w:r>
      <w:r w:rsidR="00E00F81">
        <w:rPr>
          <w:rFonts w:ascii="Arial" w:hAnsi="Arial" w:cs="Arial"/>
        </w:rPr>
        <w:t xml:space="preserve">je </w:t>
      </w:r>
      <w:r w:rsidR="00AB6C6B" w:rsidRPr="005C20C9">
        <w:rPr>
          <w:rFonts w:ascii="Arial" w:hAnsi="Arial" w:cs="Arial"/>
        </w:rPr>
        <w:t xml:space="preserve">pustit do oběhu i přesto, že jsou si vědomy, že poptávka po nich nebude kopírovat nabídku. </w:t>
      </w:r>
      <w:r w:rsidR="00BE1F4A" w:rsidRPr="005C20C9">
        <w:rPr>
          <w:rFonts w:ascii="Arial" w:hAnsi="Arial" w:cs="Arial"/>
        </w:rPr>
        <w:t xml:space="preserve">Poptávek i díky </w:t>
      </w:r>
      <w:proofErr w:type="spellStart"/>
      <w:r w:rsidR="00BE1F4A" w:rsidRPr="005C20C9">
        <w:rPr>
          <w:rFonts w:ascii="Arial" w:hAnsi="Arial" w:cs="Arial"/>
        </w:rPr>
        <w:t>renegociacím</w:t>
      </w:r>
      <w:proofErr w:type="spellEnd"/>
      <w:r w:rsidR="00AB6C6B" w:rsidRPr="005C20C9">
        <w:rPr>
          <w:rFonts w:ascii="Arial" w:hAnsi="Arial" w:cs="Arial"/>
        </w:rPr>
        <w:t xml:space="preserve"> bude více</w:t>
      </w:r>
      <w:r w:rsidR="0010672D" w:rsidRPr="005C20C9">
        <w:rPr>
          <w:rFonts w:ascii="Arial" w:hAnsi="Arial" w:cs="Arial"/>
        </w:rPr>
        <w:t xml:space="preserve"> než loni</w:t>
      </w:r>
      <w:r w:rsidR="00AB6C6B" w:rsidRPr="005C20C9">
        <w:rPr>
          <w:rFonts w:ascii="Arial" w:hAnsi="Arial" w:cs="Arial"/>
        </w:rPr>
        <w:t xml:space="preserve">, ale zdaleka </w:t>
      </w:r>
      <w:r w:rsidR="004D4C7E" w:rsidRPr="005C20C9">
        <w:rPr>
          <w:rFonts w:ascii="Arial" w:hAnsi="Arial" w:cs="Arial"/>
        </w:rPr>
        <w:t xml:space="preserve">ne </w:t>
      </w:r>
      <w:r w:rsidR="00AB6C6B" w:rsidRPr="005C20C9">
        <w:rPr>
          <w:rFonts w:ascii="Arial" w:hAnsi="Arial" w:cs="Arial"/>
        </w:rPr>
        <w:t xml:space="preserve">tolik, aby </w:t>
      </w:r>
      <w:r w:rsidR="00BE1F4A" w:rsidRPr="005C20C9">
        <w:rPr>
          <w:rFonts w:ascii="Arial" w:hAnsi="Arial" w:cs="Arial"/>
        </w:rPr>
        <w:t>se podařilo pronajmout vše</w:t>
      </w:r>
      <w:r w:rsidR="00AB6C6B" w:rsidRPr="005C20C9">
        <w:rPr>
          <w:rFonts w:ascii="Arial" w:hAnsi="Arial" w:cs="Arial"/>
        </w:rPr>
        <w:t xml:space="preserve">, co developeři </w:t>
      </w:r>
      <w:r w:rsidR="004D4C7E" w:rsidRPr="005C20C9">
        <w:rPr>
          <w:rFonts w:ascii="Arial" w:hAnsi="Arial" w:cs="Arial"/>
        </w:rPr>
        <w:t>na trhu nabízí</w:t>
      </w:r>
      <w:r w:rsidR="00AB6C6B" w:rsidRPr="005C20C9">
        <w:rPr>
          <w:rFonts w:ascii="Arial" w:hAnsi="Arial" w:cs="Arial"/>
        </w:rPr>
        <w:t>. V hlavním městě tak přib</w:t>
      </w:r>
      <w:r w:rsidR="00E00F81">
        <w:rPr>
          <w:rFonts w:ascii="Arial" w:hAnsi="Arial" w:cs="Arial"/>
        </w:rPr>
        <w:t>u</w:t>
      </w:r>
      <w:r w:rsidR="00AB6C6B" w:rsidRPr="005C20C9">
        <w:rPr>
          <w:rFonts w:ascii="Arial" w:hAnsi="Arial" w:cs="Arial"/>
        </w:rPr>
        <w:t xml:space="preserve">de prázdných kanceláří. </w:t>
      </w:r>
      <w:r w:rsidR="004D4C7E" w:rsidRPr="005C20C9">
        <w:rPr>
          <w:rFonts w:ascii="Arial" w:hAnsi="Arial" w:cs="Arial"/>
          <w:i/>
        </w:rPr>
        <w:t>„Podmínky na trhu aktuálně určuje klient</w:t>
      </w:r>
      <w:r w:rsidR="00E00F81">
        <w:rPr>
          <w:rFonts w:ascii="Arial" w:hAnsi="Arial" w:cs="Arial"/>
          <w:i/>
        </w:rPr>
        <w:t>,</w:t>
      </w:r>
      <w:r w:rsidR="004D4C7E" w:rsidRPr="005C20C9">
        <w:rPr>
          <w:rFonts w:ascii="Arial" w:hAnsi="Arial" w:cs="Arial"/>
          <w:i/>
        </w:rPr>
        <w:t xml:space="preserve"> a s přílivem nových kancelářských prostor</w:t>
      </w:r>
      <w:r w:rsidR="00E00F81">
        <w:rPr>
          <w:rFonts w:ascii="Arial" w:hAnsi="Arial" w:cs="Arial"/>
          <w:i/>
        </w:rPr>
        <w:t>ů</w:t>
      </w:r>
      <w:r w:rsidR="004D4C7E" w:rsidRPr="005C20C9">
        <w:rPr>
          <w:rFonts w:ascii="Arial" w:hAnsi="Arial" w:cs="Arial"/>
          <w:i/>
        </w:rPr>
        <w:t xml:space="preserve">, navíc ve spojení s blížící se vlnou </w:t>
      </w:r>
      <w:proofErr w:type="spellStart"/>
      <w:r w:rsidR="004D4C7E" w:rsidRPr="005C20C9">
        <w:rPr>
          <w:rFonts w:ascii="Arial" w:hAnsi="Arial" w:cs="Arial"/>
          <w:i/>
        </w:rPr>
        <w:t>renegociací</w:t>
      </w:r>
      <w:proofErr w:type="spellEnd"/>
      <w:r w:rsidR="004D4C7E" w:rsidRPr="005C20C9">
        <w:rPr>
          <w:rFonts w:ascii="Arial" w:hAnsi="Arial" w:cs="Arial"/>
          <w:i/>
        </w:rPr>
        <w:t xml:space="preserve">, </w:t>
      </w:r>
      <w:r w:rsidR="00E00F81">
        <w:rPr>
          <w:rFonts w:ascii="Arial" w:hAnsi="Arial" w:cs="Arial"/>
          <w:i/>
        </w:rPr>
        <w:t xml:space="preserve">bude </w:t>
      </w:r>
      <w:r w:rsidR="004D4C7E" w:rsidRPr="005C20C9">
        <w:rPr>
          <w:rFonts w:ascii="Arial" w:hAnsi="Arial" w:cs="Arial"/>
          <w:i/>
        </w:rPr>
        <w:t xml:space="preserve">jeho vyjednávací síla dále růst. Na trhu probíhá již nyní intenzivní boj o klienty, který v tomto a příštím roce ještě zesílí. </w:t>
      </w:r>
      <w:r w:rsidR="00E00F81">
        <w:rPr>
          <w:rFonts w:ascii="Arial" w:hAnsi="Arial" w:cs="Arial"/>
          <w:i/>
        </w:rPr>
        <w:t>Profitovat</w:t>
      </w:r>
      <w:r w:rsidR="00E00F81" w:rsidRPr="005C20C9">
        <w:rPr>
          <w:rFonts w:ascii="Arial" w:hAnsi="Arial" w:cs="Arial"/>
          <w:i/>
        </w:rPr>
        <w:t xml:space="preserve"> </w:t>
      </w:r>
      <w:r w:rsidR="004D4C7E" w:rsidRPr="005C20C9">
        <w:rPr>
          <w:rFonts w:ascii="Arial" w:hAnsi="Arial" w:cs="Arial"/>
          <w:i/>
        </w:rPr>
        <w:t>z toho bude hlavně nájemce – získá lepší standard za nižší cenu</w:t>
      </w:r>
      <w:r w:rsidR="00E00F81">
        <w:rPr>
          <w:rFonts w:ascii="Arial" w:hAnsi="Arial" w:cs="Arial"/>
          <w:i/>
        </w:rPr>
        <w:t>,</w:t>
      </w:r>
      <w:r w:rsidR="0010672D" w:rsidRPr="005C20C9">
        <w:rPr>
          <w:rFonts w:ascii="Arial" w:hAnsi="Arial" w:cs="Arial"/>
        </w:rPr>
        <w:t xml:space="preserve">“ komentuje </w:t>
      </w:r>
      <w:r w:rsidR="004D4C7E" w:rsidRPr="005C20C9">
        <w:rPr>
          <w:rFonts w:ascii="Arial" w:hAnsi="Arial" w:cs="Arial"/>
        </w:rPr>
        <w:t xml:space="preserve">aktuální situaci na trhu </w:t>
      </w:r>
      <w:r w:rsidR="000D15E6" w:rsidRPr="005C20C9">
        <w:rPr>
          <w:rFonts w:ascii="Arial" w:hAnsi="Arial" w:cs="Arial"/>
          <w:b/>
          <w:i/>
        </w:rPr>
        <w:t>Jiří Vacek, ředitel analytické společnosti CEEC Research.</w:t>
      </w:r>
      <w:r w:rsidR="00EA1C26" w:rsidRPr="005C20C9">
        <w:rPr>
          <w:rFonts w:ascii="Arial" w:hAnsi="Arial" w:cs="Arial"/>
          <w:b/>
          <w:i/>
        </w:rPr>
        <w:t xml:space="preserve"> </w:t>
      </w:r>
      <w:r w:rsidR="00F138C6" w:rsidRPr="005C20C9">
        <w:rPr>
          <w:rFonts w:ascii="Arial" w:hAnsi="Arial" w:cs="Arial"/>
          <w:i/>
        </w:rPr>
        <w:t>„Poptávka po kancelářských prostor</w:t>
      </w:r>
      <w:r w:rsidR="002A129A">
        <w:rPr>
          <w:rFonts w:ascii="Arial" w:hAnsi="Arial" w:cs="Arial"/>
          <w:i/>
        </w:rPr>
        <w:t>ech</w:t>
      </w:r>
      <w:r w:rsidR="00F138C6" w:rsidRPr="005C20C9">
        <w:rPr>
          <w:rFonts w:ascii="Arial" w:hAnsi="Arial" w:cs="Arial"/>
          <w:i/>
        </w:rPr>
        <w:t xml:space="preserve"> dlouhodobě velmi úzce kopíruje vývoj HDP. S předpokládaným oživením ekonomiky můžeme očekávat její mírný růst. Tento růst nebude dostatečný k pokrytí nové výstavby, která bude z podstatné části konkurovat stávajícím pronajímatelům, především v kombinaci ceny a kvality</w:t>
      </w:r>
      <w:r w:rsidR="002A129A">
        <w:rPr>
          <w:rFonts w:ascii="Arial" w:hAnsi="Arial" w:cs="Arial"/>
          <w:i/>
        </w:rPr>
        <w:t>,</w:t>
      </w:r>
      <w:r w:rsidR="00F138C6" w:rsidRPr="005C20C9">
        <w:rPr>
          <w:rFonts w:ascii="Arial" w:hAnsi="Arial" w:cs="Arial"/>
          <w:i/>
        </w:rPr>
        <w:t>”</w:t>
      </w:r>
      <w:r w:rsidR="00F138C6" w:rsidRPr="006131B0">
        <w:rPr>
          <w:bCs/>
          <w:color w:val="1F497D"/>
        </w:rPr>
        <w:t xml:space="preserve"> </w:t>
      </w:r>
      <w:r w:rsidR="00F138C6" w:rsidRPr="006131B0">
        <w:rPr>
          <w:rFonts w:ascii="Arial" w:hAnsi="Arial" w:cs="Arial"/>
          <w:bCs/>
        </w:rPr>
        <w:t>uvádí</w:t>
      </w:r>
      <w:r w:rsidR="00F138C6" w:rsidRPr="005C20C9">
        <w:rPr>
          <w:rFonts w:ascii="Arial" w:hAnsi="Arial" w:cs="Arial"/>
          <w:b/>
        </w:rPr>
        <w:t xml:space="preserve"> </w:t>
      </w:r>
      <w:r w:rsidR="00F138C6" w:rsidRPr="0079172B">
        <w:rPr>
          <w:rFonts w:ascii="Arial" w:hAnsi="Arial" w:cs="Arial"/>
          <w:b/>
          <w:i/>
        </w:rPr>
        <w:t>Pavel Kliment, partner odpovědný za služby pro realitní a stavební společnosti KPMG Česká republika.</w:t>
      </w:r>
    </w:p>
    <w:p w:rsidR="0010672D" w:rsidRPr="005C20C9" w:rsidRDefault="0084203B" w:rsidP="0079172B">
      <w:pPr>
        <w:spacing w:line="360" w:lineRule="auto"/>
        <w:jc w:val="both"/>
        <w:rPr>
          <w:rFonts w:ascii="Arial" w:hAnsi="Arial" w:cs="Arial"/>
        </w:rPr>
      </w:pPr>
      <w:r w:rsidRPr="005C20C9">
        <w:rPr>
          <w:rFonts w:ascii="Arial" w:hAnsi="Arial" w:cs="Arial"/>
        </w:rPr>
        <w:t>V následujících letech lze očekávat spíše fluktuaci zákazníků, než nějaký markantní příliv nových nájemců</w:t>
      </w:r>
      <w:r w:rsidR="002A129A">
        <w:rPr>
          <w:rFonts w:ascii="Arial" w:hAnsi="Arial" w:cs="Arial"/>
        </w:rPr>
        <w:t>,</w:t>
      </w:r>
      <w:r w:rsidRPr="005C20C9">
        <w:rPr>
          <w:rFonts w:ascii="Arial" w:hAnsi="Arial" w:cs="Arial"/>
        </w:rPr>
        <w:t xml:space="preserve"> například ze zahraničí. </w:t>
      </w:r>
      <w:r w:rsidR="004D0E07" w:rsidRPr="005C20C9">
        <w:rPr>
          <w:rFonts w:ascii="Arial" w:hAnsi="Arial" w:cs="Arial"/>
        </w:rPr>
        <w:t xml:space="preserve">Těm stávajícím budou totiž převážně v letech 2015-2016 končit uzavřené nájemní smlouvy. </w:t>
      </w:r>
      <w:bookmarkStart w:id="0" w:name="_GoBack"/>
      <w:bookmarkEnd w:id="0"/>
      <w:r w:rsidR="004D0E07" w:rsidRPr="005C20C9">
        <w:rPr>
          <w:rFonts w:ascii="Arial" w:hAnsi="Arial" w:cs="Arial"/>
        </w:rPr>
        <w:t>„</w:t>
      </w:r>
      <w:r w:rsidR="004D0E07" w:rsidRPr="005C20C9">
        <w:rPr>
          <w:rFonts w:ascii="Arial" w:hAnsi="Arial" w:cs="Arial"/>
          <w:i/>
        </w:rPr>
        <w:t xml:space="preserve">Končící smlouvy ve stávajících nájemních prostorech, které již nevyhovují svými parametry a kvalitou, navíc neumožňují nájemníkům další expanzi. Po období stagnace a nadcházející </w:t>
      </w:r>
      <w:proofErr w:type="spellStart"/>
      <w:r w:rsidR="004D0E07" w:rsidRPr="005C20C9">
        <w:rPr>
          <w:rFonts w:ascii="Arial" w:hAnsi="Arial" w:cs="Arial"/>
          <w:i/>
        </w:rPr>
        <w:t>renegociaci</w:t>
      </w:r>
      <w:proofErr w:type="spellEnd"/>
      <w:r w:rsidR="004D0E07" w:rsidRPr="005C20C9">
        <w:rPr>
          <w:rFonts w:ascii="Arial" w:hAnsi="Arial" w:cs="Arial"/>
          <w:i/>
        </w:rPr>
        <w:t xml:space="preserve"> padesáti procent smluv ve </w:t>
      </w:r>
      <w:r w:rsidR="004D0E07" w:rsidRPr="005C20C9">
        <w:rPr>
          <w:rFonts w:ascii="Arial" w:hAnsi="Arial" w:cs="Arial"/>
          <w:i/>
        </w:rPr>
        <w:lastRenderedPageBreak/>
        <w:t>stávajících kancelářských prostorech doufáme, že spolu s oživením ekonomiky počet takových společností poroste, a tím vzroste poptávka po nových kancelářských prostorech</w:t>
      </w:r>
      <w:r w:rsidR="004D0E07" w:rsidRPr="005C20C9">
        <w:rPr>
          <w:rFonts w:ascii="Arial" w:hAnsi="Arial" w:cs="Arial"/>
        </w:rPr>
        <w:t xml:space="preserve">,“ </w:t>
      </w:r>
      <w:r w:rsidR="002A129A">
        <w:rPr>
          <w:rFonts w:ascii="Arial" w:hAnsi="Arial" w:cs="Arial"/>
        </w:rPr>
        <w:t>předpokládá</w:t>
      </w:r>
      <w:r w:rsidR="002A129A" w:rsidRPr="005C20C9">
        <w:rPr>
          <w:rFonts w:ascii="Arial" w:hAnsi="Arial" w:cs="Arial"/>
        </w:rPr>
        <w:t xml:space="preserve"> </w:t>
      </w:r>
      <w:r w:rsidR="004D0E07" w:rsidRPr="005C20C9">
        <w:rPr>
          <w:rFonts w:ascii="Arial" w:hAnsi="Arial" w:cs="Arial"/>
          <w:b/>
          <w:i/>
        </w:rPr>
        <w:t xml:space="preserve">Olga Humlová, ředitelka společnosti HB </w:t>
      </w:r>
      <w:proofErr w:type="spellStart"/>
      <w:r w:rsidR="004D0E07" w:rsidRPr="005C20C9">
        <w:rPr>
          <w:rFonts w:ascii="Arial" w:hAnsi="Arial" w:cs="Arial"/>
          <w:b/>
          <w:i/>
        </w:rPr>
        <w:t>Reavis</w:t>
      </w:r>
      <w:proofErr w:type="spellEnd"/>
      <w:r w:rsidR="004D0E07" w:rsidRPr="005C20C9">
        <w:rPr>
          <w:rFonts w:ascii="Arial" w:hAnsi="Arial" w:cs="Arial"/>
          <w:b/>
          <w:i/>
        </w:rPr>
        <w:t xml:space="preserve"> Group CZ</w:t>
      </w:r>
      <w:r w:rsidR="004D0E07" w:rsidRPr="005C20C9">
        <w:rPr>
          <w:rFonts w:ascii="Arial" w:hAnsi="Arial" w:cs="Arial"/>
          <w:i/>
        </w:rPr>
        <w:t>.</w:t>
      </w:r>
      <w:r w:rsidR="004D0E07" w:rsidRPr="005C20C9">
        <w:rPr>
          <w:rFonts w:ascii="Arial" w:hAnsi="Arial" w:cs="Arial"/>
        </w:rPr>
        <w:t xml:space="preserve"> </w:t>
      </w:r>
    </w:p>
    <w:p w:rsidR="00BE1F4A" w:rsidRPr="005C20C9" w:rsidRDefault="00965C44" w:rsidP="0079172B">
      <w:pPr>
        <w:spacing w:line="360" w:lineRule="auto"/>
        <w:jc w:val="both"/>
        <w:rPr>
          <w:rFonts w:ascii="Arial" w:hAnsi="Arial" w:cs="Arial"/>
          <w:b/>
          <w:i/>
        </w:rPr>
      </w:pPr>
      <w:r w:rsidRPr="005C20C9">
        <w:rPr>
          <w:rFonts w:ascii="Arial" w:hAnsi="Arial" w:cs="Arial"/>
        </w:rPr>
        <w:t xml:space="preserve">Díky </w:t>
      </w:r>
      <w:r w:rsidR="00BE1F4A" w:rsidRPr="005C20C9">
        <w:rPr>
          <w:rFonts w:ascii="Arial" w:hAnsi="Arial" w:cs="Arial"/>
        </w:rPr>
        <w:t>převisu nabídky, ať již</w:t>
      </w:r>
      <w:r w:rsidRPr="005C20C9">
        <w:rPr>
          <w:rFonts w:ascii="Arial" w:hAnsi="Arial" w:cs="Arial"/>
        </w:rPr>
        <w:t xml:space="preserve"> </w:t>
      </w:r>
      <w:r w:rsidR="00BE1F4A" w:rsidRPr="005C20C9">
        <w:rPr>
          <w:rFonts w:ascii="Arial" w:hAnsi="Arial" w:cs="Arial"/>
        </w:rPr>
        <w:t>nových či starších</w:t>
      </w:r>
      <w:r w:rsidRPr="005C20C9">
        <w:rPr>
          <w:rFonts w:ascii="Arial" w:hAnsi="Arial" w:cs="Arial"/>
        </w:rPr>
        <w:t xml:space="preserve"> prostor</w:t>
      </w:r>
      <w:r w:rsidR="002A129A">
        <w:rPr>
          <w:rFonts w:ascii="Arial" w:hAnsi="Arial" w:cs="Arial"/>
        </w:rPr>
        <w:t>ů</w:t>
      </w:r>
      <w:r w:rsidR="00BE1F4A" w:rsidRPr="005C20C9">
        <w:rPr>
          <w:rFonts w:ascii="Arial" w:hAnsi="Arial" w:cs="Arial"/>
        </w:rPr>
        <w:t>,</w:t>
      </w:r>
      <w:r w:rsidRPr="005C20C9">
        <w:rPr>
          <w:rFonts w:ascii="Arial" w:hAnsi="Arial" w:cs="Arial"/>
        </w:rPr>
        <w:t xml:space="preserve"> tak </w:t>
      </w:r>
      <w:r w:rsidR="002A129A" w:rsidRPr="005C20C9">
        <w:rPr>
          <w:rFonts w:ascii="Arial" w:hAnsi="Arial" w:cs="Arial"/>
        </w:rPr>
        <w:t xml:space="preserve">v letošním roce </w:t>
      </w:r>
      <w:r w:rsidRPr="005C20C9">
        <w:rPr>
          <w:rFonts w:ascii="Arial" w:hAnsi="Arial" w:cs="Arial"/>
        </w:rPr>
        <w:t xml:space="preserve">určitě nelze očekávat růst cen nájemného. Nadpoloviční většina (56 procent) ředitelů dotazovaných developerských společností předpovídá, že ceny budou </w:t>
      </w:r>
      <w:r w:rsidR="00BE1F4A" w:rsidRPr="005C20C9">
        <w:rPr>
          <w:rFonts w:ascii="Arial" w:hAnsi="Arial" w:cs="Arial"/>
        </w:rPr>
        <w:t>naopak</w:t>
      </w:r>
      <w:r w:rsidRPr="005C20C9">
        <w:rPr>
          <w:rFonts w:ascii="Arial" w:hAnsi="Arial" w:cs="Arial"/>
        </w:rPr>
        <w:t xml:space="preserve"> </w:t>
      </w:r>
      <w:r w:rsidR="002A129A" w:rsidRPr="005C20C9">
        <w:rPr>
          <w:rFonts w:ascii="Arial" w:hAnsi="Arial" w:cs="Arial"/>
        </w:rPr>
        <w:t xml:space="preserve">dokonce </w:t>
      </w:r>
      <w:r w:rsidRPr="005C20C9">
        <w:rPr>
          <w:rFonts w:ascii="Arial" w:hAnsi="Arial" w:cs="Arial"/>
        </w:rPr>
        <w:t xml:space="preserve">klesat. </w:t>
      </w:r>
      <w:r w:rsidR="00BE1F4A" w:rsidRPr="005C20C9">
        <w:rPr>
          <w:rFonts w:ascii="Arial" w:hAnsi="Arial" w:cs="Arial"/>
        </w:rPr>
        <w:t xml:space="preserve">Zbylá část </w:t>
      </w:r>
      <w:r w:rsidRPr="005C20C9">
        <w:rPr>
          <w:rFonts w:ascii="Arial" w:hAnsi="Arial" w:cs="Arial"/>
        </w:rPr>
        <w:t xml:space="preserve">zástupců společností hovoří spíše </w:t>
      </w:r>
      <w:r w:rsidR="00D62B3F" w:rsidRPr="005C20C9">
        <w:rPr>
          <w:rFonts w:ascii="Arial" w:hAnsi="Arial" w:cs="Arial"/>
        </w:rPr>
        <w:t xml:space="preserve">o </w:t>
      </w:r>
      <w:r w:rsidRPr="005C20C9">
        <w:rPr>
          <w:rFonts w:ascii="Arial" w:hAnsi="Arial" w:cs="Arial"/>
        </w:rPr>
        <w:t>stagnaci</w:t>
      </w:r>
      <w:r w:rsidR="00BE1F4A" w:rsidRPr="005C20C9">
        <w:rPr>
          <w:rFonts w:ascii="Arial" w:hAnsi="Arial" w:cs="Arial"/>
        </w:rPr>
        <w:t xml:space="preserve"> cen</w:t>
      </w:r>
      <w:r w:rsidRPr="005C20C9">
        <w:rPr>
          <w:rFonts w:ascii="Arial" w:hAnsi="Arial" w:cs="Arial"/>
        </w:rPr>
        <w:t xml:space="preserve">. </w:t>
      </w:r>
      <w:r w:rsidR="00BE1F4A" w:rsidRPr="005C20C9">
        <w:rPr>
          <w:rFonts w:ascii="Arial" w:hAnsi="Arial" w:cs="Arial"/>
          <w:i/>
        </w:rPr>
        <w:t xml:space="preserve">„Značný tlak nájemců na nájemní podmínky, tedy nejen </w:t>
      </w:r>
      <w:r w:rsidR="002A129A">
        <w:rPr>
          <w:rFonts w:ascii="Arial" w:hAnsi="Arial" w:cs="Arial"/>
          <w:i/>
        </w:rPr>
        <w:t xml:space="preserve">na </w:t>
      </w:r>
      <w:r w:rsidR="00BE1F4A" w:rsidRPr="005C20C9">
        <w:rPr>
          <w:rFonts w:ascii="Arial" w:hAnsi="Arial" w:cs="Arial"/>
          <w:i/>
        </w:rPr>
        <w:t xml:space="preserve">výši nájemného, ale i </w:t>
      </w:r>
      <w:r w:rsidR="002A129A">
        <w:rPr>
          <w:rFonts w:ascii="Arial" w:hAnsi="Arial" w:cs="Arial"/>
          <w:i/>
        </w:rPr>
        <w:t xml:space="preserve">na </w:t>
      </w:r>
      <w:r w:rsidR="00BE1F4A" w:rsidRPr="005C20C9">
        <w:rPr>
          <w:rFonts w:ascii="Arial" w:hAnsi="Arial" w:cs="Arial"/>
          <w:i/>
        </w:rPr>
        <w:t xml:space="preserve">další pobídky jako </w:t>
      </w:r>
      <w:r w:rsidR="00A352EB">
        <w:rPr>
          <w:rFonts w:ascii="Arial" w:hAnsi="Arial" w:cs="Arial"/>
          <w:i/>
        </w:rPr>
        <w:t xml:space="preserve">jsou </w:t>
      </w:r>
      <w:r w:rsidR="00BE1F4A" w:rsidRPr="005C20C9">
        <w:rPr>
          <w:rFonts w:ascii="Arial" w:hAnsi="Arial" w:cs="Arial"/>
          <w:i/>
        </w:rPr>
        <w:t>nájemní prázdniny a příspěvek na stavební úpravy, snížil příjmy z pronájmů na úroveň, kterou mnoho developerů a pronajímatelů vidí za hranicí realizovatelnosti</w:t>
      </w:r>
      <w:r w:rsidR="002A129A">
        <w:rPr>
          <w:rFonts w:ascii="Arial" w:hAnsi="Arial" w:cs="Arial"/>
          <w:i/>
        </w:rPr>
        <w:t>,</w:t>
      </w:r>
      <w:r w:rsidR="00BE1F4A" w:rsidRPr="005C20C9">
        <w:rPr>
          <w:rFonts w:ascii="Arial" w:hAnsi="Arial" w:cs="Arial"/>
          <w:i/>
        </w:rPr>
        <w:t xml:space="preserve">“ uvádí </w:t>
      </w:r>
      <w:r w:rsidR="00BE1F4A" w:rsidRPr="005C20C9">
        <w:rPr>
          <w:rFonts w:ascii="Arial" w:hAnsi="Arial" w:cs="Arial"/>
          <w:b/>
          <w:i/>
        </w:rPr>
        <w:t>Jiří Linhart</w:t>
      </w:r>
      <w:r w:rsidR="00A352EB">
        <w:rPr>
          <w:rFonts w:ascii="Arial" w:hAnsi="Arial" w:cs="Arial"/>
          <w:b/>
          <w:i/>
        </w:rPr>
        <w:t>,</w:t>
      </w:r>
      <w:r w:rsidR="00BE1F4A" w:rsidRPr="005C20C9">
        <w:rPr>
          <w:rFonts w:ascii="Arial" w:hAnsi="Arial" w:cs="Arial"/>
          <w:b/>
          <w:i/>
        </w:rPr>
        <w:t xml:space="preserve"> </w:t>
      </w:r>
      <w:proofErr w:type="spellStart"/>
      <w:r w:rsidR="00BE1F4A" w:rsidRPr="005C20C9">
        <w:rPr>
          <w:rFonts w:ascii="Arial" w:hAnsi="Arial" w:cs="Arial"/>
          <w:b/>
          <w:i/>
        </w:rPr>
        <w:t>Head</w:t>
      </w:r>
      <w:proofErr w:type="spellEnd"/>
      <w:r w:rsidR="00BE1F4A" w:rsidRPr="005C20C9">
        <w:rPr>
          <w:rFonts w:ascii="Arial" w:hAnsi="Arial" w:cs="Arial"/>
          <w:b/>
          <w:i/>
        </w:rPr>
        <w:t xml:space="preserve"> </w:t>
      </w:r>
      <w:proofErr w:type="spellStart"/>
      <w:r w:rsidR="00BE1F4A" w:rsidRPr="005C20C9">
        <w:rPr>
          <w:rFonts w:ascii="Arial" w:hAnsi="Arial" w:cs="Arial"/>
          <w:b/>
          <w:i/>
        </w:rPr>
        <w:t>of</w:t>
      </w:r>
      <w:proofErr w:type="spellEnd"/>
      <w:r w:rsidR="00BE1F4A" w:rsidRPr="005C20C9">
        <w:rPr>
          <w:rFonts w:ascii="Arial" w:hAnsi="Arial" w:cs="Arial"/>
          <w:b/>
          <w:i/>
        </w:rPr>
        <w:t xml:space="preserve"> </w:t>
      </w:r>
      <w:proofErr w:type="spellStart"/>
      <w:r w:rsidR="00A352EB">
        <w:rPr>
          <w:rFonts w:ascii="Arial" w:hAnsi="Arial" w:cs="Arial"/>
          <w:b/>
          <w:i/>
        </w:rPr>
        <w:t>A</w:t>
      </w:r>
      <w:r w:rsidR="00BE1F4A" w:rsidRPr="005C20C9">
        <w:rPr>
          <w:rFonts w:ascii="Arial" w:hAnsi="Arial" w:cs="Arial"/>
          <w:b/>
          <w:i/>
        </w:rPr>
        <w:t>gency</w:t>
      </w:r>
      <w:proofErr w:type="spellEnd"/>
      <w:r w:rsidR="00A352EB">
        <w:rPr>
          <w:rFonts w:ascii="Arial" w:hAnsi="Arial" w:cs="Arial"/>
          <w:b/>
          <w:i/>
        </w:rPr>
        <w:t xml:space="preserve"> ve společnosti</w:t>
      </w:r>
      <w:r w:rsidR="00BE1F4A" w:rsidRPr="005C20C9">
        <w:rPr>
          <w:rFonts w:ascii="Arial" w:hAnsi="Arial" w:cs="Arial"/>
          <w:b/>
          <w:i/>
        </w:rPr>
        <w:t xml:space="preserve"> KNIGHT FRANK.  </w:t>
      </w:r>
    </w:p>
    <w:p w:rsidR="00A71785" w:rsidRPr="005C20C9" w:rsidRDefault="00A352EB" w:rsidP="0079172B">
      <w:pPr>
        <w:spacing w:line="360" w:lineRule="auto"/>
        <w:jc w:val="both"/>
        <w:rPr>
          <w:rFonts w:ascii="Arial" w:hAnsi="Arial" w:cs="Arial"/>
        </w:rPr>
      </w:pPr>
      <w:r>
        <w:rPr>
          <w:rFonts w:ascii="Arial" w:hAnsi="Arial" w:cs="Arial"/>
        </w:rPr>
        <w:t xml:space="preserve">Jak </w:t>
      </w:r>
      <w:r w:rsidRPr="005C20C9">
        <w:rPr>
          <w:rFonts w:ascii="Arial" w:hAnsi="Arial" w:cs="Arial"/>
        </w:rPr>
        <w:t>potvrdily</w:t>
      </w:r>
      <w:r>
        <w:rPr>
          <w:rFonts w:ascii="Arial" w:hAnsi="Arial" w:cs="Arial"/>
        </w:rPr>
        <w:t xml:space="preserve"> v</w:t>
      </w:r>
      <w:r w:rsidR="00965C44" w:rsidRPr="005C20C9">
        <w:rPr>
          <w:rFonts w:ascii="Arial" w:hAnsi="Arial" w:cs="Arial"/>
        </w:rPr>
        <w:t>šechny firmy, které se do výzkumu zapojily</w:t>
      </w:r>
      <w:r w:rsidR="00D62B3F" w:rsidRPr="005C20C9">
        <w:rPr>
          <w:rFonts w:ascii="Arial" w:hAnsi="Arial" w:cs="Arial"/>
        </w:rPr>
        <w:t>,</w:t>
      </w:r>
      <w:r w:rsidR="00965C44" w:rsidRPr="005C20C9">
        <w:rPr>
          <w:rFonts w:ascii="Arial" w:hAnsi="Arial" w:cs="Arial"/>
        </w:rPr>
        <w:t xml:space="preserve"> </w:t>
      </w:r>
      <w:r w:rsidRPr="005C20C9">
        <w:rPr>
          <w:rFonts w:ascii="Arial" w:hAnsi="Arial" w:cs="Arial"/>
        </w:rPr>
        <w:t xml:space="preserve">budou </w:t>
      </w:r>
      <w:r>
        <w:rPr>
          <w:rFonts w:ascii="Arial" w:hAnsi="Arial" w:cs="Arial"/>
        </w:rPr>
        <w:t xml:space="preserve">vzhledem k </w:t>
      </w:r>
      <w:r w:rsidR="00D62B3F" w:rsidRPr="005C20C9">
        <w:rPr>
          <w:rFonts w:ascii="Arial" w:hAnsi="Arial" w:cs="Arial"/>
        </w:rPr>
        <w:t xml:space="preserve">těmto skutečnostem podmínky nájemních smluv </w:t>
      </w:r>
      <w:r w:rsidR="0054366F">
        <w:rPr>
          <w:rFonts w:ascii="Arial" w:hAnsi="Arial" w:cs="Arial"/>
        </w:rPr>
        <w:t xml:space="preserve">jak v tomto, tak i příštím roce, </w:t>
      </w:r>
      <w:r w:rsidR="00D62B3F" w:rsidRPr="005C20C9">
        <w:rPr>
          <w:rFonts w:ascii="Arial" w:hAnsi="Arial" w:cs="Arial"/>
        </w:rPr>
        <w:t>jednoznačně v režii zákazníků. To</w:t>
      </w:r>
      <w:r>
        <w:rPr>
          <w:rFonts w:ascii="Arial" w:hAnsi="Arial" w:cs="Arial"/>
        </w:rPr>
        <w:t>to</w:t>
      </w:r>
      <w:r w:rsidR="00D62B3F" w:rsidRPr="005C20C9">
        <w:rPr>
          <w:rFonts w:ascii="Arial" w:hAnsi="Arial" w:cs="Arial"/>
        </w:rPr>
        <w:t xml:space="preserve"> potvrzuje také </w:t>
      </w:r>
      <w:r w:rsidR="00D62B3F" w:rsidRPr="005C20C9">
        <w:rPr>
          <w:rFonts w:ascii="Arial" w:hAnsi="Arial" w:cs="Arial"/>
          <w:b/>
          <w:i/>
        </w:rPr>
        <w:t xml:space="preserve">Jan </w:t>
      </w:r>
      <w:proofErr w:type="spellStart"/>
      <w:r w:rsidR="00D62B3F" w:rsidRPr="005C20C9">
        <w:rPr>
          <w:rFonts w:ascii="Arial" w:hAnsi="Arial" w:cs="Arial"/>
          <w:b/>
          <w:i/>
        </w:rPr>
        <w:t>Skříček</w:t>
      </w:r>
      <w:proofErr w:type="spellEnd"/>
      <w:r w:rsidR="00D62B3F" w:rsidRPr="005C20C9">
        <w:rPr>
          <w:rFonts w:ascii="Arial" w:hAnsi="Arial" w:cs="Arial"/>
          <w:b/>
          <w:i/>
        </w:rPr>
        <w:t xml:space="preserve">, hlavní analytik PPF Real </w:t>
      </w:r>
      <w:proofErr w:type="spellStart"/>
      <w:r w:rsidR="00D62B3F" w:rsidRPr="005C20C9">
        <w:rPr>
          <w:rFonts w:ascii="Arial" w:hAnsi="Arial" w:cs="Arial"/>
          <w:b/>
          <w:i/>
        </w:rPr>
        <w:t>Estate</w:t>
      </w:r>
      <w:proofErr w:type="spellEnd"/>
      <w:r w:rsidR="00D62B3F" w:rsidRPr="005C20C9">
        <w:rPr>
          <w:rFonts w:ascii="Arial" w:hAnsi="Arial" w:cs="Arial"/>
          <w:b/>
          <w:i/>
        </w:rPr>
        <w:t>:</w:t>
      </w:r>
      <w:r w:rsidR="00D62B3F" w:rsidRPr="005C20C9">
        <w:rPr>
          <w:rFonts w:ascii="Arial" w:hAnsi="Arial" w:cs="Arial"/>
        </w:rPr>
        <w:t xml:space="preserve"> „</w:t>
      </w:r>
      <w:r w:rsidR="00D62B3F" w:rsidRPr="005C20C9">
        <w:rPr>
          <w:rFonts w:ascii="Arial" w:hAnsi="Arial" w:cs="Arial"/>
          <w:i/>
        </w:rPr>
        <w:t>S ohledem na skutečnost, že v tomto období by na pražský trh mělo dorazit přes 320</w:t>
      </w:r>
      <w:r>
        <w:rPr>
          <w:rFonts w:ascii="Arial" w:hAnsi="Arial" w:cs="Arial"/>
          <w:i/>
        </w:rPr>
        <w:t xml:space="preserve"> </w:t>
      </w:r>
      <w:r w:rsidR="00D62B3F" w:rsidRPr="005C20C9">
        <w:rPr>
          <w:rFonts w:ascii="Arial" w:hAnsi="Arial" w:cs="Arial"/>
          <w:i/>
        </w:rPr>
        <w:t>000 m2 nových kanceláří, lze očekávat, že dojde k dalšímu nárůstu neobsazenosti a k ještě většímu posílení převahy nájemců na trhu. Tato situace bude muset být kompenzována atraktivnějšími pobídkami pronajímatelů. Ty však nejsou nevyčerpatelné. Můžeme tedy čekat další pokles nájemného.</w:t>
      </w:r>
      <w:r w:rsidR="00D62B3F" w:rsidRPr="005C20C9">
        <w:rPr>
          <w:rFonts w:ascii="Arial" w:hAnsi="Arial" w:cs="Arial"/>
        </w:rPr>
        <w:t>“ „</w:t>
      </w:r>
      <w:r w:rsidR="00D62B3F" w:rsidRPr="005C20C9">
        <w:rPr>
          <w:rFonts w:ascii="Arial" w:hAnsi="Arial" w:cs="Arial"/>
          <w:i/>
        </w:rPr>
        <w:t>Pronajímatelé se snaží udržet ceny nájemného,</w:t>
      </w:r>
      <w:r w:rsidR="00BE1F4A" w:rsidRPr="005C20C9">
        <w:rPr>
          <w:rFonts w:ascii="Arial" w:hAnsi="Arial" w:cs="Arial"/>
          <w:i/>
        </w:rPr>
        <w:t xml:space="preserve"> ale</w:t>
      </w:r>
      <w:r w:rsidR="00D62B3F" w:rsidRPr="005C20C9">
        <w:rPr>
          <w:rFonts w:ascii="Arial" w:hAnsi="Arial" w:cs="Arial"/>
          <w:i/>
        </w:rPr>
        <w:t xml:space="preserve"> </w:t>
      </w:r>
      <w:r w:rsidR="00A57546" w:rsidRPr="005C20C9">
        <w:rPr>
          <w:rFonts w:ascii="Arial" w:hAnsi="Arial" w:cs="Arial"/>
          <w:i/>
        </w:rPr>
        <w:t>zákazníci</w:t>
      </w:r>
      <w:r w:rsidR="00A57546">
        <w:rPr>
          <w:rFonts w:ascii="Arial" w:hAnsi="Arial" w:cs="Arial"/>
          <w:i/>
        </w:rPr>
        <w:t>,</w:t>
      </w:r>
      <w:r w:rsidR="00A57546" w:rsidRPr="005C20C9">
        <w:rPr>
          <w:rFonts w:ascii="Arial" w:hAnsi="Arial" w:cs="Arial"/>
          <w:i/>
        </w:rPr>
        <w:t xml:space="preserve"> </w:t>
      </w:r>
      <w:r w:rsidR="00D62B3F" w:rsidRPr="005C20C9">
        <w:rPr>
          <w:rFonts w:ascii="Arial" w:hAnsi="Arial" w:cs="Arial"/>
          <w:i/>
        </w:rPr>
        <w:t>díky převisu nabídky nad poptávkou</w:t>
      </w:r>
      <w:r w:rsidR="00A57546">
        <w:rPr>
          <w:rFonts w:ascii="Arial" w:hAnsi="Arial" w:cs="Arial"/>
          <w:i/>
        </w:rPr>
        <w:t>,</w:t>
      </w:r>
      <w:r w:rsidR="00D62B3F" w:rsidRPr="005C20C9">
        <w:rPr>
          <w:rFonts w:ascii="Arial" w:hAnsi="Arial" w:cs="Arial"/>
          <w:i/>
        </w:rPr>
        <w:t xml:space="preserve"> </w:t>
      </w:r>
      <w:r w:rsidR="00A57546" w:rsidRPr="005C20C9">
        <w:rPr>
          <w:rFonts w:ascii="Arial" w:hAnsi="Arial" w:cs="Arial"/>
          <w:i/>
        </w:rPr>
        <w:t xml:space="preserve">získávají </w:t>
      </w:r>
      <w:r w:rsidR="00D62B3F" w:rsidRPr="005C20C9">
        <w:rPr>
          <w:rFonts w:ascii="Arial" w:hAnsi="Arial" w:cs="Arial"/>
          <w:i/>
        </w:rPr>
        <w:t>při je</w:t>
      </w:r>
      <w:r w:rsidR="001F51CB" w:rsidRPr="005C20C9">
        <w:rPr>
          <w:rFonts w:ascii="Arial" w:hAnsi="Arial" w:cs="Arial"/>
          <w:i/>
        </w:rPr>
        <w:t xml:space="preserve">dnání o smlouvě </w:t>
      </w:r>
      <w:r>
        <w:rPr>
          <w:rFonts w:ascii="Arial" w:hAnsi="Arial" w:cs="Arial"/>
          <w:i/>
        </w:rPr>
        <w:t xml:space="preserve">výrazné </w:t>
      </w:r>
      <w:r w:rsidR="00D62B3F" w:rsidRPr="005C20C9">
        <w:rPr>
          <w:rFonts w:ascii="Arial" w:hAnsi="Arial" w:cs="Arial"/>
          <w:i/>
        </w:rPr>
        <w:t>slevy v podobě například platebních prázdnin, bezplatného vybavení kanceláře</w:t>
      </w:r>
      <w:r w:rsidR="00867C3F" w:rsidRPr="005C20C9">
        <w:rPr>
          <w:rFonts w:ascii="Arial" w:hAnsi="Arial" w:cs="Arial"/>
          <w:i/>
        </w:rPr>
        <w:t>,</w:t>
      </w:r>
      <w:r w:rsidR="00D62B3F" w:rsidRPr="005C20C9">
        <w:rPr>
          <w:rFonts w:ascii="Arial" w:hAnsi="Arial" w:cs="Arial"/>
          <w:i/>
        </w:rPr>
        <w:t xml:space="preserve"> atd.</w:t>
      </w:r>
      <w:r w:rsidR="00D62B3F" w:rsidRPr="005C20C9">
        <w:rPr>
          <w:rFonts w:ascii="Arial" w:hAnsi="Arial" w:cs="Arial"/>
        </w:rPr>
        <w:t xml:space="preserve">,“ </w:t>
      </w:r>
      <w:r w:rsidR="00A57546">
        <w:rPr>
          <w:rFonts w:ascii="Arial" w:hAnsi="Arial" w:cs="Arial"/>
        </w:rPr>
        <w:t>objasňuje</w:t>
      </w:r>
      <w:r w:rsidR="00A57546" w:rsidRPr="005C20C9">
        <w:rPr>
          <w:rFonts w:ascii="Arial" w:hAnsi="Arial" w:cs="Arial"/>
        </w:rPr>
        <w:t xml:space="preserve"> </w:t>
      </w:r>
      <w:r w:rsidR="00D62B3F" w:rsidRPr="005C20C9">
        <w:rPr>
          <w:rFonts w:ascii="Arial" w:hAnsi="Arial" w:cs="Arial"/>
        </w:rPr>
        <w:t>prakti</w:t>
      </w:r>
      <w:r w:rsidR="006131B0">
        <w:rPr>
          <w:rFonts w:ascii="Arial" w:hAnsi="Arial" w:cs="Arial"/>
        </w:rPr>
        <w:t>cké</w:t>
      </w:r>
      <w:r w:rsidR="00A57546">
        <w:rPr>
          <w:rFonts w:ascii="Arial" w:hAnsi="Arial" w:cs="Arial"/>
        </w:rPr>
        <w:t xml:space="preserve"> stránky </w:t>
      </w:r>
      <w:r w:rsidR="00D62B3F" w:rsidRPr="005C20C9">
        <w:rPr>
          <w:rFonts w:ascii="Arial" w:hAnsi="Arial" w:cs="Arial"/>
        </w:rPr>
        <w:t xml:space="preserve">vyjednávání </w:t>
      </w:r>
      <w:r w:rsidR="00D62B3F" w:rsidRPr="005C20C9">
        <w:rPr>
          <w:rFonts w:ascii="Arial" w:hAnsi="Arial" w:cs="Arial"/>
          <w:b/>
          <w:i/>
        </w:rPr>
        <w:t>Jiří Vacek, ředitel analytické společnosti CEEC Research.</w:t>
      </w:r>
    </w:p>
    <w:p w:rsidR="00D62B3F" w:rsidRPr="005C20C9" w:rsidRDefault="00D62B3F" w:rsidP="0079172B">
      <w:pPr>
        <w:spacing w:line="360" w:lineRule="auto"/>
        <w:jc w:val="both"/>
        <w:rPr>
          <w:rFonts w:ascii="Arial" w:hAnsi="Arial" w:cs="Arial"/>
        </w:rPr>
      </w:pPr>
      <w:r w:rsidRPr="005C20C9">
        <w:rPr>
          <w:rFonts w:ascii="Arial" w:hAnsi="Arial" w:cs="Arial"/>
        </w:rPr>
        <w:t xml:space="preserve">Podle ředitelů developerských firem nejvíce ovlivní trh s kancelářskými nemovitostmi v Praze vlna nových nemovitostí přicházejících na trh, a rovněž také </w:t>
      </w:r>
      <w:r w:rsidR="00A57546">
        <w:rPr>
          <w:rFonts w:ascii="Arial" w:hAnsi="Arial" w:cs="Arial"/>
        </w:rPr>
        <w:t xml:space="preserve">další </w:t>
      </w:r>
      <w:r w:rsidRPr="005C20C9">
        <w:rPr>
          <w:rFonts w:ascii="Arial" w:hAnsi="Arial" w:cs="Arial"/>
        </w:rPr>
        <w:t>vývoj ekonomiky (ochota firem pronajímat si nové nebo větší prostory). Rovněž pak také požadavky nájemců na snížení ceny nájmů (v důsledku znatelného převisu nabídky nad poptávkou). Ostatní faktory budou mít již podstatně menší vliv. Více viz graf níže.</w:t>
      </w:r>
    </w:p>
    <w:p w:rsidR="00D62B3F" w:rsidRPr="005C20C9" w:rsidRDefault="005C20C9" w:rsidP="0079172B">
      <w:pPr>
        <w:spacing w:line="360" w:lineRule="auto"/>
        <w:jc w:val="center"/>
        <w:rPr>
          <w:rFonts w:ascii="Arial" w:hAnsi="Arial" w:cs="Arial"/>
        </w:rPr>
      </w:pPr>
      <w:r w:rsidRPr="005C20C9">
        <w:rPr>
          <w:rFonts w:ascii="Arial" w:hAnsi="Arial" w:cs="Arial"/>
          <w:noProof/>
          <w:lang w:eastAsia="cs-CZ"/>
        </w:rPr>
        <w:lastRenderedPageBreak/>
        <w:drawing>
          <wp:inline distT="0" distB="0" distL="0" distR="0" wp14:anchorId="31DE70EF" wp14:editId="3D9F4130">
            <wp:extent cx="3981450" cy="306833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png"/>
                    <pic:cNvPicPr/>
                  </pic:nvPicPr>
                  <pic:blipFill>
                    <a:blip r:embed="rId11">
                      <a:extLst>
                        <a:ext uri="{28A0092B-C50C-407E-A947-70E740481C1C}">
                          <a14:useLocalDpi xmlns:a14="http://schemas.microsoft.com/office/drawing/2010/main" val="0"/>
                        </a:ext>
                      </a:extLst>
                    </a:blip>
                    <a:stretch>
                      <a:fillRect/>
                    </a:stretch>
                  </pic:blipFill>
                  <pic:spPr>
                    <a:xfrm>
                      <a:off x="0" y="0"/>
                      <a:ext cx="3981450" cy="3068335"/>
                    </a:xfrm>
                    <a:prstGeom prst="rect">
                      <a:avLst/>
                    </a:prstGeom>
                  </pic:spPr>
                </pic:pic>
              </a:graphicData>
            </a:graphic>
          </wp:inline>
        </w:drawing>
      </w:r>
    </w:p>
    <w:p w:rsidR="00D62B3F" w:rsidRPr="005C20C9" w:rsidRDefault="00D62B3F" w:rsidP="0079172B">
      <w:pPr>
        <w:suppressAutoHyphens w:val="0"/>
        <w:autoSpaceDE w:val="0"/>
        <w:autoSpaceDN w:val="0"/>
        <w:adjustRightInd w:val="0"/>
        <w:spacing w:after="0" w:line="360" w:lineRule="auto"/>
        <w:jc w:val="both"/>
        <w:rPr>
          <w:rFonts w:ascii="Arial" w:hAnsi="Arial" w:cs="Arial"/>
        </w:rPr>
      </w:pPr>
      <w:r w:rsidRPr="005C20C9">
        <w:rPr>
          <w:rFonts w:ascii="Arial" w:hAnsi="Arial" w:cs="Arial"/>
        </w:rPr>
        <w:t xml:space="preserve">Co čeká české stavebnictví a jaké klíčové kroky pro jeho další směřování se připravují, budou s více než 450 řediteli stavebních společností diskutovat na Setkání lídrů českého stavebnictví 2014 prezident České republiky Miloš Zeman, předseda Vlády ČR Bohuslav Sobotka, ministryně pro místní rozvoj Věra Jourová, ministr dopravy Antonín Prachař a ministr průmyslu a obchodu Jan Mládek. Více na </w:t>
      </w:r>
      <w:hyperlink r:id="rId12" w:history="1">
        <w:r w:rsidRPr="0054366F">
          <w:rPr>
            <w:rFonts w:ascii="Arial" w:hAnsi="Arial" w:cs="Arial"/>
          </w:rPr>
          <w:t>www.ceec.eu</w:t>
        </w:r>
      </w:hyperlink>
    </w:p>
    <w:p w:rsidR="003E507F" w:rsidRPr="005C20C9" w:rsidRDefault="003E507F" w:rsidP="00BE1F4A">
      <w:pPr>
        <w:spacing w:line="288" w:lineRule="auto"/>
        <w:jc w:val="both"/>
        <w:rPr>
          <w:rFonts w:ascii="Arial" w:hAnsi="Arial" w:cs="Arial"/>
          <w:i/>
        </w:rPr>
      </w:pPr>
    </w:p>
    <w:p w:rsidR="00867C3F" w:rsidRPr="005C20C9" w:rsidRDefault="00867C3F" w:rsidP="00BE1F4A">
      <w:pPr>
        <w:spacing w:line="288" w:lineRule="auto"/>
        <w:jc w:val="both"/>
        <w:rPr>
          <w:rFonts w:ascii="Arial" w:hAnsi="Arial" w:cs="Arial"/>
          <w:i/>
        </w:rPr>
      </w:pPr>
    </w:p>
    <w:p w:rsidR="003A101E" w:rsidRPr="005C20C9" w:rsidRDefault="00F5658C" w:rsidP="00BE1F4A">
      <w:pPr>
        <w:spacing w:after="0" w:line="288" w:lineRule="auto"/>
        <w:rPr>
          <w:rFonts w:ascii="Arial" w:hAnsi="Arial" w:cs="Arial"/>
          <w:b/>
        </w:rPr>
      </w:pPr>
      <w:r w:rsidRPr="005C20C9">
        <w:rPr>
          <w:rFonts w:ascii="Arial" w:hAnsi="Arial" w:cs="Arial"/>
          <w:b/>
        </w:rPr>
        <w:t>Kontakt pro média:</w:t>
      </w:r>
    </w:p>
    <w:p w:rsidR="00F5658C" w:rsidRPr="005C20C9" w:rsidRDefault="00F5658C" w:rsidP="00BE1F4A">
      <w:pPr>
        <w:spacing w:line="288" w:lineRule="auto"/>
        <w:rPr>
          <w:rFonts w:ascii="Arial" w:hAnsi="Arial" w:cs="Arial"/>
          <w:b/>
          <w:sz w:val="18"/>
          <w:szCs w:val="18"/>
        </w:rPr>
      </w:pPr>
      <w:r w:rsidRPr="005C20C9">
        <w:rPr>
          <w:rFonts w:ascii="Arial" w:hAnsi="Arial" w:cs="Arial"/>
          <w:b/>
          <w:sz w:val="8"/>
          <w:szCs w:val="8"/>
        </w:rPr>
        <w:br/>
      </w:r>
      <w:r w:rsidRPr="005C20C9">
        <w:rPr>
          <w:rFonts w:ascii="Arial" w:hAnsi="Arial" w:cs="Arial"/>
        </w:rPr>
        <w:t xml:space="preserve">Alena </w:t>
      </w:r>
      <w:proofErr w:type="spellStart"/>
      <w:r w:rsidRPr="005C20C9">
        <w:rPr>
          <w:rFonts w:ascii="Arial" w:hAnsi="Arial" w:cs="Arial"/>
        </w:rPr>
        <w:t>Setničková</w:t>
      </w:r>
      <w:proofErr w:type="spellEnd"/>
      <w:r w:rsidRPr="005C20C9">
        <w:rPr>
          <w:rFonts w:ascii="Arial" w:hAnsi="Arial" w:cs="Arial"/>
        </w:rPr>
        <w:br/>
        <w:t xml:space="preserve">PR &amp; </w:t>
      </w:r>
      <w:proofErr w:type="spellStart"/>
      <w:r w:rsidRPr="005C20C9">
        <w:rPr>
          <w:rFonts w:ascii="Arial" w:hAnsi="Arial" w:cs="Arial"/>
        </w:rPr>
        <w:t>Communication</w:t>
      </w:r>
      <w:proofErr w:type="spellEnd"/>
      <w:r w:rsidRPr="005C20C9">
        <w:rPr>
          <w:rFonts w:ascii="Arial" w:hAnsi="Arial" w:cs="Arial"/>
        </w:rPr>
        <w:t xml:space="preserve"> </w:t>
      </w:r>
      <w:proofErr w:type="spellStart"/>
      <w:r w:rsidRPr="005C20C9">
        <w:rPr>
          <w:rFonts w:ascii="Arial" w:hAnsi="Arial" w:cs="Arial"/>
        </w:rPr>
        <w:t>Director</w:t>
      </w:r>
      <w:proofErr w:type="spellEnd"/>
      <w:r w:rsidRPr="005C20C9">
        <w:rPr>
          <w:rFonts w:ascii="Arial" w:hAnsi="Arial" w:cs="Arial"/>
        </w:rPr>
        <w:br/>
        <w:t>CEEC Research</w:t>
      </w:r>
      <w:r w:rsidRPr="005C20C9">
        <w:rPr>
          <w:rFonts w:ascii="Arial" w:hAnsi="Arial" w:cs="Arial"/>
        </w:rPr>
        <w:br/>
        <w:t>E-mail: setnickova@ceec.eu</w:t>
      </w:r>
      <w:r w:rsidRPr="005C20C9">
        <w:rPr>
          <w:rFonts w:ascii="Arial" w:hAnsi="Arial" w:cs="Arial"/>
        </w:rPr>
        <w:br/>
        <w:t>Tel.: +420 777 299 790</w:t>
      </w:r>
    </w:p>
    <w:p w:rsidR="00F5658C" w:rsidRPr="005C20C9" w:rsidRDefault="00F5658C" w:rsidP="00BE1F4A">
      <w:pPr>
        <w:spacing w:line="288" w:lineRule="auto"/>
        <w:jc w:val="both"/>
        <w:rPr>
          <w:rFonts w:ascii="Arial" w:hAnsi="Arial" w:cs="Arial"/>
          <w:b/>
          <w:sz w:val="18"/>
          <w:szCs w:val="18"/>
        </w:rPr>
      </w:pPr>
    </w:p>
    <w:p w:rsidR="00F5658C" w:rsidRPr="005C20C9" w:rsidRDefault="00F5658C" w:rsidP="00BE1F4A">
      <w:pPr>
        <w:spacing w:line="288" w:lineRule="auto"/>
        <w:jc w:val="both"/>
        <w:rPr>
          <w:rFonts w:ascii="Arial" w:hAnsi="Arial" w:cs="Arial"/>
          <w:b/>
          <w:i/>
          <w:sz w:val="16"/>
          <w:szCs w:val="16"/>
        </w:rPr>
      </w:pPr>
      <w:r w:rsidRPr="005C20C9">
        <w:rPr>
          <w:rFonts w:ascii="Arial" w:hAnsi="Arial" w:cs="Arial"/>
          <w:b/>
          <w:sz w:val="18"/>
          <w:szCs w:val="18"/>
        </w:rPr>
        <w:t>Kvartální</w:t>
      </w:r>
      <w:r w:rsidR="003A101E" w:rsidRPr="005C20C9">
        <w:rPr>
          <w:rFonts w:ascii="Arial" w:hAnsi="Arial" w:cs="Arial"/>
          <w:b/>
          <w:sz w:val="18"/>
          <w:szCs w:val="18"/>
        </w:rPr>
        <w:t xml:space="preserve"> analýza českého stavebnictví Q2</w:t>
      </w:r>
      <w:r w:rsidRPr="005C20C9">
        <w:rPr>
          <w:rFonts w:ascii="Arial" w:hAnsi="Arial" w:cs="Arial"/>
          <w:b/>
          <w:sz w:val="18"/>
          <w:szCs w:val="18"/>
        </w:rPr>
        <w:t xml:space="preserve">/2014 </w:t>
      </w:r>
      <w:r w:rsidRPr="005C20C9">
        <w:rPr>
          <w:rStyle w:val="hps"/>
          <w:rFonts w:ascii="Arial" w:hAnsi="Arial" w:cs="Arial"/>
          <w:sz w:val="18"/>
          <w:szCs w:val="18"/>
        </w:rPr>
        <w:t xml:space="preserve">je založena na strukturovaných osobních a telefonických rozhovorech s vybraným vzorkem 100 stavebních společností, 100 projektových společností a </w:t>
      </w:r>
      <w:r w:rsidR="007F30CE" w:rsidRPr="005C20C9">
        <w:rPr>
          <w:rStyle w:val="hps"/>
          <w:rFonts w:ascii="Arial" w:hAnsi="Arial" w:cs="Arial"/>
          <w:sz w:val="18"/>
          <w:szCs w:val="18"/>
        </w:rPr>
        <w:t>více ne</w:t>
      </w:r>
      <w:r w:rsidR="00C15191" w:rsidRPr="005C20C9">
        <w:rPr>
          <w:rStyle w:val="hps"/>
          <w:rFonts w:ascii="Arial" w:hAnsi="Arial" w:cs="Arial"/>
          <w:sz w:val="18"/>
          <w:szCs w:val="18"/>
        </w:rPr>
        <w:t>ž</w:t>
      </w:r>
      <w:r w:rsidR="004A7D8C" w:rsidRPr="005C20C9">
        <w:rPr>
          <w:rStyle w:val="hps"/>
          <w:rFonts w:ascii="Arial" w:hAnsi="Arial" w:cs="Arial"/>
          <w:sz w:val="18"/>
          <w:szCs w:val="18"/>
        </w:rPr>
        <w:t xml:space="preserve"> 3</w:t>
      </w:r>
      <w:r w:rsidR="007F30CE" w:rsidRPr="005C20C9">
        <w:rPr>
          <w:rStyle w:val="hps"/>
          <w:rFonts w:ascii="Arial" w:hAnsi="Arial" w:cs="Arial"/>
          <w:sz w:val="18"/>
          <w:szCs w:val="18"/>
        </w:rPr>
        <w:t xml:space="preserve">0 </w:t>
      </w:r>
      <w:r w:rsidRPr="005C20C9">
        <w:rPr>
          <w:rStyle w:val="hps"/>
          <w:rFonts w:ascii="Arial" w:hAnsi="Arial" w:cs="Arial"/>
          <w:sz w:val="18"/>
          <w:szCs w:val="18"/>
        </w:rPr>
        <w:t>význa</w:t>
      </w:r>
      <w:r w:rsidR="007F30CE" w:rsidRPr="005C20C9">
        <w:rPr>
          <w:rStyle w:val="hps"/>
          <w:rFonts w:ascii="Arial" w:hAnsi="Arial" w:cs="Arial"/>
          <w:sz w:val="18"/>
          <w:szCs w:val="18"/>
        </w:rPr>
        <w:t>mných developerských společnostech</w:t>
      </w:r>
      <w:r w:rsidRPr="005C20C9">
        <w:rPr>
          <w:rFonts w:ascii="Arial" w:hAnsi="Arial" w:cs="Arial"/>
          <w:sz w:val="18"/>
          <w:szCs w:val="18"/>
        </w:rPr>
        <w:t xml:space="preserve">. </w:t>
      </w:r>
      <w:r w:rsidRPr="005C20C9">
        <w:rPr>
          <w:rStyle w:val="hps"/>
          <w:rFonts w:ascii="Arial" w:hAnsi="Arial" w:cs="Arial"/>
          <w:sz w:val="18"/>
          <w:szCs w:val="18"/>
        </w:rPr>
        <w:t xml:space="preserve">Rozhovory proběhly v průběhu </w:t>
      </w:r>
      <w:r w:rsidR="003A101E" w:rsidRPr="005C20C9">
        <w:rPr>
          <w:rStyle w:val="hps"/>
          <w:rFonts w:ascii="Arial" w:hAnsi="Arial" w:cs="Arial"/>
          <w:sz w:val="18"/>
          <w:szCs w:val="18"/>
        </w:rPr>
        <w:t>dubna</w:t>
      </w:r>
      <w:r w:rsidR="007F30CE" w:rsidRPr="005C20C9">
        <w:rPr>
          <w:rStyle w:val="hps"/>
          <w:rFonts w:ascii="Arial" w:hAnsi="Arial" w:cs="Arial"/>
          <w:sz w:val="18"/>
          <w:szCs w:val="18"/>
        </w:rPr>
        <w:t xml:space="preserve"> a května</w:t>
      </w:r>
      <w:r w:rsidRPr="005C20C9">
        <w:rPr>
          <w:rStyle w:val="hps"/>
          <w:rFonts w:ascii="Arial" w:hAnsi="Arial" w:cs="Arial"/>
          <w:sz w:val="18"/>
          <w:szCs w:val="18"/>
        </w:rPr>
        <w:t xml:space="preserve"> 2014</w:t>
      </w:r>
      <w:r w:rsidRPr="005C20C9">
        <w:rPr>
          <w:rFonts w:ascii="Arial" w:hAnsi="Arial" w:cs="Arial"/>
          <w:sz w:val="18"/>
          <w:szCs w:val="18"/>
        </w:rPr>
        <w:t xml:space="preserve">. </w:t>
      </w:r>
      <w:r w:rsidRPr="005C20C9">
        <w:rPr>
          <w:rStyle w:val="hps"/>
          <w:rFonts w:ascii="Arial" w:hAnsi="Arial" w:cs="Arial"/>
          <w:sz w:val="18"/>
          <w:szCs w:val="18"/>
        </w:rPr>
        <w:t>Kromě standardní analýzy nabízí tento výzkum rovněž detailní informace o postojích hlavních segmentů stavebnictví podle dvojrozměrné segmentace vzorku (</w:t>
      </w:r>
      <w:r w:rsidRPr="005C20C9">
        <w:rPr>
          <w:rFonts w:ascii="Arial" w:hAnsi="Arial" w:cs="Arial"/>
          <w:sz w:val="18"/>
          <w:szCs w:val="18"/>
        </w:rPr>
        <w:t xml:space="preserve">tj. z </w:t>
      </w:r>
      <w:r w:rsidRPr="005C20C9">
        <w:rPr>
          <w:rStyle w:val="hps"/>
          <w:rFonts w:ascii="Arial" w:hAnsi="Arial" w:cs="Arial"/>
          <w:sz w:val="18"/>
          <w:szCs w:val="18"/>
        </w:rPr>
        <w:t>hlediska velikosti stavebních společností</w:t>
      </w:r>
      <w:r w:rsidRPr="005C20C9">
        <w:rPr>
          <w:rFonts w:ascii="Arial" w:hAnsi="Arial" w:cs="Arial"/>
          <w:sz w:val="18"/>
          <w:szCs w:val="18"/>
        </w:rPr>
        <w:t xml:space="preserve">, </w:t>
      </w:r>
      <w:r w:rsidRPr="005C20C9">
        <w:rPr>
          <w:rStyle w:val="hps"/>
          <w:rFonts w:ascii="Arial" w:hAnsi="Arial" w:cs="Arial"/>
          <w:sz w:val="18"/>
          <w:szCs w:val="18"/>
        </w:rPr>
        <w:t>jakož i stavebního zaměření účastníků)</w:t>
      </w:r>
      <w:r w:rsidRPr="005C20C9">
        <w:rPr>
          <w:rFonts w:ascii="Arial" w:hAnsi="Arial" w:cs="Arial"/>
          <w:sz w:val="18"/>
          <w:szCs w:val="18"/>
        </w:rPr>
        <w:t xml:space="preserve">. </w:t>
      </w:r>
      <w:r w:rsidRPr="005C20C9">
        <w:rPr>
          <w:rStyle w:val="hps"/>
          <w:rFonts w:ascii="Arial" w:hAnsi="Arial" w:cs="Arial"/>
          <w:sz w:val="18"/>
          <w:szCs w:val="18"/>
        </w:rPr>
        <w:t>Segmenty jsou rozděleny na velké a střední/malé společnosti</w:t>
      </w:r>
      <w:r w:rsidRPr="005C20C9">
        <w:rPr>
          <w:rFonts w:ascii="Arial" w:hAnsi="Arial" w:cs="Arial"/>
          <w:sz w:val="18"/>
          <w:szCs w:val="18"/>
        </w:rPr>
        <w:t xml:space="preserve">. </w:t>
      </w:r>
      <w:r w:rsidRPr="005C20C9">
        <w:rPr>
          <w:rStyle w:val="hps"/>
          <w:rFonts w:ascii="Arial" w:hAnsi="Arial" w:cs="Arial"/>
          <w:sz w:val="18"/>
          <w:szCs w:val="18"/>
        </w:rPr>
        <w:t>Z druhého pohledu pak na segmenty zabývající se pozemním nebo inženýrským stavitelstvím</w:t>
      </w:r>
      <w:r w:rsidRPr="005C20C9">
        <w:rPr>
          <w:rFonts w:ascii="Arial" w:hAnsi="Arial" w:cs="Arial"/>
          <w:sz w:val="18"/>
          <w:szCs w:val="18"/>
        </w:rPr>
        <w:t>.</w:t>
      </w:r>
    </w:p>
    <w:p w:rsidR="00F5658C" w:rsidRPr="005C20C9" w:rsidRDefault="00F5658C" w:rsidP="00BE1F4A">
      <w:pPr>
        <w:spacing w:line="288" w:lineRule="auto"/>
        <w:jc w:val="both"/>
        <w:rPr>
          <w:rFonts w:ascii="Arial" w:hAnsi="Arial" w:cs="Arial"/>
          <w:i/>
          <w:sz w:val="16"/>
          <w:szCs w:val="16"/>
        </w:rPr>
      </w:pPr>
      <w:r w:rsidRPr="005C20C9">
        <w:rPr>
          <w:rFonts w:ascii="Arial" w:hAnsi="Arial" w:cs="Arial"/>
          <w:b/>
          <w:i/>
          <w:sz w:val="16"/>
          <w:szCs w:val="16"/>
        </w:rPr>
        <w:t>CEEC Research</w:t>
      </w:r>
      <w:r w:rsidRPr="005C20C9">
        <w:rPr>
          <w:rFonts w:ascii="Arial" w:hAnsi="Arial" w:cs="Arial"/>
          <w:i/>
          <w:sz w:val="16"/>
          <w:szCs w:val="16"/>
        </w:rPr>
        <w:t xml:space="preserve"> je největší analytickou společností specializující se na stavebnictví v zemích střední a východní Evropy. Byla založena v roce 2005 a od té doby bezplatně poskytuje studie o aktuálním stavu a očekávaném vývoji stavebnictví v deseti zemích střední a východní Evropy. Všechny studie a analýzy CEEC Research jsou založeny výhradně na údajích získaných z pravidelných strukturovaných interview s klíčovými představiteli vybraných </w:t>
      </w:r>
      <w:r w:rsidR="00842598" w:rsidRPr="005C20C9">
        <w:rPr>
          <w:rFonts w:ascii="Arial" w:hAnsi="Arial" w:cs="Arial"/>
          <w:i/>
          <w:sz w:val="16"/>
          <w:szCs w:val="16"/>
        </w:rPr>
        <w:t>největších, středních i malých</w:t>
      </w:r>
      <w:r w:rsidRPr="005C20C9">
        <w:rPr>
          <w:rFonts w:ascii="Arial" w:hAnsi="Arial" w:cs="Arial"/>
          <w:i/>
          <w:sz w:val="16"/>
          <w:szCs w:val="16"/>
        </w:rPr>
        <w:t xml:space="preserve"> společností. </w:t>
      </w:r>
    </w:p>
    <w:p w:rsidR="00F5658C" w:rsidRPr="005C20C9" w:rsidRDefault="00F5658C" w:rsidP="00BE1F4A">
      <w:pPr>
        <w:spacing w:line="288" w:lineRule="auto"/>
        <w:jc w:val="both"/>
        <w:rPr>
          <w:rFonts w:ascii="Arial" w:hAnsi="Arial" w:cs="Arial"/>
          <w:i/>
          <w:sz w:val="16"/>
          <w:szCs w:val="16"/>
        </w:rPr>
      </w:pPr>
      <w:r w:rsidRPr="005C20C9">
        <w:rPr>
          <w:rFonts w:ascii="Arial" w:hAnsi="Arial" w:cs="Arial"/>
          <w:i/>
          <w:sz w:val="16"/>
          <w:szCs w:val="16"/>
        </w:rPr>
        <w:lastRenderedPageBreak/>
        <w:t xml:space="preserve">CEEC Research navíc k pravidelným a bezplatným analýzám stavebnictví také organizuje </w:t>
      </w:r>
      <w:r w:rsidRPr="005C20C9">
        <w:rPr>
          <w:rFonts w:ascii="Arial" w:hAnsi="Arial" w:cs="Arial"/>
          <w:b/>
          <w:i/>
          <w:sz w:val="16"/>
          <w:szCs w:val="16"/>
        </w:rPr>
        <w:t>Setkání lídrů českého stavebnictví</w:t>
      </w:r>
      <w:r w:rsidRPr="005C20C9">
        <w:rPr>
          <w:rFonts w:ascii="Arial" w:hAnsi="Arial" w:cs="Arial"/>
          <w:i/>
          <w:sz w:val="16"/>
          <w:szCs w:val="16"/>
        </w:rPr>
        <w:t>, kterých se účastní generální ředitelé nejvýznamnějších stavebních, developerských a projektových společností, prezidenti svazů, cechů a komor z oblasti stavebnictví a rovněž i ministři a nejvyšší představitelé státu vybraných zemí.</w:t>
      </w:r>
    </w:p>
    <w:p w:rsidR="00F5658C" w:rsidRPr="005C20C9" w:rsidRDefault="00F5658C" w:rsidP="00BE1F4A">
      <w:pPr>
        <w:spacing w:line="288" w:lineRule="auto"/>
        <w:jc w:val="both"/>
        <w:rPr>
          <w:rFonts w:ascii="Arial" w:hAnsi="Arial" w:cs="Arial"/>
          <w:i/>
          <w:color w:val="000000"/>
          <w:sz w:val="16"/>
          <w:szCs w:val="16"/>
        </w:rPr>
      </w:pPr>
      <w:r w:rsidRPr="005C20C9">
        <w:rPr>
          <w:rFonts w:ascii="Arial" w:hAnsi="Arial" w:cs="Arial"/>
          <w:b/>
          <w:i/>
          <w:sz w:val="16"/>
          <w:szCs w:val="16"/>
        </w:rPr>
        <w:t xml:space="preserve">Společnost </w:t>
      </w:r>
      <w:hyperlink r:id="rId13" w:history="1">
        <w:r w:rsidRPr="005C20C9">
          <w:rPr>
            <w:rStyle w:val="Hypertextovodkaz"/>
            <w:rFonts w:ascii="Arial" w:hAnsi="Arial" w:cs="Arial"/>
            <w:b/>
            <w:i/>
            <w:color w:val="auto"/>
            <w:sz w:val="16"/>
            <w:szCs w:val="16"/>
            <w:u w:val="none"/>
          </w:rPr>
          <w:t>KPMG Česká republika</w:t>
        </w:r>
      </w:hyperlink>
      <w:r w:rsidRPr="005C20C9">
        <w:rPr>
          <w:rFonts w:ascii="Arial" w:hAnsi="Arial" w:cs="Arial"/>
          <w:i/>
          <w:sz w:val="16"/>
          <w:szCs w:val="16"/>
        </w:rPr>
        <w:t xml:space="preserve"> </w:t>
      </w:r>
      <w:r w:rsidRPr="005C20C9">
        <w:rPr>
          <w:rFonts w:ascii="Arial" w:hAnsi="Arial" w:cs="Arial"/>
          <w:i/>
          <w:color w:val="000000"/>
          <w:sz w:val="16"/>
          <w:szCs w:val="16"/>
        </w:rPr>
        <w:t xml:space="preserve">zahájila svou činnost v roce 1990, kdy byla v Praze otevřena první kancelář. V současné době má 760 zaměstnanců a kanceláře v Praze, Brně, Českých Budějovicích a Ostravě. KPMG Česká republika poskytuje služby </w:t>
      </w:r>
      <w:r w:rsidRPr="005C20C9">
        <w:rPr>
          <w:rFonts w:ascii="Arial" w:hAnsi="Arial" w:cs="Arial"/>
          <w:i/>
          <w:sz w:val="16"/>
          <w:szCs w:val="16"/>
        </w:rPr>
        <w:t xml:space="preserve">v oblasti </w:t>
      </w:r>
      <w:hyperlink r:id="rId14" w:history="1">
        <w:r w:rsidRPr="005C20C9">
          <w:rPr>
            <w:rStyle w:val="Hypertextovodkaz"/>
            <w:rFonts w:ascii="Arial" w:hAnsi="Arial" w:cs="Arial"/>
            <w:i/>
            <w:color w:val="auto"/>
            <w:sz w:val="16"/>
            <w:szCs w:val="16"/>
            <w:u w:val="none"/>
          </w:rPr>
          <w:t>auditu</w:t>
        </w:r>
      </w:hyperlink>
      <w:r w:rsidRPr="005C20C9">
        <w:rPr>
          <w:rFonts w:ascii="Arial" w:hAnsi="Arial" w:cs="Arial"/>
          <w:i/>
          <w:sz w:val="16"/>
          <w:szCs w:val="16"/>
        </w:rPr>
        <w:t xml:space="preserve">, </w:t>
      </w:r>
      <w:hyperlink r:id="rId15" w:history="1">
        <w:r w:rsidRPr="005C20C9">
          <w:rPr>
            <w:rStyle w:val="Hypertextovodkaz"/>
            <w:rFonts w:ascii="Arial" w:hAnsi="Arial" w:cs="Arial"/>
            <w:i/>
            <w:color w:val="auto"/>
            <w:sz w:val="16"/>
            <w:szCs w:val="16"/>
            <w:u w:val="none"/>
          </w:rPr>
          <w:t>daní</w:t>
        </w:r>
      </w:hyperlink>
      <w:r w:rsidRPr="005C20C9">
        <w:rPr>
          <w:rFonts w:ascii="Arial" w:hAnsi="Arial" w:cs="Arial"/>
          <w:i/>
          <w:sz w:val="16"/>
          <w:szCs w:val="16"/>
        </w:rPr>
        <w:t xml:space="preserve">, </w:t>
      </w:r>
      <w:hyperlink r:id="rId16" w:history="1">
        <w:r w:rsidRPr="005C20C9">
          <w:rPr>
            <w:rStyle w:val="Hypertextovodkaz"/>
            <w:rFonts w:ascii="Arial" w:hAnsi="Arial" w:cs="Arial"/>
            <w:i/>
            <w:color w:val="auto"/>
            <w:sz w:val="16"/>
            <w:szCs w:val="16"/>
            <w:u w:val="none"/>
          </w:rPr>
          <w:t>poradenství</w:t>
        </w:r>
      </w:hyperlink>
      <w:r w:rsidRPr="005C20C9">
        <w:rPr>
          <w:rFonts w:ascii="Arial" w:hAnsi="Arial" w:cs="Arial"/>
          <w:i/>
          <w:sz w:val="16"/>
          <w:szCs w:val="16"/>
        </w:rPr>
        <w:t xml:space="preserve"> a </w:t>
      </w:r>
      <w:hyperlink r:id="rId17" w:history="1">
        <w:r w:rsidRPr="005C20C9">
          <w:rPr>
            <w:rStyle w:val="Hypertextovodkaz"/>
            <w:rFonts w:ascii="Arial" w:hAnsi="Arial" w:cs="Arial"/>
            <w:i/>
            <w:color w:val="auto"/>
            <w:sz w:val="16"/>
            <w:szCs w:val="16"/>
            <w:u w:val="none"/>
          </w:rPr>
          <w:t>práva</w:t>
        </w:r>
      </w:hyperlink>
      <w:r w:rsidRPr="005C20C9">
        <w:rPr>
          <w:rFonts w:ascii="Arial" w:hAnsi="Arial" w:cs="Arial"/>
          <w:i/>
          <w:sz w:val="16"/>
          <w:szCs w:val="16"/>
        </w:rPr>
        <w:t xml:space="preserve">. </w:t>
      </w:r>
      <w:r w:rsidRPr="005C20C9">
        <w:rPr>
          <w:rFonts w:ascii="Arial" w:hAnsi="Arial" w:cs="Arial"/>
          <w:i/>
          <w:color w:val="000000"/>
          <w:sz w:val="16"/>
          <w:szCs w:val="16"/>
        </w:rPr>
        <w:t>Z 625 odborných pracovníků je 28 partnerů, 28 statutárních auditorů, 106 certifikovaných účetních a 67 daňových poradců. V KPMG Česká republika působí celkem 22 kvalifikovaných zahraničních odborníků.</w:t>
      </w:r>
    </w:p>
    <w:p w:rsidR="00F5658C" w:rsidRPr="005C20C9" w:rsidRDefault="003259E1" w:rsidP="00BE1F4A">
      <w:pPr>
        <w:spacing w:line="288" w:lineRule="auto"/>
        <w:jc w:val="both"/>
        <w:rPr>
          <w:rFonts w:ascii="Arial" w:hAnsi="Arial" w:cs="Arial"/>
          <w:i/>
          <w:color w:val="000000"/>
          <w:sz w:val="16"/>
          <w:szCs w:val="16"/>
        </w:rPr>
      </w:pPr>
      <w:hyperlink r:id="rId18" w:history="1">
        <w:r w:rsidR="00F5658C" w:rsidRPr="005C20C9">
          <w:rPr>
            <w:rStyle w:val="Hypertextovodkaz"/>
            <w:rFonts w:ascii="Arial" w:hAnsi="Arial" w:cs="Arial"/>
            <w:b/>
            <w:i/>
            <w:color w:val="auto"/>
            <w:sz w:val="16"/>
            <w:szCs w:val="16"/>
            <w:u w:val="none"/>
          </w:rPr>
          <w:t>KPMG</w:t>
        </w:r>
      </w:hyperlink>
      <w:r w:rsidR="00F5658C" w:rsidRPr="005C20C9">
        <w:rPr>
          <w:rFonts w:ascii="Arial" w:hAnsi="Arial" w:cs="Arial"/>
          <w:i/>
          <w:color w:val="000000"/>
          <w:sz w:val="16"/>
          <w:szCs w:val="16"/>
        </w:rPr>
        <w:t xml:space="preserve"> je celosvětová síť poradenských společností poskytujících služby v oblasti auditu, daní a poradenství. V jejích členských společnostech pracuje více než 155 000 pracovníků ve 155 zemích. Nezávislé členské společnosti sítě KPMG jsou přidružené ke KPMG International </w:t>
      </w:r>
      <w:proofErr w:type="spellStart"/>
      <w:r w:rsidR="00F5658C" w:rsidRPr="005C20C9">
        <w:rPr>
          <w:rFonts w:ascii="Arial" w:hAnsi="Arial" w:cs="Arial"/>
          <w:i/>
          <w:color w:val="000000"/>
          <w:sz w:val="16"/>
          <w:szCs w:val="16"/>
        </w:rPr>
        <w:t>Cooperative</w:t>
      </w:r>
      <w:proofErr w:type="spellEnd"/>
      <w:r w:rsidR="00F5658C" w:rsidRPr="005C20C9">
        <w:rPr>
          <w:rFonts w:ascii="Arial" w:hAnsi="Arial" w:cs="Arial"/>
          <w:i/>
          <w:color w:val="000000"/>
          <w:sz w:val="16"/>
          <w:szCs w:val="16"/>
        </w:rPr>
        <w:t xml:space="preserve"> („KPMG International“), švýcarské organizační jednotce. Každá členská společnost celosvětové sítě KPMG je právně samostatná a oddělená jednotka a tak se označuje.</w:t>
      </w:r>
    </w:p>
    <w:sectPr w:rsidR="00F5658C" w:rsidRPr="005C20C9" w:rsidSect="00F5658C">
      <w:type w:val="continuous"/>
      <w:pgSz w:w="11906" w:h="16838"/>
      <w:pgMar w:top="1417" w:right="1417" w:bottom="1417" w:left="1417" w:header="708" w:footer="708" w:gutter="0"/>
      <w:cols w:space="708"/>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9E1" w:rsidRDefault="003259E1" w:rsidP="00F5658C">
      <w:pPr>
        <w:spacing w:after="0" w:line="240" w:lineRule="auto"/>
      </w:pPr>
      <w:r>
        <w:separator/>
      </w:r>
    </w:p>
  </w:endnote>
  <w:endnote w:type="continuationSeparator" w:id="0">
    <w:p w:rsidR="003259E1" w:rsidRDefault="003259E1" w:rsidP="00F56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9E1" w:rsidRDefault="003259E1" w:rsidP="00F5658C">
      <w:pPr>
        <w:spacing w:after="0" w:line="240" w:lineRule="auto"/>
      </w:pPr>
      <w:r>
        <w:separator/>
      </w:r>
    </w:p>
  </w:footnote>
  <w:footnote w:type="continuationSeparator" w:id="0">
    <w:p w:rsidR="003259E1" w:rsidRDefault="003259E1" w:rsidP="00F565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17" w:rsidRDefault="001F5517">
    <w:pPr>
      <w:pStyle w:val="Zhlav"/>
    </w:pPr>
  </w:p>
  <w:p w:rsidR="001F5517" w:rsidRDefault="001F5517">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17" w:rsidRDefault="0095120C" w:rsidP="00F5658C">
    <w:pPr>
      <w:pStyle w:val="Zhlav"/>
      <w:tabs>
        <w:tab w:val="clear" w:pos="4536"/>
        <w:tab w:val="clear" w:pos="9072"/>
        <w:tab w:val="left" w:pos="3585"/>
      </w:tabs>
    </w:pPr>
    <w:r>
      <w:rPr>
        <w:noProof/>
        <w:lang w:eastAsia="cs-CZ"/>
      </w:rPr>
      <w:drawing>
        <wp:anchor distT="0" distB="0" distL="114300" distR="114300" simplePos="0" relativeHeight="251657216" behindDoc="0" locked="0" layoutInCell="1" allowOverlap="1" wp14:anchorId="0AED7204" wp14:editId="523BBD86">
          <wp:simplePos x="0" y="0"/>
          <wp:positionH relativeFrom="column">
            <wp:posOffset>4211320</wp:posOffset>
          </wp:positionH>
          <wp:positionV relativeFrom="paragraph">
            <wp:posOffset>-20320</wp:posOffset>
          </wp:positionV>
          <wp:extent cx="1682115" cy="956945"/>
          <wp:effectExtent l="0" t="0" r="0" b="0"/>
          <wp:wrapNone/>
          <wp:docPr id="7" name="Picture 3" descr="Popis: KPMG_Plus_Strap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pis: KPMG_Plus_Strap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115" cy="956945"/>
                  </a:xfrm>
                  <a:prstGeom prst="rect">
                    <a:avLst/>
                  </a:prstGeom>
                  <a:noFill/>
                  <a:ln>
                    <a:noFill/>
                  </a:ln>
                </pic:spPr>
              </pic:pic>
            </a:graphicData>
          </a:graphic>
        </wp:anchor>
      </w:drawing>
    </w:r>
    <w:r w:rsidR="00B77C5D">
      <w:rPr>
        <w:noProof/>
        <w:lang w:eastAsia="cs-CZ"/>
      </w:rPr>
      <mc:AlternateContent>
        <mc:Choice Requires="wps">
          <w:drawing>
            <wp:anchor distT="0" distB="0" distL="114935" distR="114935" simplePos="0" relativeHeight="251658240" behindDoc="1" locked="0" layoutInCell="1" allowOverlap="1" wp14:anchorId="58E28EC0" wp14:editId="068B4A20">
              <wp:simplePos x="0" y="0"/>
              <wp:positionH relativeFrom="column">
                <wp:posOffset>4267200</wp:posOffset>
              </wp:positionH>
              <wp:positionV relativeFrom="paragraph">
                <wp:posOffset>936625</wp:posOffset>
              </wp:positionV>
              <wp:extent cx="1626235" cy="337820"/>
              <wp:effectExtent l="0" t="0" r="0" b="5080"/>
              <wp:wrapNone/>
              <wp:docPr id="9" name="Textové pol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5517" w:rsidRPr="008B4B41" w:rsidRDefault="001F5517" w:rsidP="008B4B4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4" o:spid="_x0000_s1026" type="#_x0000_t202" style="position:absolute;margin-left:336pt;margin-top:73.75pt;width:128.05pt;height:26.6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" stroked="f">
              <v:textbox inset="0,0,0,0">
                <w:txbxContent>
                  <w:p w:rsidR="001F5517" w:rsidRPr="008B4B41" w:rsidRDefault="001F5517" w:rsidP="008B4B41"/>
                </w:txbxContent>
              </v:textbox>
            </v:shape>
          </w:pict>
        </mc:Fallback>
      </mc:AlternateContent>
    </w:r>
    <w:r>
      <w:rPr>
        <w:noProof/>
        <w:lang w:eastAsia="cs-CZ"/>
      </w:rPr>
      <w:drawing>
        <wp:inline distT="0" distB="0" distL="0" distR="0" wp14:anchorId="28A75018" wp14:editId="35B8717A">
          <wp:extent cx="1276350" cy="828675"/>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6350" cy="828675"/>
                  </a:xfrm>
                  <a:prstGeom prst="rect">
                    <a:avLst/>
                  </a:prstGeom>
                  <a:noFill/>
                  <a:ln>
                    <a:noFill/>
                  </a:ln>
                </pic:spPr>
              </pic:pic>
            </a:graphicData>
          </a:graphic>
        </wp:inline>
      </w:drawing>
    </w:r>
    <w:r w:rsidR="001F5517">
      <w:rPr>
        <w:noProof/>
        <w:lang w:eastAsia="cs-CZ"/>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C0000"/>
    <w:multiLevelType w:val="hybridMultilevel"/>
    <w:tmpl w:val="6670724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58C"/>
    <w:rsid w:val="00004D6D"/>
    <w:rsid w:val="0001304D"/>
    <w:rsid w:val="0003382C"/>
    <w:rsid w:val="00043D3B"/>
    <w:rsid w:val="000452A1"/>
    <w:rsid w:val="00075376"/>
    <w:rsid w:val="00075A0E"/>
    <w:rsid w:val="00085856"/>
    <w:rsid w:val="00092AEA"/>
    <w:rsid w:val="000A05C8"/>
    <w:rsid w:val="000A270B"/>
    <w:rsid w:val="000B00A3"/>
    <w:rsid w:val="000B2BAA"/>
    <w:rsid w:val="000B4D1F"/>
    <w:rsid w:val="000D15E6"/>
    <w:rsid w:val="0010672D"/>
    <w:rsid w:val="00120D52"/>
    <w:rsid w:val="00130EF1"/>
    <w:rsid w:val="001A2925"/>
    <w:rsid w:val="001A398B"/>
    <w:rsid w:val="001B4321"/>
    <w:rsid w:val="001D0A09"/>
    <w:rsid w:val="001D46B0"/>
    <w:rsid w:val="001E0416"/>
    <w:rsid w:val="001E347E"/>
    <w:rsid w:val="001F51CB"/>
    <w:rsid w:val="001F5517"/>
    <w:rsid w:val="001F7E73"/>
    <w:rsid w:val="00220D72"/>
    <w:rsid w:val="00230B2C"/>
    <w:rsid w:val="002A0142"/>
    <w:rsid w:val="002A129A"/>
    <w:rsid w:val="002A1A08"/>
    <w:rsid w:val="002D7B8F"/>
    <w:rsid w:val="003259E1"/>
    <w:rsid w:val="00350561"/>
    <w:rsid w:val="0036311B"/>
    <w:rsid w:val="003674BD"/>
    <w:rsid w:val="003965C0"/>
    <w:rsid w:val="003A101E"/>
    <w:rsid w:val="003A191E"/>
    <w:rsid w:val="003A754B"/>
    <w:rsid w:val="003C6327"/>
    <w:rsid w:val="003D1BCE"/>
    <w:rsid w:val="003E327A"/>
    <w:rsid w:val="003E507F"/>
    <w:rsid w:val="00470D5D"/>
    <w:rsid w:val="00486A0F"/>
    <w:rsid w:val="00487995"/>
    <w:rsid w:val="004A7D8C"/>
    <w:rsid w:val="004B139D"/>
    <w:rsid w:val="004B3A19"/>
    <w:rsid w:val="004C3D14"/>
    <w:rsid w:val="004D0E07"/>
    <w:rsid w:val="004D4C7E"/>
    <w:rsid w:val="004E556E"/>
    <w:rsid w:val="004F1FB9"/>
    <w:rsid w:val="004F6D3D"/>
    <w:rsid w:val="0054366F"/>
    <w:rsid w:val="00552657"/>
    <w:rsid w:val="005540DD"/>
    <w:rsid w:val="005569AE"/>
    <w:rsid w:val="00575953"/>
    <w:rsid w:val="00590514"/>
    <w:rsid w:val="00592F79"/>
    <w:rsid w:val="005C20C9"/>
    <w:rsid w:val="005C5575"/>
    <w:rsid w:val="005E174D"/>
    <w:rsid w:val="00612524"/>
    <w:rsid w:val="00612F9D"/>
    <w:rsid w:val="006131B0"/>
    <w:rsid w:val="00625276"/>
    <w:rsid w:val="0064187D"/>
    <w:rsid w:val="00654F84"/>
    <w:rsid w:val="00663759"/>
    <w:rsid w:val="00665C2D"/>
    <w:rsid w:val="00667DC0"/>
    <w:rsid w:val="00677920"/>
    <w:rsid w:val="006948A2"/>
    <w:rsid w:val="006A0200"/>
    <w:rsid w:val="006A3573"/>
    <w:rsid w:val="006A69C6"/>
    <w:rsid w:val="006A6D90"/>
    <w:rsid w:val="006A7D0F"/>
    <w:rsid w:val="006C2BF1"/>
    <w:rsid w:val="006D1437"/>
    <w:rsid w:val="006E0423"/>
    <w:rsid w:val="006E1516"/>
    <w:rsid w:val="00706F58"/>
    <w:rsid w:val="00712BED"/>
    <w:rsid w:val="00766E88"/>
    <w:rsid w:val="00771249"/>
    <w:rsid w:val="0079172B"/>
    <w:rsid w:val="007960FD"/>
    <w:rsid w:val="007C1B61"/>
    <w:rsid w:val="007F30CE"/>
    <w:rsid w:val="00806B42"/>
    <w:rsid w:val="0084203B"/>
    <w:rsid w:val="00842598"/>
    <w:rsid w:val="00867C3F"/>
    <w:rsid w:val="008745F4"/>
    <w:rsid w:val="008821F7"/>
    <w:rsid w:val="008848AC"/>
    <w:rsid w:val="0089425C"/>
    <w:rsid w:val="0089677B"/>
    <w:rsid w:val="008B4B41"/>
    <w:rsid w:val="008C6B08"/>
    <w:rsid w:val="008D17F0"/>
    <w:rsid w:val="008E11D1"/>
    <w:rsid w:val="009064E2"/>
    <w:rsid w:val="0093363F"/>
    <w:rsid w:val="009361D5"/>
    <w:rsid w:val="0093755A"/>
    <w:rsid w:val="00946F28"/>
    <w:rsid w:val="0095120C"/>
    <w:rsid w:val="009605F2"/>
    <w:rsid w:val="00965C44"/>
    <w:rsid w:val="0098357E"/>
    <w:rsid w:val="009D7D1C"/>
    <w:rsid w:val="009E7BA9"/>
    <w:rsid w:val="009F0678"/>
    <w:rsid w:val="00A020EB"/>
    <w:rsid w:val="00A20EFA"/>
    <w:rsid w:val="00A352EB"/>
    <w:rsid w:val="00A57546"/>
    <w:rsid w:val="00A71785"/>
    <w:rsid w:val="00A71BD0"/>
    <w:rsid w:val="00A750BA"/>
    <w:rsid w:val="00A86F08"/>
    <w:rsid w:val="00AA484F"/>
    <w:rsid w:val="00AB6C6B"/>
    <w:rsid w:val="00AC135F"/>
    <w:rsid w:val="00AC36D5"/>
    <w:rsid w:val="00AD1E74"/>
    <w:rsid w:val="00B14BBC"/>
    <w:rsid w:val="00B16629"/>
    <w:rsid w:val="00B26C0E"/>
    <w:rsid w:val="00B34659"/>
    <w:rsid w:val="00B34CE5"/>
    <w:rsid w:val="00B722CC"/>
    <w:rsid w:val="00B76E15"/>
    <w:rsid w:val="00B77C5D"/>
    <w:rsid w:val="00B805C4"/>
    <w:rsid w:val="00BA3188"/>
    <w:rsid w:val="00BC393A"/>
    <w:rsid w:val="00BC6258"/>
    <w:rsid w:val="00BE11A0"/>
    <w:rsid w:val="00BE1F4A"/>
    <w:rsid w:val="00BF4ED2"/>
    <w:rsid w:val="00C15191"/>
    <w:rsid w:val="00C252A8"/>
    <w:rsid w:val="00C45301"/>
    <w:rsid w:val="00CB0DC6"/>
    <w:rsid w:val="00CB7534"/>
    <w:rsid w:val="00CC1ADF"/>
    <w:rsid w:val="00CC35CA"/>
    <w:rsid w:val="00CF6ED8"/>
    <w:rsid w:val="00D26D45"/>
    <w:rsid w:val="00D436A4"/>
    <w:rsid w:val="00D62B3F"/>
    <w:rsid w:val="00D7763F"/>
    <w:rsid w:val="00D811CD"/>
    <w:rsid w:val="00D9004D"/>
    <w:rsid w:val="00D92D84"/>
    <w:rsid w:val="00DD3D38"/>
    <w:rsid w:val="00DD4F69"/>
    <w:rsid w:val="00DE4759"/>
    <w:rsid w:val="00E00F81"/>
    <w:rsid w:val="00E14F80"/>
    <w:rsid w:val="00E33240"/>
    <w:rsid w:val="00E44305"/>
    <w:rsid w:val="00E80F45"/>
    <w:rsid w:val="00E935C9"/>
    <w:rsid w:val="00EA0F79"/>
    <w:rsid w:val="00EA1C26"/>
    <w:rsid w:val="00EE2E71"/>
    <w:rsid w:val="00EE4651"/>
    <w:rsid w:val="00F027B4"/>
    <w:rsid w:val="00F138C6"/>
    <w:rsid w:val="00F5658C"/>
    <w:rsid w:val="00FA3BAD"/>
    <w:rsid w:val="00FA5CD5"/>
    <w:rsid w:val="00FB3F5C"/>
    <w:rsid w:val="00FC3A35"/>
    <w:rsid w:val="00FC4C20"/>
  </w:rsids>
  <m:mathPr>
    <m:mathFont m:val="Cambria Math"/>
    <m:brkBin m:val="before"/>
    <m:brkBinSub m:val="--"/>
    <m:smallFrac m:val="0"/>
    <m:dispDef/>
    <m:lMargin m:val="0"/>
    <m:rMargin m:val="0"/>
    <m:defJc m:val="centerGroup"/>
    <m:wrapIndent m:val="1440"/>
    <m:intLim m:val="subSup"/>
    <m:naryLim m:val="undOvr"/>
  </m:mathPr>
  <w:themeFontLang w:val="en-US"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uppressAutoHyphens/>
      <w:spacing w:after="200" w:line="276" w:lineRule="auto"/>
    </w:pPr>
    <w:rPr>
      <w:rFonts w:ascii="Calibri" w:eastAsia="SimSun" w:hAnsi="Calibri" w:cs="Calibri"/>
      <w:kern w:val="1"/>
      <w:sz w:val="22"/>
      <w:szCs w:val="22"/>
      <w:lang w:eastAsia="en-US"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style>
  <w:style w:type="character" w:styleId="Hypertextovodkaz">
    <w:name w:val="Hyperlink"/>
    <w:rPr>
      <w:color w:val="0000FF"/>
      <w:u w:val="single"/>
    </w:rPr>
  </w:style>
  <w:style w:type="character" w:customStyle="1" w:styleId="Standardnpsmoodstavce10">
    <w:name w:val="Standardní písmo odstavce1"/>
  </w:style>
  <w:style w:type="character" w:customStyle="1" w:styleId="hps">
    <w:name w:val="hps"/>
    <w:basedOn w:val="Standardnpsmoodstavce10"/>
  </w:style>
  <w:style w:type="paragraph" w:customStyle="1" w:styleId="Nadpis">
    <w:name w:val="Nadpis"/>
    <w:basedOn w:val="Normln"/>
    <w:next w:val="Zkladntext"/>
    <w:pPr>
      <w:keepNext/>
      <w:spacing w:before="240" w:after="120"/>
    </w:pPr>
    <w:rPr>
      <w:rFonts w:ascii="Arial" w:eastAsia="Microsoft YaHei" w:hAnsi="Arial" w:cs="Mangal"/>
      <w:sz w:val="28"/>
      <w:szCs w:val="28"/>
    </w:rPr>
  </w:style>
  <w:style w:type="paragraph" w:styleId="Zkladntext">
    <w:name w:val="Body Text"/>
    <w:basedOn w:val="Normln"/>
    <w:pPr>
      <w:spacing w:after="120"/>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 w:val="24"/>
      <w:szCs w:val="24"/>
    </w:rPr>
  </w:style>
  <w:style w:type="paragraph" w:customStyle="1" w:styleId="Rejstk">
    <w:name w:val="Rejstřík"/>
    <w:basedOn w:val="Normln"/>
    <w:pPr>
      <w:suppressLineNumbers/>
    </w:pPr>
    <w:rPr>
      <w:rFonts w:cs="Mangal"/>
    </w:rPr>
  </w:style>
  <w:style w:type="paragraph" w:styleId="Zhlav">
    <w:name w:val="header"/>
    <w:basedOn w:val="Normln"/>
    <w:link w:val="ZhlavChar"/>
    <w:uiPriority w:val="99"/>
    <w:unhideWhenUsed/>
    <w:rsid w:val="00F5658C"/>
    <w:pPr>
      <w:tabs>
        <w:tab w:val="center" w:pos="4536"/>
        <w:tab w:val="right" w:pos="9072"/>
      </w:tabs>
    </w:pPr>
  </w:style>
  <w:style w:type="character" w:customStyle="1" w:styleId="ZhlavChar">
    <w:name w:val="Záhlaví Char"/>
    <w:link w:val="Zhlav"/>
    <w:uiPriority w:val="99"/>
    <w:rsid w:val="00F5658C"/>
    <w:rPr>
      <w:rFonts w:ascii="Calibri" w:eastAsia="SimSun" w:hAnsi="Calibri" w:cs="Calibri"/>
      <w:kern w:val="1"/>
      <w:sz w:val="22"/>
      <w:szCs w:val="22"/>
      <w:lang w:eastAsia="en-US"/>
    </w:rPr>
  </w:style>
  <w:style w:type="paragraph" w:styleId="Zpat">
    <w:name w:val="footer"/>
    <w:basedOn w:val="Normln"/>
    <w:link w:val="ZpatChar"/>
    <w:uiPriority w:val="99"/>
    <w:unhideWhenUsed/>
    <w:rsid w:val="00F5658C"/>
    <w:pPr>
      <w:tabs>
        <w:tab w:val="center" w:pos="4536"/>
        <w:tab w:val="right" w:pos="9072"/>
      </w:tabs>
    </w:pPr>
  </w:style>
  <w:style w:type="character" w:customStyle="1" w:styleId="ZpatChar">
    <w:name w:val="Zápatí Char"/>
    <w:link w:val="Zpat"/>
    <w:uiPriority w:val="99"/>
    <w:rsid w:val="00F5658C"/>
    <w:rPr>
      <w:rFonts w:ascii="Calibri" w:eastAsia="SimSun" w:hAnsi="Calibri" w:cs="Calibri"/>
      <w:kern w:val="1"/>
      <w:sz w:val="22"/>
      <w:szCs w:val="22"/>
      <w:lang w:eastAsia="en-US"/>
    </w:rPr>
  </w:style>
  <w:style w:type="paragraph" w:styleId="Textbubliny">
    <w:name w:val="Balloon Text"/>
    <w:basedOn w:val="Normln"/>
    <w:link w:val="TextbublinyChar"/>
    <w:uiPriority w:val="99"/>
    <w:semiHidden/>
    <w:unhideWhenUsed/>
    <w:rsid w:val="00F5658C"/>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5658C"/>
    <w:rPr>
      <w:rFonts w:ascii="Tahoma" w:eastAsia="SimSun" w:hAnsi="Tahoma" w:cs="Tahoma"/>
      <w:kern w:val="1"/>
      <w:sz w:val="16"/>
      <w:szCs w:val="16"/>
      <w:lang w:eastAsia="en-US"/>
    </w:rPr>
  </w:style>
  <w:style w:type="paragraph" w:styleId="Prosttext">
    <w:name w:val="Plain Text"/>
    <w:basedOn w:val="Normln"/>
    <w:link w:val="ProsttextChar"/>
    <w:uiPriority w:val="99"/>
    <w:unhideWhenUsed/>
    <w:rsid w:val="005540DD"/>
    <w:pPr>
      <w:suppressAutoHyphens w:val="0"/>
      <w:spacing w:after="0" w:line="240" w:lineRule="auto"/>
    </w:pPr>
    <w:rPr>
      <w:rFonts w:eastAsiaTheme="minorHAnsi" w:cstheme="minorBidi"/>
      <w:kern w:val="0"/>
      <w:szCs w:val="21"/>
    </w:rPr>
  </w:style>
  <w:style w:type="character" w:customStyle="1" w:styleId="ProsttextChar">
    <w:name w:val="Prostý text Char"/>
    <w:basedOn w:val="Standardnpsmoodstavce"/>
    <w:link w:val="Prosttext"/>
    <w:uiPriority w:val="99"/>
    <w:rsid w:val="005540DD"/>
    <w:rPr>
      <w:rFonts w:ascii="Calibri" w:eastAsiaTheme="minorHAnsi" w:hAnsi="Calibri" w:cstheme="minorBidi"/>
      <w:sz w:val="22"/>
      <w:szCs w:val="21"/>
      <w:lang w:eastAsia="en-US" w:bidi="ar-SA"/>
    </w:rPr>
  </w:style>
  <w:style w:type="paragraph" w:styleId="Odstavecseseznamem">
    <w:name w:val="List Paragraph"/>
    <w:basedOn w:val="Normln"/>
    <w:uiPriority w:val="34"/>
    <w:qFormat/>
    <w:rsid w:val="006C2BF1"/>
    <w:pPr>
      <w:suppressAutoHyphens w:val="0"/>
      <w:overflowPunct w:val="0"/>
      <w:autoSpaceDE w:val="0"/>
      <w:autoSpaceDN w:val="0"/>
      <w:adjustRightInd w:val="0"/>
      <w:spacing w:after="160" w:line="340" w:lineRule="exact"/>
      <w:ind w:left="720"/>
      <w:contextualSpacing/>
    </w:pPr>
    <w:rPr>
      <w:rFonts w:asciiTheme="minorHAnsi" w:eastAsia="Times New Roman" w:hAnsiTheme="minorHAnsi" w:cs="Times New Roman"/>
      <w:kern w:val="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uppressAutoHyphens/>
      <w:spacing w:after="200" w:line="276" w:lineRule="auto"/>
    </w:pPr>
    <w:rPr>
      <w:rFonts w:ascii="Calibri" w:eastAsia="SimSun" w:hAnsi="Calibri" w:cs="Calibri"/>
      <w:kern w:val="1"/>
      <w:sz w:val="22"/>
      <w:szCs w:val="22"/>
      <w:lang w:eastAsia="en-US"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style>
  <w:style w:type="character" w:styleId="Hypertextovodkaz">
    <w:name w:val="Hyperlink"/>
    <w:rPr>
      <w:color w:val="0000FF"/>
      <w:u w:val="single"/>
    </w:rPr>
  </w:style>
  <w:style w:type="character" w:customStyle="1" w:styleId="Standardnpsmoodstavce10">
    <w:name w:val="Standardní písmo odstavce1"/>
  </w:style>
  <w:style w:type="character" w:customStyle="1" w:styleId="hps">
    <w:name w:val="hps"/>
    <w:basedOn w:val="Standardnpsmoodstavce10"/>
  </w:style>
  <w:style w:type="paragraph" w:customStyle="1" w:styleId="Nadpis">
    <w:name w:val="Nadpis"/>
    <w:basedOn w:val="Normln"/>
    <w:next w:val="Zkladntext"/>
    <w:pPr>
      <w:keepNext/>
      <w:spacing w:before="240" w:after="120"/>
    </w:pPr>
    <w:rPr>
      <w:rFonts w:ascii="Arial" w:eastAsia="Microsoft YaHei" w:hAnsi="Arial" w:cs="Mangal"/>
      <w:sz w:val="28"/>
      <w:szCs w:val="28"/>
    </w:rPr>
  </w:style>
  <w:style w:type="paragraph" w:styleId="Zkladntext">
    <w:name w:val="Body Text"/>
    <w:basedOn w:val="Normln"/>
    <w:pPr>
      <w:spacing w:after="120"/>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 w:val="24"/>
      <w:szCs w:val="24"/>
    </w:rPr>
  </w:style>
  <w:style w:type="paragraph" w:customStyle="1" w:styleId="Rejstk">
    <w:name w:val="Rejstřík"/>
    <w:basedOn w:val="Normln"/>
    <w:pPr>
      <w:suppressLineNumbers/>
    </w:pPr>
    <w:rPr>
      <w:rFonts w:cs="Mangal"/>
    </w:rPr>
  </w:style>
  <w:style w:type="paragraph" w:styleId="Zhlav">
    <w:name w:val="header"/>
    <w:basedOn w:val="Normln"/>
    <w:link w:val="ZhlavChar"/>
    <w:uiPriority w:val="99"/>
    <w:unhideWhenUsed/>
    <w:rsid w:val="00F5658C"/>
    <w:pPr>
      <w:tabs>
        <w:tab w:val="center" w:pos="4536"/>
        <w:tab w:val="right" w:pos="9072"/>
      </w:tabs>
    </w:pPr>
  </w:style>
  <w:style w:type="character" w:customStyle="1" w:styleId="ZhlavChar">
    <w:name w:val="Záhlaví Char"/>
    <w:link w:val="Zhlav"/>
    <w:uiPriority w:val="99"/>
    <w:rsid w:val="00F5658C"/>
    <w:rPr>
      <w:rFonts w:ascii="Calibri" w:eastAsia="SimSun" w:hAnsi="Calibri" w:cs="Calibri"/>
      <w:kern w:val="1"/>
      <w:sz w:val="22"/>
      <w:szCs w:val="22"/>
      <w:lang w:eastAsia="en-US"/>
    </w:rPr>
  </w:style>
  <w:style w:type="paragraph" w:styleId="Zpat">
    <w:name w:val="footer"/>
    <w:basedOn w:val="Normln"/>
    <w:link w:val="ZpatChar"/>
    <w:uiPriority w:val="99"/>
    <w:unhideWhenUsed/>
    <w:rsid w:val="00F5658C"/>
    <w:pPr>
      <w:tabs>
        <w:tab w:val="center" w:pos="4536"/>
        <w:tab w:val="right" w:pos="9072"/>
      </w:tabs>
    </w:pPr>
  </w:style>
  <w:style w:type="character" w:customStyle="1" w:styleId="ZpatChar">
    <w:name w:val="Zápatí Char"/>
    <w:link w:val="Zpat"/>
    <w:uiPriority w:val="99"/>
    <w:rsid w:val="00F5658C"/>
    <w:rPr>
      <w:rFonts w:ascii="Calibri" w:eastAsia="SimSun" w:hAnsi="Calibri" w:cs="Calibri"/>
      <w:kern w:val="1"/>
      <w:sz w:val="22"/>
      <w:szCs w:val="22"/>
      <w:lang w:eastAsia="en-US"/>
    </w:rPr>
  </w:style>
  <w:style w:type="paragraph" w:styleId="Textbubliny">
    <w:name w:val="Balloon Text"/>
    <w:basedOn w:val="Normln"/>
    <w:link w:val="TextbublinyChar"/>
    <w:uiPriority w:val="99"/>
    <w:semiHidden/>
    <w:unhideWhenUsed/>
    <w:rsid w:val="00F5658C"/>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F5658C"/>
    <w:rPr>
      <w:rFonts w:ascii="Tahoma" w:eastAsia="SimSun" w:hAnsi="Tahoma" w:cs="Tahoma"/>
      <w:kern w:val="1"/>
      <w:sz w:val="16"/>
      <w:szCs w:val="16"/>
      <w:lang w:eastAsia="en-US"/>
    </w:rPr>
  </w:style>
  <w:style w:type="paragraph" w:styleId="Prosttext">
    <w:name w:val="Plain Text"/>
    <w:basedOn w:val="Normln"/>
    <w:link w:val="ProsttextChar"/>
    <w:uiPriority w:val="99"/>
    <w:unhideWhenUsed/>
    <w:rsid w:val="005540DD"/>
    <w:pPr>
      <w:suppressAutoHyphens w:val="0"/>
      <w:spacing w:after="0" w:line="240" w:lineRule="auto"/>
    </w:pPr>
    <w:rPr>
      <w:rFonts w:eastAsiaTheme="minorHAnsi" w:cstheme="minorBidi"/>
      <w:kern w:val="0"/>
      <w:szCs w:val="21"/>
    </w:rPr>
  </w:style>
  <w:style w:type="character" w:customStyle="1" w:styleId="ProsttextChar">
    <w:name w:val="Prostý text Char"/>
    <w:basedOn w:val="Standardnpsmoodstavce"/>
    <w:link w:val="Prosttext"/>
    <w:uiPriority w:val="99"/>
    <w:rsid w:val="005540DD"/>
    <w:rPr>
      <w:rFonts w:ascii="Calibri" w:eastAsiaTheme="minorHAnsi" w:hAnsi="Calibri" w:cstheme="minorBidi"/>
      <w:sz w:val="22"/>
      <w:szCs w:val="21"/>
      <w:lang w:eastAsia="en-US" w:bidi="ar-SA"/>
    </w:rPr>
  </w:style>
  <w:style w:type="paragraph" w:styleId="Odstavecseseznamem">
    <w:name w:val="List Paragraph"/>
    <w:basedOn w:val="Normln"/>
    <w:uiPriority w:val="34"/>
    <w:qFormat/>
    <w:rsid w:val="006C2BF1"/>
    <w:pPr>
      <w:suppressAutoHyphens w:val="0"/>
      <w:overflowPunct w:val="0"/>
      <w:autoSpaceDE w:val="0"/>
      <w:autoSpaceDN w:val="0"/>
      <w:adjustRightInd w:val="0"/>
      <w:spacing w:after="160" w:line="340" w:lineRule="exact"/>
      <w:ind w:left="720"/>
      <w:contextualSpacing/>
    </w:pPr>
    <w:rPr>
      <w:rFonts w:asciiTheme="minorHAnsi" w:eastAsia="Times New Roman" w:hAnsiTheme="minorHAnsi" w:cs="Times New Roman"/>
      <w:kern w:val="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666698">
      <w:bodyDiv w:val="1"/>
      <w:marLeft w:val="0"/>
      <w:marRight w:val="0"/>
      <w:marTop w:val="0"/>
      <w:marBottom w:val="0"/>
      <w:divBdr>
        <w:top w:val="none" w:sz="0" w:space="0" w:color="auto"/>
        <w:left w:val="none" w:sz="0" w:space="0" w:color="auto"/>
        <w:bottom w:val="none" w:sz="0" w:space="0" w:color="auto"/>
        <w:right w:val="none" w:sz="0" w:space="0" w:color="auto"/>
      </w:divBdr>
    </w:div>
    <w:div w:id="1158108151">
      <w:bodyDiv w:val="1"/>
      <w:marLeft w:val="0"/>
      <w:marRight w:val="0"/>
      <w:marTop w:val="0"/>
      <w:marBottom w:val="0"/>
      <w:divBdr>
        <w:top w:val="none" w:sz="0" w:space="0" w:color="auto"/>
        <w:left w:val="none" w:sz="0" w:space="0" w:color="auto"/>
        <w:bottom w:val="none" w:sz="0" w:space="0" w:color="auto"/>
        <w:right w:val="none" w:sz="0" w:space="0" w:color="auto"/>
      </w:divBdr>
    </w:div>
    <w:div w:id="1193610414">
      <w:bodyDiv w:val="1"/>
      <w:marLeft w:val="0"/>
      <w:marRight w:val="0"/>
      <w:marTop w:val="0"/>
      <w:marBottom w:val="0"/>
      <w:divBdr>
        <w:top w:val="none" w:sz="0" w:space="0" w:color="auto"/>
        <w:left w:val="none" w:sz="0" w:space="0" w:color="auto"/>
        <w:bottom w:val="none" w:sz="0" w:space="0" w:color="auto"/>
        <w:right w:val="none" w:sz="0" w:space="0" w:color="auto"/>
      </w:divBdr>
    </w:div>
    <w:div w:id="1444035649">
      <w:bodyDiv w:val="1"/>
      <w:marLeft w:val="0"/>
      <w:marRight w:val="0"/>
      <w:marTop w:val="0"/>
      <w:marBottom w:val="0"/>
      <w:divBdr>
        <w:top w:val="none" w:sz="0" w:space="0" w:color="auto"/>
        <w:left w:val="none" w:sz="0" w:space="0" w:color="auto"/>
        <w:bottom w:val="none" w:sz="0" w:space="0" w:color="auto"/>
        <w:right w:val="none" w:sz="0" w:space="0" w:color="auto"/>
      </w:divBdr>
    </w:div>
    <w:div w:id="146488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pmg.com/CZ/cs/Stranky/default.aspx" TargetMode="External"/><Relationship Id="rId18" Type="http://schemas.openxmlformats.org/officeDocument/2006/relationships/hyperlink" Target="http://kpmg.com/global/en/pages/default.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CEEC\AppData\Local\Microsoft\Windows\Temporary%20Internet%20Files\Content.Outlook\MJJ9GUPW\www.ceec.eu" TargetMode="External"/><Relationship Id="rId17" Type="http://schemas.openxmlformats.org/officeDocument/2006/relationships/hyperlink" Target="http://www.kpmg.com/CZ/cs/services/Tax/Legal-Services/Stranky/Default.aspx" TargetMode="External"/><Relationship Id="rId2" Type="http://schemas.openxmlformats.org/officeDocument/2006/relationships/numbering" Target="numbering.xml"/><Relationship Id="rId16" Type="http://schemas.openxmlformats.org/officeDocument/2006/relationships/hyperlink" Target="http://www.kpmg.com/CZ/cs/services/Advisory/Stranky/default.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kpmg.com/CZ/cs/services/Tax/Stranky/default.aspx" TargetMode="Externa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kpmg.com/cz/cs/services/audit/Stranky/default.aspx"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9B5C5-FA19-4A21-BA01-5626204A3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7061</Characters>
  <Application>Microsoft Office Word</Application>
  <DocSecurity>0</DocSecurity>
  <Lines>58</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8241</CharactersWithSpaces>
  <SharedDoc>false</SharedDoc>
  <HLinks>
    <vt:vector size="42" baseType="variant">
      <vt:variant>
        <vt:i4>852046</vt:i4>
      </vt:variant>
      <vt:variant>
        <vt:i4>18</vt:i4>
      </vt:variant>
      <vt:variant>
        <vt:i4>0</vt:i4>
      </vt:variant>
      <vt:variant>
        <vt:i4>5</vt:i4>
      </vt:variant>
      <vt:variant>
        <vt:lpwstr>http://kpmg.com/global/en/pages/default.aspx</vt:lpwstr>
      </vt:variant>
      <vt:variant>
        <vt:lpwstr/>
      </vt:variant>
      <vt:variant>
        <vt:i4>2293812</vt:i4>
      </vt:variant>
      <vt:variant>
        <vt:i4>15</vt:i4>
      </vt:variant>
      <vt:variant>
        <vt:i4>0</vt:i4>
      </vt:variant>
      <vt:variant>
        <vt:i4>5</vt:i4>
      </vt:variant>
      <vt:variant>
        <vt:lpwstr>http://www.kpmg.com/CZ/cs/services/Tax/Legal-Services/Stranky/Default.aspx</vt:lpwstr>
      </vt:variant>
      <vt:variant>
        <vt:lpwstr/>
      </vt:variant>
      <vt:variant>
        <vt:i4>5439563</vt:i4>
      </vt:variant>
      <vt:variant>
        <vt:i4>12</vt:i4>
      </vt:variant>
      <vt:variant>
        <vt:i4>0</vt:i4>
      </vt:variant>
      <vt:variant>
        <vt:i4>5</vt:i4>
      </vt:variant>
      <vt:variant>
        <vt:lpwstr>http://www.kpmg.com/CZ/cs/services/Advisory/Stranky/default.aspx</vt:lpwstr>
      </vt:variant>
      <vt:variant>
        <vt:lpwstr/>
      </vt:variant>
      <vt:variant>
        <vt:i4>8257662</vt:i4>
      </vt:variant>
      <vt:variant>
        <vt:i4>9</vt:i4>
      </vt:variant>
      <vt:variant>
        <vt:i4>0</vt:i4>
      </vt:variant>
      <vt:variant>
        <vt:i4>5</vt:i4>
      </vt:variant>
      <vt:variant>
        <vt:lpwstr>http://www.kpmg.com/CZ/cs/services/Tax/Stranky/default.aspx</vt:lpwstr>
      </vt:variant>
      <vt:variant>
        <vt:lpwstr/>
      </vt:variant>
      <vt:variant>
        <vt:i4>196611</vt:i4>
      </vt:variant>
      <vt:variant>
        <vt:i4>6</vt:i4>
      </vt:variant>
      <vt:variant>
        <vt:i4>0</vt:i4>
      </vt:variant>
      <vt:variant>
        <vt:i4>5</vt:i4>
      </vt:variant>
      <vt:variant>
        <vt:lpwstr>http://www.kpmg.com/cz/cs/services/audit/Stranky/default.aspx</vt:lpwstr>
      </vt:variant>
      <vt:variant>
        <vt:lpwstr/>
      </vt:variant>
      <vt:variant>
        <vt:i4>6881394</vt:i4>
      </vt:variant>
      <vt:variant>
        <vt:i4>3</vt:i4>
      </vt:variant>
      <vt:variant>
        <vt:i4>0</vt:i4>
      </vt:variant>
      <vt:variant>
        <vt:i4>5</vt:i4>
      </vt:variant>
      <vt:variant>
        <vt:lpwstr>http://www.kpmg.com/CZ/cs/Stranky/default.aspx</vt:lpwstr>
      </vt:variant>
      <vt:variant>
        <vt:lpwstr/>
      </vt:variant>
      <vt:variant>
        <vt:i4>7733299</vt:i4>
      </vt:variant>
      <vt:variant>
        <vt:i4>0</vt:i4>
      </vt:variant>
      <vt:variant>
        <vt:i4>0</vt:i4>
      </vt:variant>
      <vt:variant>
        <vt:i4>5</vt:i4>
      </vt:variant>
      <vt:variant>
        <vt:lpwstr>http://www.ceec.eu/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CEEC Research</dc:creator>
  <cp:lastModifiedBy>CEEC</cp:lastModifiedBy>
  <cp:revision>2</cp:revision>
  <cp:lastPrinted>1900-12-31T23:00:00Z</cp:lastPrinted>
  <dcterms:created xsi:type="dcterms:W3CDTF">2014-05-26T05:36:00Z</dcterms:created>
  <dcterms:modified xsi:type="dcterms:W3CDTF">2014-05-26T05:36:00Z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