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C" w:rsidRDefault="00F5658C" w:rsidP="00590514">
      <w:pPr>
        <w:spacing w:after="360" w:line="360" w:lineRule="auto"/>
        <w:rPr>
          <w:noProof/>
          <w:lang w:eastAsia="cs-CZ"/>
        </w:rPr>
        <w:sectPr w:rsidR="00F5658C" w:rsidSect="00F5658C">
          <w:headerReference w:type="default" r:id="rId9"/>
          <w:headerReference w:type="first" r:id="rId10"/>
          <w:pgSz w:w="11906" w:h="16838"/>
          <w:pgMar w:top="1417" w:right="1417" w:bottom="1417" w:left="1417" w:header="850" w:footer="794" w:gutter="0"/>
          <w:cols w:num="2" w:space="708"/>
          <w:titlePg/>
          <w:docGrid w:linePitch="360" w:charSpace="4096"/>
        </w:sectPr>
      </w:pPr>
      <w:r>
        <w:rPr>
          <w:noProof/>
          <w:lang w:eastAsia="cs-CZ"/>
        </w:rPr>
        <w:tab/>
      </w:r>
    </w:p>
    <w:p w:rsidR="00230B2C" w:rsidRPr="007F30CE" w:rsidRDefault="00D811CD" w:rsidP="007F30CE">
      <w:pPr>
        <w:spacing w:after="36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Hlavní </w:t>
      </w:r>
      <w:r w:rsidR="00E14F80">
        <w:rPr>
          <w:rFonts w:ascii="Arial" w:hAnsi="Arial" w:cs="Arial"/>
          <w:b/>
          <w:bCs/>
          <w:sz w:val="32"/>
          <w:szCs w:val="32"/>
        </w:rPr>
        <w:t xml:space="preserve">příčiny ekonomické </w:t>
      </w:r>
      <w:r>
        <w:rPr>
          <w:rFonts w:ascii="Arial" w:hAnsi="Arial" w:cs="Arial"/>
          <w:b/>
          <w:bCs/>
          <w:sz w:val="32"/>
          <w:szCs w:val="32"/>
        </w:rPr>
        <w:t>nestability stavebních firem:</w:t>
      </w:r>
      <w:r w:rsidR="007F30CE" w:rsidRPr="007F30CE">
        <w:rPr>
          <w:rFonts w:ascii="Arial" w:hAnsi="Arial" w:cs="Arial"/>
          <w:b/>
          <w:bCs/>
          <w:sz w:val="32"/>
          <w:szCs w:val="32"/>
        </w:rPr>
        <w:t xml:space="preserve"> </w:t>
      </w:r>
      <w:r w:rsidR="007F30CE">
        <w:rPr>
          <w:rFonts w:ascii="Arial" w:hAnsi="Arial" w:cs="Arial"/>
          <w:b/>
          <w:bCs/>
          <w:sz w:val="32"/>
          <w:szCs w:val="32"/>
        </w:rPr>
        <w:t>nekoncepčnost státu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F30CE">
        <w:rPr>
          <w:rFonts w:ascii="Arial" w:hAnsi="Arial" w:cs="Arial"/>
          <w:b/>
          <w:bCs/>
          <w:sz w:val="32"/>
          <w:szCs w:val="32"/>
        </w:rPr>
        <w:t xml:space="preserve">a často se měnící </w:t>
      </w:r>
      <w:r>
        <w:rPr>
          <w:rFonts w:ascii="Arial" w:hAnsi="Arial" w:cs="Arial"/>
          <w:b/>
          <w:bCs/>
          <w:sz w:val="32"/>
          <w:szCs w:val="32"/>
        </w:rPr>
        <w:t xml:space="preserve">legislativa </w:t>
      </w:r>
    </w:p>
    <w:p w:rsidR="00230B2C" w:rsidRPr="00BC393A" w:rsidRDefault="00654F84" w:rsidP="00590514">
      <w:pPr>
        <w:spacing w:after="3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Praha, </w:t>
      </w:r>
      <w:r w:rsidR="004B3A19">
        <w:rPr>
          <w:rFonts w:ascii="Arial" w:hAnsi="Arial" w:cs="Arial"/>
          <w:b/>
        </w:rPr>
        <w:t>13</w:t>
      </w:r>
      <w:r w:rsidR="009D7D1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k</w:t>
      </w:r>
      <w:r w:rsidR="005540DD">
        <w:rPr>
          <w:rFonts w:ascii="Arial" w:hAnsi="Arial" w:cs="Arial"/>
          <w:b/>
        </w:rPr>
        <w:t>větna</w:t>
      </w:r>
      <w:r>
        <w:rPr>
          <w:rFonts w:ascii="Arial" w:hAnsi="Arial" w:cs="Arial"/>
          <w:b/>
        </w:rPr>
        <w:t xml:space="preserve"> – Způsob fungování českého státu, neustál</w:t>
      </w:r>
      <w:r w:rsidR="0093363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změny zákonů, koncepcí</w:t>
      </w:r>
      <w:r w:rsidR="0093363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ale i </w:t>
      </w:r>
      <w:r w:rsidR="00D811CD">
        <w:rPr>
          <w:rFonts w:ascii="Arial" w:hAnsi="Arial" w:cs="Arial"/>
          <w:b/>
        </w:rPr>
        <w:t xml:space="preserve">úředníků </w:t>
      </w:r>
      <w:r w:rsidR="00E14F80">
        <w:rPr>
          <w:rFonts w:ascii="Arial" w:hAnsi="Arial" w:cs="Arial"/>
          <w:b/>
        </w:rPr>
        <w:t xml:space="preserve">jsou </w:t>
      </w:r>
      <w:r w:rsidR="00D811CD">
        <w:rPr>
          <w:rFonts w:ascii="Arial" w:hAnsi="Arial" w:cs="Arial"/>
          <w:b/>
        </w:rPr>
        <w:t>označ</w:t>
      </w:r>
      <w:r w:rsidR="00E14F80">
        <w:rPr>
          <w:rFonts w:ascii="Arial" w:hAnsi="Arial" w:cs="Arial"/>
          <w:b/>
        </w:rPr>
        <w:t>ovány</w:t>
      </w:r>
      <w:r w:rsidR="00D811CD">
        <w:rPr>
          <w:rFonts w:ascii="Arial" w:hAnsi="Arial" w:cs="Arial"/>
          <w:b/>
        </w:rPr>
        <w:t xml:space="preserve"> stavební</w:t>
      </w:r>
      <w:r w:rsidR="00E14F80">
        <w:rPr>
          <w:rFonts w:ascii="Arial" w:hAnsi="Arial" w:cs="Arial"/>
          <w:b/>
        </w:rPr>
        <w:t>mi</w:t>
      </w:r>
      <w:r w:rsidR="00D811CD">
        <w:rPr>
          <w:rFonts w:ascii="Arial" w:hAnsi="Arial" w:cs="Arial"/>
          <w:b/>
        </w:rPr>
        <w:t xml:space="preserve"> firm</w:t>
      </w:r>
      <w:r w:rsidR="00E14F80">
        <w:rPr>
          <w:rFonts w:ascii="Arial" w:hAnsi="Arial" w:cs="Arial"/>
          <w:b/>
        </w:rPr>
        <w:t>ami</w:t>
      </w:r>
      <w:r w:rsidR="00D811CD">
        <w:rPr>
          <w:rFonts w:ascii="Arial" w:hAnsi="Arial" w:cs="Arial"/>
          <w:b/>
        </w:rPr>
        <w:t xml:space="preserve"> za </w:t>
      </w:r>
      <w:r w:rsidR="00E14F80">
        <w:rPr>
          <w:rFonts w:ascii="Arial" w:hAnsi="Arial" w:cs="Arial"/>
          <w:b/>
        </w:rPr>
        <w:t xml:space="preserve">hlavní </w:t>
      </w:r>
      <w:r w:rsidR="00806B42">
        <w:rPr>
          <w:rFonts w:ascii="Arial" w:hAnsi="Arial" w:cs="Arial"/>
          <w:b/>
        </w:rPr>
        <w:t>problémy</w:t>
      </w:r>
      <w:r w:rsidR="00D811CD">
        <w:rPr>
          <w:rFonts w:ascii="Arial" w:hAnsi="Arial" w:cs="Arial"/>
          <w:b/>
        </w:rPr>
        <w:t xml:space="preserve"> ohrožující jejich ekonomickou stabilitu. </w:t>
      </w:r>
      <w:r w:rsidR="00A71BD0" w:rsidRPr="001F5517">
        <w:rPr>
          <w:rFonts w:ascii="Arial" w:hAnsi="Arial" w:cs="Arial"/>
          <w:b/>
          <w:bCs/>
        </w:rPr>
        <w:t xml:space="preserve">Vyplývá to z nejnovější Kvartální analýzy českého stavebnictví </w:t>
      </w:r>
      <w:r w:rsidR="00A71BD0">
        <w:rPr>
          <w:rFonts w:ascii="Arial" w:hAnsi="Arial" w:cs="Arial"/>
          <w:b/>
          <w:bCs/>
        </w:rPr>
        <w:t>Q2</w:t>
      </w:r>
      <w:r w:rsidR="00A71BD0" w:rsidRPr="00487995">
        <w:rPr>
          <w:rFonts w:ascii="Arial" w:hAnsi="Arial" w:cs="Arial"/>
          <w:b/>
          <w:bCs/>
        </w:rPr>
        <w:t>/</w:t>
      </w:r>
      <w:r w:rsidR="00A71BD0">
        <w:rPr>
          <w:rFonts w:ascii="Arial" w:hAnsi="Arial" w:cs="Arial"/>
          <w:b/>
          <w:bCs/>
        </w:rPr>
        <w:t>2014 zpracované</w:t>
      </w:r>
      <w:r w:rsidR="00A71BD0" w:rsidRPr="001F5517">
        <w:rPr>
          <w:rFonts w:ascii="Arial" w:hAnsi="Arial" w:cs="Arial"/>
          <w:b/>
          <w:bCs/>
        </w:rPr>
        <w:t xml:space="preserve"> </w:t>
      </w:r>
      <w:r w:rsidR="00C15191">
        <w:rPr>
          <w:rFonts w:ascii="Arial" w:hAnsi="Arial" w:cs="Arial"/>
          <w:b/>
          <w:bCs/>
        </w:rPr>
        <w:t xml:space="preserve">analytickou </w:t>
      </w:r>
      <w:r w:rsidR="00A71BD0" w:rsidRPr="001F5517">
        <w:rPr>
          <w:rFonts w:ascii="Arial" w:hAnsi="Arial" w:cs="Arial"/>
          <w:b/>
          <w:bCs/>
        </w:rPr>
        <w:t>společnost</w:t>
      </w:r>
      <w:r w:rsidR="00C15191">
        <w:rPr>
          <w:rFonts w:ascii="Arial" w:hAnsi="Arial" w:cs="Arial"/>
          <w:b/>
          <w:bCs/>
        </w:rPr>
        <w:t>í</w:t>
      </w:r>
      <w:r w:rsidR="00A71BD0" w:rsidRPr="001F5517">
        <w:rPr>
          <w:rFonts w:ascii="Arial" w:hAnsi="Arial" w:cs="Arial"/>
          <w:b/>
          <w:bCs/>
        </w:rPr>
        <w:t xml:space="preserve"> CEEC Research </w:t>
      </w:r>
      <w:r w:rsidR="00C15191">
        <w:rPr>
          <w:rFonts w:ascii="Arial" w:hAnsi="Arial" w:cs="Arial"/>
          <w:b/>
          <w:bCs/>
        </w:rPr>
        <w:t xml:space="preserve">ve spolupráci s poradenskou společností </w:t>
      </w:r>
      <w:r w:rsidR="00A71BD0" w:rsidRPr="001F5517">
        <w:rPr>
          <w:rFonts w:ascii="Arial" w:hAnsi="Arial" w:cs="Arial"/>
          <w:b/>
          <w:bCs/>
        </w:rPr>
        <w:t xml:space="preserve">KPMG Česká republika. </w:t>
      </w:r>
      <w:r w:rsidR="00A71BD0">
        <w:rPr>
          <w:rFonts w:ascii="Arial" w:hAnsi="Arial" w:cs="Arial"/>
          <w:b/>
        </w:rPr>
        <w:t xml:space="preserve">O tom, </w:t>
      </w:r>
      <w:r w:rsidR="00BF4ED2">
        <w:rPr>
          <w:rFonts w:ascii="Arial" w:hAnsi="Arial" w:cs="Arial"/>
          <w:b/>
        </w:rPr>
        <w:t>co připravuje Vláda ČR ke změně této situace v průběhu svého volebního období</w:t>
      </w:r>
      <w:r w:rsidR="0093363F">
        <w:rPr>
          <w:rFonts w:ascii="Arial" w:hAnsi="Arial" w:cs="Arial"/>
          <w:b/>
        </w:rPr>
        <w:t>,</w:t>
      </w:r>
      <w:r w:rsidR="00BF4ED2">
        <w:rPr>
          <w:rFonts w:ascii="Arial" w:hAnsi="Arial" w:cs="Arial"/>
          <w:b/>
        </w:rPr>
        <w:t xml:space="preserve"> budou vrcholní představitelé veřejného sektoru </w:t>
      </w:r>
      <w:r w:rsidR="00C15191">
        <w:rPr>
          <w:rFonts w:ascii="Arial" w:hAnsi="Arial" w:cs="Arial"/>
          <w:b/>
        </w:rPr>
        <w:t>diskutovat s</w:t>
      </w:r>
      <w:r w:rsidR="00A71BD0">
        <w:rPr>
          <w:rFonts w:ascii="Arial" w:hAnsi="Arial" w:cs="Arial"/>
          <w:b/>
        </w:rPr>
        <w:t xml:space="preserve"> </w:t>
      </w:r>
      <w:r w:rsidR="0093363F">
        <w:rPr>
          <w:rFonts w:ascii="Arial" w:hAnsi="Arial" w:cs="Arial"/>
          <w:b/>
        </w:rPr>
        <w:t xml:space="preserve">více než 450 </w:t>
      </w:r>
      <w:r w:rsidR="00BF4ED2">
        <w:rPr>
          <w:rFonts w:ascii="Arial" w:hAnsi="Arial" w:cs="Arial"/>
          <w:b/>
        </w:rPr>
        <w:t xml:space="preserve">řediteli stavebních </w:t>
      </w:r>
      <w:r w:rsidR="007960FD">
        <w:rPr>
          <w:rFonts w:ascii="Arial" w:hAnsi="Arial" w:cs="Arial"/>
          <w:b/>
        </w:rPr>
        <w:t xml:space="preserve">firem </w:t>
      </w:r>
      <w:r w:rsidR="00A71BD0">
        <w:rPr>
          <w:rFonts w:ascii="Arial" w:hAnsi="Arial" w:cs="Arial"/>
          <w:b/>
        </w:rPr>
        <w:t>n</w:t>
      </w:r>
      <w:r w:rsidR="007960FD">
        <w:rPr>
          <w:rFonts w:ascii="Arial" w:hAnsi="Arial" w:cs="Arial"/>
          <w:b/>
        </w:rPr>
        <w:t>a</w:t>
      </w:r>
      <w:r w:rsidR="0093363F">
        <w:rPr>
          <w:rFonts w:ascii="Arial" w:hAnsi="Arial" w:cs="Arial"/>
          <w:b/>
        </w:rPr>
        <w:t xml:space="preserve"> Se</w:t>
      </w:r>
      <w:r w:rsidR="00A71BD0">
        <w:rPr>
          <w:rFonts w:ascii="Arial" w:hAnsi="Arial" w:cs="Arial"/>
          <w:b/>
        </w:rPr>
        <w:t>t</w:t>
      </w:r>
      <w:r w:rsidR="0093363F">
        <w:rPr>
          <w:rFonts w:ascii="Arial" w:hAnsi="Arial" w:cs="Arial"/>
          <w:b/>
        </w:rPr>
        <w:t>k</w:t>
      </w:r>
      <w:r w:rsidR="00A71BD0">
        <w:rPr>
          <w:rFonts w:ascii="Arial" w:hAnsi="Arial" w:cs="Arial"/>
          <w:b/>
        </w:rPr>
        <w:t>ání lídrů českého stavebnictví 2014.</w:t>
      </w:r>
    </w:p>
    <w:p w:rsidR="005540DD" w:rsidRDefault="005540DD" w:rsidP="005540DD">
      <w:pPr>
        <w:pStyle w:val="Prosttext"/>
      </w:pPr>
    </w:p>
    <w:p w:rsidR="006C2BF1" w:rsidRDefault="009605F2" w:rsidP="006C2BF1">
      <w:pPr>
        <w:pStyle w:val="Prosttext"/>
        <w:spacing w:line="360" w:lineRule="auto"/>
        <w:jc w:val="both"/>
        <w:rPr>
          <w:rFonts w:eastAsia="Times New Roman"/>
          <w:color w:val="1F497D"/>
          <w:lang w:eastAsia="cs-CZ"/>
        </w:rPr>
      </w:pPr>
      <w:r>
        <w:rPr>
          <w:rFonts w:ascii="Arial" w:hAnsi="Arial" w:cs="Arial"/>
        </w:rPr>
        <w:t>Podle 98 procent</w:t>
      </w:r>
      <w:r w:rsidR="00CC35CA">
        <w:rPr>
          <w:rFonts w:ascii="Arial" w:hAnsi="Arial" w:cs="Arial"/>
        </w:rPr>
        <w:t xml:space="preserve"> ředitelů stavebních firem má klíčový vliv na ekonomickou nestabilitu jejich </w:t>
      </w:r>
      <w:r w:rsidR="00EA0F79">
        <w:rPr>
          <w:rFonts w:ascii="Arial" w:hAnsi="Arial" w:cs="Arial"/>
        </w:rPr>
        <w:t xml:space="preserve">organizace nekoncepční </w:t>
      </w:r>
      <w:r w:rsidR="0093363F">
        <w:rPr>
          <w:rFonts w:ascii="Arial" w:hAnsi="Arial" w:cs="Arial"/>
        </w:rPr>
        <w:t>investiční politika</w:t>
      </w:r>
      <w:r w:rsidR="00EA0F79">
        <w:rPr>
          <w:rFonts w:ascii="Arial" w:hAnsi="Arial" w:cs="Arial"/>
        </w:rPr>
        <w:t xml:space="preserve"> státu a časté změny legislativy.</w:t>
      </w:r>
      <w:r>
        <w:rPr>
          <w:rFonts w:ascii="Arial" w:hAnsi="Arial" w:cs="Arial"/>
        </w:rPr>
        <w:t xml:space="preserve"> </w:t>
      </w:r>
      <w:r w:rsidR="00D92D84">
        <w:rPr>
          <w:rFonts w:ascii="Arial" w:hAnsi="Arial" w:cs="Arial"/>
        </w:rPr>
        <w:t>Ředitelé vnímají</w:t>
      </w:r>
      <w:r w:rsidR="00EA0F79">
        <w:rPr>
          <w:rFonts w:ascii="Arial" w:hAnsi="Arial" w:cs="Arial"/>
        </w:rPr>
        <w:t xml:space="preserve"> předchozí </w:t>
      </w:r>
      <w:r w:rsidR="00D92D84">
        <w:rPr>
          <w:rFonts w:ascii="Arial" w:hAnsi="Arial" w:cs="Arial"/>
        </w:rPr>
        <w:t xml:space="preserve">každoroční </w:t>
      </w:r>
      <w:r w:rsidR="00EA0F79">
        <w:rPr>
          <w:rFonts w:ascii="Arial" w:hAnsi="Arial" w:cs="Arial"/>
        </w:rPr>
        <w:t xml:space="preserve">výměny </w:t>
      </w:r>
      <w:r w:rsidR="00D92D84">
        <w:rPr>
          <w:rFonts w:ascii="Arial" w:hAnsi="Arial" w:cs="Arial"/>
        </w:rPr>
        <w:t xml:space="preserve">na ministerských postech </w:t>
      </w:r>
      <w:r w:rsidR="00EA0F79">
        <w:rPr>
          <w:rFonts w:ascii="Arial" w:hAnsi="Arial" w:cs="Arial"/>
        </w:rPr>
        <w:t>(zejména například na ministerstvu dopravy)</w:t>
      </w:r>
      <w:r w:rsidR="0093363F">
        <w:rPr>
          <w:rFonts w:ascii="Arial" w:hAnsi="Arial" w:cs="Arial"/>
        </w:rPr>
        <w:t>,</w:t>
      </w:r>
      <w:r w:rsidR="00EA0F79">
        <w:rPr>
          <w:rFonts w:ascii="Arial" w:hAnsi="Arial" w:cs="Arial"/>
        </w:rPr>
        <w:t xml:space="preserve"> </w:t>
      </w:r>
      <w:r w:rsidR="00D92D84">
        <w:rPr>
          <w:rFonts w:ascii="Arial" w:hAnsi="Arial" w:cs="Arial"/>
        </w:rPr>
        <w:t xml:space="preserve">ale i na dalších </w:t>
      </w:r>
      <w:r w:rsidR="00EA0F79">
        <w:rPr>
          <w:rFonts w:ascii="Arial" w:hAnsi="Arial" w:cs="Arial"/>
        </w:rPr>
        <w:t xml:space="preserve">klíčových </w:t>
      </w:r>
      <w:r w:rsidR="00D92D84">
        <w:rPr>
          <w:rFonts w:ascii="Arial" w:hAnsi="Arial" w:cs="Arial"/>
        </w:rPr>
        <w:t>místech</w:t>
      </w:r>
      <w:r w:rsidR="0093363F">
        <w:rPr>
          <w:rFonts w:ascii="Arial" w:hAnsi="Arial" w:cs="Arial"/>
        </w:rPr>
        <w:t>,</w:t>
      </w:r>
      <w:r w:rsidR="00D92D84">
        <w:rPr>
          <w:rFonts w:ascii="Arial" w:hAnsi="Arial" w:cs="Arial"/>
        </w:rPr>
        <w:t xml:space="preserve"> za </w:t>
      </w:r>
      <w:r w:rsidR="0093363F">
        <w:rPr>
          <w:rFonts w:ascii="Arial" w:hAnsi="Arial" w:cs="Arial"/>
        </w:rPr>
        <w:t>výrazný</w:t>
      </w:r>
      <w:r w:rsidR="00EA0F79">
        <w:rPr>
          <w:rFonts w:ascii="Arial" w:hAnsi="Arial" w:cs="Arial"/>
        </w:rPr>
        <w:t xml:space="preserve"> </w:t>
      </w:r>
      <w:r w:rsidR="00D92D84">
        <w:rPr>
          <w:rFonts w:ascii="Arial" w:hAnsi="Arial" w:cs="Arial"/>
        </w:rPr>
        <w:t>problém</w:t>
      </w:r>
      <w:r w:rsidR="00EA0F79">
        <w:rPr>
          <w:rFonts w:ascii="Arial" w:hAnsi="Arial" w:cs="Arial"/>
        </w:rPr>
        <w:t xml:space="preserve"> pro svůj sektor. Stavebnictví je </w:t>
      </w:r>
      <w:r w:rsidR="00E14F80">
        <w:rPr>
          <w:rFonts w:ascii="Arial" w:hAnsi="Arial" w:cs="Arial"/>
        </w:rPr>
        <w:t xml:space="preserve">charakteristické </w:t>
      </w:r>
      <w:r w:rsidR="00EA0F79">
        <w:rPr>
          <w:rFonts w:ascii="Arial" w:hAnsi="Arial" w:cs="Arial"/>
        </w:rPr>
        <w:t>rozsáhlou časovou náročností celé</w:t>
      </w:r>
      <w:r w:rsidR="0093363F">
        <w:rPr>
          <w:rFonts w:ascii="Arial" w:hAnsi="Arial" w:cs="Arial"/>
        </w:rPr>
        <w:t>ho</w:t>
      </w:r>
      <w:r w:rsidR="00EA0F79">
        <w:rPr>
          <w:rFonts w:ascii="Arial" w:hAnsi="Arial" w:cs="Arial"/>
        </w:rPr>
        <w:t xml:space="preserve"> investičního procesu, který v některých případech, i pokud vše probíhá bez komplikací, může trvat řadu let. Nečekané změny na rozhodovacích postech a s tím spojené i změny investičních priorit pak celý proces prodlužují a celý sektor paralyzují. </w:t>
      </w:r>
      <w:r w:rsidRPr="00C15191">
        <w:rPr>
          <w:rFonts w:ascii="Arial" w:hAnsi="Arial" w:cs="Arial"/>
          <w:i/>
        </w:rPr>
        <w:t>„</w:t>
      </w:r>
      <w:r w:rsidR="00EA0F79" w:rsidRPr="00C15191">
        <w:rPr>
          <w:rFonts w:ascii="Arial" w:hAnsi="Arial" w:cs="Arial"/>
          <w:i/>
        </w:rPr>
        <w:t xml:space="preserve">Stavebnictví je svým výkonem přímo vázáno na stát </w:t>
      </w:r>
      <w:r w:rsidR="00B16629">
        <w:rPr>
          <w:rFonts w:ascii="Arial" w:hAnsi="Arial" w:cs="Arial"/>
          <w:i/>
        </w:rPr>
        <w:t xml:space="preserve">až </w:t>
      </w:r>
      <w:r w:rsidR="00EA0F79" w:rsidRPr="00C15191">
        <w:rPr>
          <w:rFonts w:ascii="Arial" w:hAnsi="Arial" w:cs="Arial"/>
          <w:i/>
        </w:rPr>
        <w:t xml:space="preserve">téměř </w:t>
      </w:r>
      <w:r w:rsidR="00B16629">
        <w:rPr>
          <w:rFonts w:ascii="Arial" w:hAnsi="Arial" w:cs="Arial"/>
          <w:i/>
        </w:rPr>
        <w:t>čtyřiceti procenty, což</w:t>
      </w:r>
      <w:r w:rsidR="00B76E15" w:rsidRPr="00C15191">
        <w:rPr>
          <w:rFonts w:ascii="Arial" w:hAnsi="Arial" w:cs="Arial"/>
          <w:i/>
        </w:rPr>
        <w:t xml:space="preserve"> je obrovský podíl. Navíc i d</w:t>
      </w:r>
      <w:r w:rsidR="00EA0F79" w:rsidRPr="00C15191">
        <w:rPr>
          <w:rFonts w:ascii="Arial" w:hAnsi="Arial" w:cs="Arial"/>
          <w:i/>
        </w:rPr>
        <w:t>alší část</w:t>
      </w:r>
      <w:r w:rsidR="00B76E15" w:rsidRPr="00C15191">
        <w:rPr>
          <w:rFonts w:ascii="Arial" w:hAnsi="Arial" w:cs="Arial"/>
          <w:i/>
        </w:rPr>
        <w:t xml:space="preserve"> výkonu sektoru – zakázky od privátních investorů – </w:t>
      </w:r>
      <w:r w:rsidR="00B16629">
        <w:rPr>
          <w:rFonts w:ascii="Arial" w:hAnsi="Arial" w:cs="Arial"/>
          <w:i/>
        </w:rPr>
        <w:t>je</w:t>
      </w:r>
      <w:r w:rsidR="00B16629" w:rsidRPr="00C15191">
        <w:rPr>
          <w:rFonts w:ascii="Arial" w:hAnsi="Arial" w:cs="Arial"/>
          <w:i/>
        </w:rPr>
        <w:t xml:space="preserve"> </w:t>
      </w:r>
      <w:r w:rsidR="00B76E15" w:rsidRPr="00C15191">
        <w:rPr>
          <w:rFonts w:ascii="Arial" w:hAnsi="Arial" w:cs="Arial"/>
          <w:i/>
        </w:rPr>
        <w:t>úzce spojen</w:t>
      </w:r>
      <w:r w:rsidR="00B16629">
        <w:rPr>
          <w:rFonts w:ascii="Arial" w:hAnsi="Arial" w:cs="Arial"/>
          <w:i/>
        </w:rPr>
        <w:t>a</w:t>
      </w:r>
      <w:r w:rsidR="00B76E15" w:rsidRPr="00C15191">
        <w:rPr>
          <w:rFonts w:ascii="Arial" w:hAnsi="Arial" w:cs="Arial"/>
          <w:i/>
        </w:rPr>
        <w:t xml:space="preserve"> s chováním státu</w:t>
      </w:r>
      <w:r w:rsidR="00B16629">
        <w:rPr>
          <w:rFonts w:ascii="Arial" w:hAnsi="Arial" w:cs="Arial"/>
          <w:i/>
        </w:rPr>
        <w:t>,</w:t>
      </w:r>
      <w:r w:rsidR="00B76E15" w:rsidRPr="00C15191">
        <w:rPr>
          <w:rFonts w:ascii="Arial" w:hAnsi="Arial" w:cs="Arial"/>
          <w:i/>
        </w:rPr>
        <w:t xml:space="preserve"> a to zejména v oblasti vývoje legislativy. Nečekané změny např</w:t>
      </w:r>
      <w:r w:rsidR="00B16629">
        <w:rPr>
          <w:rFonts w:ascii="Arial" w:hAnsi="Arial" w:cs="Arial"/>
          <w:i/>
        </w:rPr>
        <w:t>íklad</w:t>
      </w:r>
      <w:r w:rsidR="00B76E15" w:rsidRPr="00C15191">
        <w:rPr>
          <w:rFonts w:ascii="Arial" w:hAnsi="Arial" w:cs="Arial"/>
          <w:i/>
        </w:rPr>
        <w:t xml:space="preserve"> v oblasti DPH </w:t>
      </w:r>
      <w:proofErr w:type="spellStart"/>
      <w:r w:rsidR="00B76E15" w:rsidRPr="00C15191">
        <w:rPr>
          <w:rFonts w:ascii="Arial" w:hAnsi="Arial" w:cs="Arial"/>
          <w:i/>
        </w:rPr>
        <w:t>zneji</w:t>
      </w:r>
      <w:r w:rsidR="00B16629">
        <w:rPr>
          <w:rFonts w:ascii="Arial" w:hAnsi="Arial" w:cs="Arial"/>
          <w:i/>
        </w:rPr>
        <w:t>s</w:t>
      </w:r>
      <w:r w:rsidR="00B76E15" w:rsidRPr="00C15191">
        <w:rPr>
          <w:rFonts w:ascii="Arial" w:hAnsi="Arial" w:cs="Arial"/>
          <w:i/>
        </w:rPr>
        <w:t>ťují</w:t>
      </w:r>
      <w:proofErr w:type="spellEnd"/>
      <w:r w:rsidR="00B76E15" w:rsidRPr="00C15191">
        <w:rPr>
          <w:rFonts w:ascii="Arial" w:hAnsi="Arial" w:cs="Arial"/>
          <w:i/>
        </w:rPr>
        <w:t xml:space="preserve"> developery, kteří pak odkládají realizaci nových staveb</w:t>
      </w:r>
      <w:r w:rsidR="00B16629">
        <w:rPr>
          <w:rFonts w:ascii="Arial" w:hAnsi="Arial" w:cs="Arial"/>
          <w:i/>
        </w:rPr>
        <w:t>,</w:t>
      </w:r>
      <w:r w:rsidR="00B76E15" w:rsidRPr="00C15191">
        <w:rPr>
          <w:rFonts w:ascii="Arial" w:hAnsi="Arial" w:cs="Arial"/>
          <w:i/>
        </w:rPr>
        <w:t xml:space="preserve"> a tedy i zakázek pro stavební firmy</w:t>
      </w:r>
      <w:r w:rsidR="00B16629">
        <w:rPr>
          <w:rFonts w:ascii="Arial" w:hAnsi="Arial" w:cs="Arial"/>
          <w:i/>
        </w:rPr>
        <w:t>,</w:t>
      </w:r>
      <w:r w:rsidR="00D92D84">
        <w:rPr>
          <w:rFonts w:ascii="Arial" w:hAnsi="Arial" w:cs="Arial"/>
        </w:rPr>
        <w:t xml:space="preserve">“ </w:t>
      </w:r>
      <w:r w:rsidR="00B16629">
        <w:rPr>
          <w:rFonts w:ascii="Arial" w:hAnsi="Arial" w:cs="Arial"/>
        </w:rPr>
        <w:t xml:space="preserve">konstatuje </w:t>
      </w:r>
      <w:r w:rsidR="00D92D84" w:rsidRPr="00575953">
        <w:rPr>
          <w:rFonts w:ascii="Arial" w:hAnsi="Arial" w:cs="Arial"/>
          <w:b/>
          <w:i/>
        </w:rPr>
        <w:t>Jiří Vacek, ředitel analytické společnosti CEEC Research</w:t>
      </w:r>
      <w:r w:rsidR="00C15191">
        <w:rPr>
          <w:rFonts w:ascii="Arial" w:hAnsi="Arial" w:cs="Arial"/>
          <w:b/>
          <w:i/>
        </w:rPr>
        <w:t>.</w:t>
      </w:r>
      <w:r w:rsidR="006C2BF1">
        <w:rPr>
          <w:rFonts w:ascii="Arial" w:hAnsi="Arial" w:cs="Arial"/>
          <w:b/>
          <w:i/>
        </w:rPr>
        <w:t xml:space="preserve"> </w:t>
      </w:r>
      <w:r w:rsidR="006C2BF1" w:rsidRPr="00621F2E">
        <w:rPr>
          <w:rFonts w:ascii="Arial" w:hAnsi="Arial" w:cs="Arial"/>
        </w:rPr>
        <w:t>To</w:t>
      </w:r>
      <w:r w:rsidR="00B16629" w:rsidRPr="00621F2E">
        <w:rPr>
          <w:rFonts w:ascii="Arial" w:hAnsi="Arial" w:cs="Arial"/>
        </w:rPr>
        <w:t>to</w:t>
      </w:r>
      <w:r w:rsidR="006C2BF1" w:rsidRPr="00621F2E">
        <w:rPr>
          <w:rFonts w:ascii="Arial" w:hAnsi="Arial" w:cs="Arial"/>
        </w:rPr>
        <w:t xml:space="preserve"> potvrzuje i</w:t>
      </w:r>
      <w:r w:rsidR="006C2BF1">
        <w:rPr>
          <w:rFonts w:ascii="Arial" w:hAnsi="Arial" w:cs="Arial"/>
          <w:i/>
        </w:rPr>
        <w:t xml:space="preserve"> </w:t>
      </w:r>
      <w:r w:rsidR="006C2BF1" w:rsidRPr="00621F2E">
        <w:rPr>
          <w:rFonts w:ascii="Arial" w:hAnsi="Arial" w:cs="Arial"/>
          <w:b/>
          <w:i/>
        </w:rPr>
        <w:t>Pavel Kliment, partner odpovědný za služby pro realitní a stavební společnosti KPMG Česká republika</w:t>
      </w:r>
      <w:r w:rsidR="00621F2E">
        <w:rPr>
          <w:rFonts w:ascii="Arial" w:hAnsi="Arial" w:cs="Arial"/>
          <w:b/>
        </w:rPr>
        <w:t>:</w:t>
      </w:r>
      <w:r w:rsidR="006C2BF1">
        <w:rPr>
          <w:rFonts w:ascii="Arial" w:hAnsi="Arial" w:cs="Arial"/>
          <w:b/>
        </w:rPr>
        <w:t xml:space="preserve"> </w:t>
      </w:r>
      <w:r w:rsidR="006C2BF1" w:rsidRPr="006C2BF1">
        <w:rPr>
          <w:rFonts w:ascii="Arial" w:hAnsi="Arial" w:cs="Arial"/>
          <w:i/>
        </w:rPr>
        <w:t>„Stavební společnosti musí udržovat investičně náročné kapacity pro svůj výkon a jejich dodávky mají dlouhodobý časový horizont. Z těchto důvodů trpí stavební sektor více než jiné v případě nenadálých nebo častých změn vnějších pravidel</w:t>
      </w:r>
      <w:r w:rsidR="006C2BF1">
        <w:rPr>
          <w:rFonts w:eastAsia="Times New Roman"/>
          <w:color w:val="1F497D"/>
          <w:lang w:eastAsia="cs-CZ"/>
        </w:rPr>
        <w:t>."</w:t>
      </w:r>
    </w:p>
    <w:p w:rsidR="006C2BF1" w:rsidRDefault="006C2BF1" w:rsidP="006C2BF1">
      <w:pPr>
        <w:pStyle w:val="Prosttext"/>
        <w:spacing w:line="360" w:lineRule="auto"/>
        <w:jc w:val="both"/>
        <w:rPr>
          <w:rFonts w:ascii="Arial" w:hAnsi="Arial" w:cs="Arial"/>
        </w:rPr>
      </w:pPr>
    </w:p>
    <w:p w:rsidR="00654F84" w:rsidRDefault="00D436A4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Druhým </w:t>
      </w:r>
      <w:r w:rsidR="00B76E15">
        <w:rPr>
          <w:rFonts w:ascii="Arial" w:hAnsi="Arial" w:cs="Arial"/>
        </w:rPr>
        <w:t>problémem ohrožujícím ekonomickou stabilitu stavebních společností jsou nízké, někdy až dumpingové ceny veřejných zakázek vycházejí</w:t>
      </w:r>
      <w:r w:rsidR="00B16629">
        <w:rPr>
          <w:rFonts w:ascii="Arial" w:hAnsi="Arial" w:cs="Arial"/>
        </w:rPr>
        <w:t>cí</w:t>
      </w:r>
      <w:r w:rsidR="00B76E15">
        <w:rPr>
          <w:rFonts w:ascii="Arial" w:hAnsi="Arial" w:cs="Arial"/>
        </w:rPr>
        <w:t xml:space="preserve"> zejména ze skutečnosti, že veřejní investoři </w:t>
      </w:r>
      <w:r w:rsidR="00CB7534">
        <w:rPr>
          <w:rFonts w:ascii="Arial" w:hAnsi="Arial" w:cs="Arial"/>
        </w:rPr>
        <w:t xml:space="preserve">vyhodnocují </w:t>
      </w:r>
      <w:r w:rsidR="00B76E15">
        <w:rPr>
          <w:rFonts w:ascii="Arial" w:hAnsi="Arial" w:cs="Arial"/>
        </w:rPr>
        <w:t xml:space="preserve">zakázky primárně </w:t>
      </w:r>
      <w:r>
        <w:rPr>
          <w:rFonts w:ascii="Arial" w:hAnsi="Arial" w:cs="Arial"/>
        </w:rPr>
        <w:t>podle kritéria nejnižší ceny</w:t>
      </w:r>
      <w:r w:rsidR="008848AC">
        <w:rPr>
          <w:rFonts w:ascii="Arial" w:hAnsi="Arial" w:cs="Arial"/>
        </w:rPr>
        <w:t xml:space="preserve"> (potvrzuje až 9 z 10 velkých společností).</w:t>
      </w:r>
      <w:r w:rsidR="00B76E15">
        <w:rPr>
          <w:rFonts w:ascii="Arial" w:hAnsi="Arial" w:cs="Arial"/>
        </w:rPr>
        <w:t xml:space="preserve"> Na tento problém si </w:t>
      </w:r>
      <w:r>
        <w:rPr>
          <w:rFonts w:ascii="Arial" w:hAnsi="Arial" w:cs="Arial"/>
        </w:rPr>
        <w:t xml:space="preserve">stěžují zejména </w:t>
      </w:r>
      <w:r w:rsidR="00B76E15">
        <w:rPr>
          <w:rFonts w:ascii="Arial" w:hAnsi="Arial" w:cs="Arial"/>
        </w:rPr>
        <w:t>velké stavební společnosti</w:t>
      </w:r>
      <w:r w:rsidR="008848AC">
        <w:rPr>
          <w:rFonts w:ascii="Arial" w:hAnsi="Arial" w:cs="Arial"/>
        </w:rPr>
        <w:t>.</w:t>
      </w:r>
      <w:r w:rsidR="00933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</w:t>
      </w:r>
      <w:r w:rsidR="006948A2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a střední</w:t>
      </w:r>
      <w:r w:rsidR="006948A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firm</w:t>
      </w:r>
      <w:r w:rsidR="006948A2">
        <w:rPr>
          <w:rFonts w:ascii="Arial" w:hAnsi="Arial" w:cs="Arial"/>
        </w:rPr>
        <w:t>ám</w:t>
      </w:r>
      <w:r>
        <w:rPr>
          <w:rFonts w:ascii="Arial" w:hAnsi="Arial" w:cs="Arial"/>
        </w:rPr>
        <w:t xml:space="preserve"> </w:t>
      </w:r>
      <w:r w:rsidR="006948A2">
        <w:rPr>
          <w:rFonts w:ascii="Arial" w:hAnsi="Arial" w:cs="Arial"/>
        </w:rPr>
        <w:t xml:space="preserve">navíc komplikuje situaci </w:t>
      </w:r>
      <w:r>
        <w:rPr>
          <w:rFonts w:ascii="Arial" w:hAnsi="Arial" w:cs="Arial"/>
        </w:rPr>
        <w:t>špatná platební morálka jejich zákazníků</w:t>
      </w:r>
      <w:r w:rsidR="00B16629">
        <w:rPr>
          <w:rFonts w:ascii="Arial" w:hAnsi="Arial" w:cs="Arial"/>
        </w:rPr>
        <w:t>, jimiž</w:t>
      </w:r>
      <w:r>
        <w:rPr>
          <w:rFonts w:ascii="Arial" w:hAnsi="Arial" w:cs="Arial"/>
        </w:rPr>
        <w:t xml:space="preserve"> jsou někdy přímo investoři, ale v řadě případů také větší stavební firmy, kterým stavební práce</w:t>
      </w:r>
      <w:r w:rsidR="006948A2">
        <w:rPr>
          <w:rFonts w:ascii="Arial" w:hAnsi="Arial" w:cs="Arial"/>
        </w:rPr>
        <w:t xml:space="preserve"> </w:t>
      </w:r>
      <w:proofErr w:type="spellStart"/>
      <w:r w:rsidR="006948A2">
        <w:rPr>
          <w:rFonts w:ascii="Arial" w:hAnsi="Arial" w:cs="Arial"/>
        </w:rPr>
        <w:t>subdodávají</w:t>
      </w:r>
      <w:proofErr w:type="spellEnd"/>
      <w:r>
        <w:rPr>
          <w:rFonts w:ascii="Arial" w:hAnsi="Arial" w:cs="Arial"/>
        </w:rPr>
        <w:t xml:space="preserve">. </w:t>
      </w:r>
      <w:r w:rsidR="007F30CE">
        <w:rPr>
          <w:rFonts w:ascii="Arial" w:hAnsi="Arial" w:cs="Arial"/>
        </w:rPr>
        <w:t>„</w:t>
      </w:r>
      <w:r w:rsidR="0093363F">
        <w:rPr>
          <w:rFonts w:ascii="Arial" w:hAnsi="Arial" w:cs="Arial"/>
          <w:i/>
        </w:rPr>
        <w:t>Ředitelé</w:t>
      </w:r>
      <w:r w:rsidR="007F30CE" w:rsidRPr="00575953">
        <w:rPr>
          <w:rFonts w:ascii="Arial" w:hAnsi="Arial" w:cs="Arial"/>
          <w:i/>
        </w:rPr>
        <w:t xml:space="preserve"> stavebních </w:t>
      </w:r>
      <w:r w:rsidR="004B3A19">
        <w:rPr>
          <w:rFonts w:ascii="Arial" w:hAnsi="Arial" w:cs="Arial"/>
          <w:i/>
        </w:rPr>
        <w:t xml:space="preserve">společností </w:t>
      </w:r>
      <w:r w:rsidR="007F30CE" w:rsidRPr="00575953">
        <w:rPr>
          <w:rFonts w:ascii="Arial" w:hAnsi="Arial" w:cs="Arial"/>
          <w:i/>
        </w:rPr>
        <w:t xml:space="preserve">hovoří o </w:t>
      </w:r>
      <w:r w:rsidR="004B3A19">
        <w:rPr>
          <w:rFonts w:ascii="Arial" w:hAnsi="Arial" w:cs="Arial"/>
          <w:i/>
        </w:rPr>
        <w:t xml:space="preserve">některých </w:t>
      </w:r>
      <w:r w:rsidR="007F30CE" w:rsidRPr="00575953">
        <w:rPr>
          <w:rFonts w:ascii="Arial" w:hAnsi="Arial" w:cs="Arial"/>
          <w:i/>
        </w:rPr>
        <w:t xml:space="preserve">firmách, které nabízejí </w:t>
      </w:r>
      <w:r w:rsidR="00B16629">
        <w:rPr>
          <w:rFonts w:ascii="Arial" w:hAnsi="Arial" w:cs="Arial"/>
          <w:i/>
        </w:rPr>
        <w:t>investorům</w:t>
      </w:r>
      <w:r w:rsidR="00B16629" w:rsidRPr="00575953">
        <w:rPr>
          <w:rFonts w:ascii="Arial" w:hAnsi="Arial" w:cs="Arial"/>
          <w:i/>
        </w:rPr>
        <w:t xml:space="preserve"> </w:t>
      </w:r>
      <w:r w:rsidR="007F30CE" w:rsidRPr="00575953">
        <w:rPr>
          <w:rFonts w:ascii="Arial" w:hAnsi="Arial" w:cs="Arial"/>
          <w:i/>
        </w:rPr>
        <w:t>nízké realizační ceny</w:t>
      </w:r>
      <w:r w:rsidR="0093363F">
        <w:rPr>
          <w:rFonts w:ascii="Arial" w:hAnsi="Arial" w:cs="Arial"/>
          <w:i/>
        </w:rPr>
        <w:t xml:space="preserve"> </w:t>
      </w:r>
      <w:r w:rsidR="007F30CE" w:rsidRPr="00575953">
        <w:rPr>
          <w:rFonts w:ascii="Arial" w:hAnsi="Arial" w:cs="Arial"/>
          <w:i/>
        </w:rPr>
        <w:t xml:space="preserve">již s vědomím, že </w:t>
      </w:r>
      <w:r w:rsidR="00CB7534">
        <w:rPr>
          <w:rFonts w:ascii="Arial" w:hAnsi="Arial" w:cs="Arial"/>
          <w:i/>
        </w:rPr>
        <w:t xml:space="preserve">se </w:t>
      </w:r>
      <w:r w:rsidR="007F30CE" w:rsidRPr="00575953">
        <w:rPr>
          <w:rFonts w:ascii="Arial" w:hAnsi="Arial" w:cs="Arial"/>
          <w:i/>
        </w:rPr>
        <w:t xml:space="preserve">na </w:t>
      </w:r>
      <w:r w:rsidR="007F30CE">
        <w:rPr>
          <w:rFonts w:ascii="Arial" w:hAnsi="Arial" w:cs="Arial"/>
          <w:i/>
        </w:rPr>
        <w:t xml:space="preserve">subdodavatele </w:t>
      </w:r>
      <w:r w:rsidR="007F30CE" w:rsidRPr="00575953">
        <w:rPr>
          <w:rFonts w:ascii="Arial" w:hAnsi="Arial" w:cs="Arial"/>
          <w:i/>
        </w:rPr>
        <w:t xml:space="preserve">na konci </w:t>
      </w:r>
      <w:r w:rsidR="00CB7534">
        <w:rPr>
          <w:rFonts w:ascii="Arial" w:hAnsi="Arial" w:cs="Arial"/>
          <w:i/>
        </w:rPr>
        <w:t>tohoto</w:t>
      </w:r>
      <w:r w:rsidR="00CB7534" w:rsidRPr="00575953">
        <w:rPr>
          <w:rFonts w:ascii="Arial" w:hAnsi="Arial" w:cs="Arial"/>
          <w:i/>
        </w:rPr>
        <w:t xml:space="preserve"> </w:t>
      </w:r>
      <w:r w:rsidR="008848AC">
        <w:rPr>
          <w:rFonts w:ascii="Arial" w:hAnsi="Arial" w:cs="Arial"/>
          <w:i/>
        </w:rPr>
        <w:t xml:space="preserve">„potravního“ </w:t>
      </w:r>
      <w:r w:rsidR="007F30CE" w:rsidRPr="00575953">
        <w:rPr>
          <w:rFonts w:ascii="Arial" w:hAnsi="Arial" w:cs="Arial"/>
          <w:i/>
        </w:rPr>
        <w:t xml:space="preserve">řetězce </w:t>
      </w:r>
      <w:r w:rsidR="00CB7534">
        <w:rPr>
          <w:rFonts w:ascii="Arial" w:hAnsi="Arial" w:cs="Arial"/>
          <w:i/>
        </w:rPr>
        <w:t>již nedostane</w:t>
      </w:r>
      <w:r w:rsidR="007F30CE">
        <w:rPr>
          <w:rFonts w:ascii="Arial" w:hAnsi="Arial" w:cs="Arial"/>
          <w:i/>
        </w:rPr>
        <w:t xml:space="preserve">, případně </w:t>
      </w:r>
      <w:r w:rsidR="00CB7534">
        <w:rPr>
          <w:rFonts w:ascii="Arial" w:hAnsi="Arial" w:cs="Arial"/>
          <w:i/>
        </w:rPr>
        <w:t xml:space="preserve">že </w:t>
      </w:r>
      <w:r w:rsidR="006948A2">
        <w:rPr>
          <w:rFonts w:ascii="Arial" w:hAnsi="Arial" w:cs="Arial"/>
          <w:i/>
        </w:rPr>
        <w:t>bud</w:t>
      </w:r>
      <w:r w:rsidR="004B3A19">
        <w:rPr>
          <w:rFonts w:ascii="Arial" w:hAnsi="Arial" w:cs="Arial"/>
          <w:i/>
        </w:rPr>
        <w:t>ou</w:t>
      </w:r>
      <w:r w:rsidR="006948A2">
        <w:rPr>
          <w:rFonts w:ascii="Arial" w:hAnsi="Arial" w:cs="Arial"/>
          <w:i/>
        </w:rPr>
        <w:t xml:space="preserve"> </w:t>
      </w:r>
      <w:r w:rsidR="007F30CE">
        <w:rPr>
          <w:rFonts w:ascii="Arial" w:hAnsi="Arial" w:cs="Arial"/>
          <w:i/>
        </w:rPr>
        <w:t>vypla</w:t>
      </w:r>
      <w:r w:rsidR="006948A2">
        <w:rPr>
          <w:rFonts w:ascii="Arial" w:hAnsi="Arial" w:cs="Arial"/>
          <w:i/>
        </w:rPr>
        <w:t>cen</w:t>
      </w:r>
      <w:r w:rsidR="004B3A19">
        <w:rPr>
          <w:rFonts w:ascii="Arial" w:hAnsi="Arial" w:cs="Arial"/>
          <w:i/>
        </w:rPr>
        <w:t>i</w:t>
      </w:r>
      <w:r w:rsidR="007F30CE">
        <w:rPr>
          <w:rFonts w:ascii="Arial" w:hAnsi="Arial" w:cs="Arial"/>
          <w:i/>
        </w:rPr>
        <w:t xml:space="preserve"> pouze částečně a </w:t>
      </w:r>
      <w:r w:rsidR="006948A2">
        <w:rPr>
          <w:rFonts w:ascii="Arial" w:hAnsi="Arial" w:cs="Arial"/>
          <w:i/>
        </w:rPr>
        <w:t xml:space="preserve">bude </w:t>
      </w:r>
      <w:r w:rsidR="004B3A19">
        <w:rPr>
          <w:rFonts w:ascii="Arial" w:hAnsi="Arial" w:cs="Arial"/>
          <w:i/>
        </w:rPr>
        <w:t>jim</w:t>
      </w:r>
      <w:r w:rsidR="006948A2">
        <w:rPr>
          <w:rFonts w:ascii="Arial" w:hAnsi="Arial" w:cs="Arial"/>
          <w:i/>
        </w:rPr>
        <w:t xml:space="preserve"> </w:t>
      </w:r>
      <w:r w:rsidR="007F30CE">
        <w:rPr>
          <w:rFonts w:ascii="Arial" w:hAnsi="Arial" w:cs="Arial"/>
          <w:i/>
        </w:rPr>
        <w:t>nabídn</w:t>
      </w:r>
      <w:r w:rsidR="006948A2">
        <w:rPr>
          <w:rFonts w:ascii="Arial" w:hAnsi="Arial" w:cs="Arial"/>
          <w:i/>
        </w:rPr>
        <w:t>uta</w:t>
      </w:r>
      <w:r w:rsidR="004B3A19">
        <w:rPr>
          <w:rFonts w:ascii="Arial" w:hAnsi="Arial" w:cs="Arial"/>
          <w:i/>
        </w:rPr>
        <w:t xml:space="preserve"> </w:t>
      </w:r>
      <w:r w:rsidR="007F30CE">
        <w:rPr>
          <w:rFonts w:ascii="Arial" w:hAnsi="Arial" w:cs="Arial"/>
          <w:i/>
        </w:rPr>
        <w:t>možnost jiné zakázky někdy v budoucnu</w:t>
      </w:r>
      <w:r w:rsidR="007F30CE" w:rsidRPr="00575953">
        <w:rPr>
          <w:rFonts w:ascii="Arial" w:hAnsi="Arial" w:cs="Arial"/>
          <w:i/>
        </w:rPr>
        <w:t>,</w:t>
      </w:r>
      <w:r w:rsidR="007F30CE">
        <w:rPr>
          <w:rFonts w:ascii="Arial" w:hAnsi="Arial" w:cs="Arial"/>
        </w:rPr>
        <w:t>“ komentuje závěry interview s </w:t>
      </w:r>
      <w:r w:rsidR="00C15191">
        <w:rPr>
          <w:rFonts w:ascii="Arial" w:hAnsi="Arial" w:cs="Arial"/>
        </w:rPr>
        <w:t>řediteli</w:t>
      </w:r>
      <w:r w:rsidR="007F30CE">
        <w:rPr>
          <w:rFonts w:ascii="Arial" w:hAnsi="Arial" w:cs="Arial"/>
        </w:rPr>
        <w:t xml:space="preserve"> stavebních firem </w:t>
      </w:r>
      <w:r w:rsidR="007F30CE" w:rsidRPr="00575953">
        <w:rPr>
          <w:rFonts w:ascii="Arial" w:hAnsi="Arial" w:cs="Arial"/>
          <w:b/>
          <w:i/>
        </w:rPr>
        <w:t>Jiří Vacek, ředitel analytické společnosti CEEC Research</w:t>
      </w:r>
      <w:r w:rsidR="0093363F">
        <w:rPr>
          <w:rFonts w:ascii="Arial" w:hAnsi="Arial" w:cs="Arial"/>
          <w:b/>
          <w:i/>
        </w:rPr>
        <w:t>.</w:t>
      </w:r>
    </w:p>
    <w:p w:rsidR="00D436A4" w:rsidRDefault="00D436A4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436A4" w:rsidRDefault="00D436A4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Třetím klíčovým problémem, na kter</w:t>
      </w:r>
      <w:r w:rsidR="00CB753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firmy napříč trhem </w:t>
      </w:r>
      <w:r w:rsidR="00CB7534">
        <w:rPr>
          <w:rFonts w:ascii="Arial" w:hAnsi="Arial" w:cs="Arial"/>
        </w:rPr>
        <w:t>upozorňují</w:t>
      </w:r>
      <w:r>
        <w:rPr>
          <w:rFonts w:ascii="Arial" w:hAnsi="Arial" w:cs="Arial"/>
        </w:rPr>
        <w:t xml:space="preserve">, je nedostatek zakázek. České stavebnictví se od svého vrcholu propadlo o přibližně čtvrtinu svého obratu. </w:t>
      </w:r>
      <w:r w:rsidR="00CB7534">
        <w:rPr>
          <w:rFonts w:ascii="Arial" w:hAnsi="Arial" w:cs="Arial"/>
        </w:rPr>
        <w:t> </w:t>
      </w:r>
      <w:r w:rsidR="008848AC" w:rsidRPr="008848AC">
        <w:rPr>
          <w:rFonts w:ascii="Arial" w:hAnsi="Arial" w:cs="Arial"/>
          <w:i/>
        </w:rPr>
        <w:t>„</w:t>
      </w:r>
      <w:r w:rsidR="00CB7534" w:rsidRPr="008848AC">
        <w:rPr>
          <w:rFonts w:ascii="Arial" w:hAnsi="Arial" w:cs="Arial"/>
          <w:i/>
        </w:rPr>
        <w:t xml:space="preserve">Z </w:t>
      </w:r>
      <w:r w:rsidR="00AC135F" w:rsidRPr="008848AC">
        <w:rPr>
          <w:rFonts w:ascii="Arial" w:hAnsi="Arial" w:cs="Arial"/>
          <w:i/>
        </w:rPr>
        <w:t xml:space="preserve">pohledu počtu soutěžících </w:t>
      </w:r>
      <w:r w:rsidR="0093363F" w:rsidRPr="008848AC">
        <w:rPr>
          <w:rFonts w:ascii="Arial" w:hAnsi="Arial" w:cs="Arial"/>
          <w:i/>
        </w:rPr>
        <w:t xml:space="preserve">firem </w:t>
      </w:r>
      <w:r w:rsidRPr="008848AC">
        <w:rPr>
          <w:rFonts w:ascii="Arial" w:hAnsi="Arial" w:cs="Arial"/>
          <w:i/>
        </w:rPr>
        <w:t xml:space="preserve">však </w:t>
      </w:r>
      <w:r w:rsidR="00AC135F" w:rsidRPr="008848AC">
        <w:rPr>
          <w:rFonts w:ascii="Arial" w:hAnsi="Arial" w:cs="Arial"/>
          <w:i/>
        </w:rPr>
        <w:t xml:space="preserve">zatím </w:t>
      </w:r>
      <w:r w:rsidR="00CB7534" w:rsidRPr="008848AC">
        <w:rPr>
          <w:rFonts w:ascii="Arial" w:hAnsi="Arial" w:cs="Arial"/>
          <w:i/>
        </w:rPr>
        <w:t xml:space="preserve">k výraznější redukci na straně nabídky </w:t>
      </w:r>
      <w:r w:rsidRPr="008848AC">
        <w:rPr>
          <w:rFonts w:ascii="Arial" w:hAnsi="Arial" w:cs="Arial"/>
          <w:i/>
        </w:rPr>
        <w:t>nedošlo</w:t>
      </w:r>
      <w:r w:rsidR="00CB7534" w:rsidRPr="008848AC">
        <w:rPr>
          <w:rFonts w:ascii="Arial" w:hAnsi="Arial" w:cs="Arial"/>
          <w:i/>
        </w:rPr>
        <w:t xml:space="preserve"> – s</w:t>
      </w:r>
      <w:r w:rsidRPr="008848AC">
        <w:rPr>
          <w:rFonts w:ascii="Arial" w:hAnsi="Arial" w:cs="Arial"/>
          <w:i/>
        </w:rPr>
        <w:t>tavebních firem je podle posledních dostupných údajů ČSŮ na trhu dokonce více</w:t>
      </w:r>
      <w:r w:rsidR="00CB7534" w:rsidRPr="008848AC">
        <w:rPr>
          <w:rFonts w:ascii="Arial" w:hAnsi="Arial" w:cs="Arial"/>
          <w:i/>
        </w:rPr>
        <w:t>,</w:t>
      </w:r>
      <w:r w:rsidRPr="008848AC">
        <w:rPr>
          <w:rFonts w:ascii="Arial" w:hAnsi="Arial" w:cs="Arial"/>
          <w:i/>
        </w:rPr>
        <w:t xml:space="preserve"> než </w:t>
      </w:r>
      <w:r w:rsidR="00CB7534" w:rsidRPr="008848AC">
        <w:rPr>
          <w:rFonts w:ascii="Arial" w:hAnsi="Arial" w:cs="Arial"/>
          <w:i/>
        </w:rPr>
        <w:t xml:space="preserve">bylo </w:t>
      </w:r>
      <w:r w:rsidRPr="008848AC">
        <w:rPr>
          <w:rFonts w:ascii="Arial" w:hAnsi="Arial" w:cs="Arial"/>
          <w:i/>
        </w:rPr>
        <w:t xml:space="preserve">na vrcholu sektoru v roce </w:t>
      </w:r>
      <w:r w:rsidR="0093363F" w:rsidRPr="008848AC">
        <w:rPr>
          <w:rFonts w:ascii="Arial" w:hAnsi="Arial" w:cs="Arial"/>
          <w:i/>
        </w:rPr>
        <w:t>2008</w:t>
      </w:r>
      <w:r w:rsidR="00621F2E">
        <w:rPr>
          <w:rFonts w:ascii="Arial" w:hAnsi="Arial" w:cs="Arial"/>
        </w:rPr>
        <w:t>,</w:t>
      </w:r>
      <w:r w:rsidR="008848AC">
        <w:rPr>
          <w:rFonts w:ascii="Arial" w:hAnsi="Arial" w:cs="Arial"/>
        </w:rPr>
        <w:t xml:space="preserve">“ </w:t>
      </w:r>
      <w:r w:rsidR="008848AC" w:rsidRPr="00621F2E">
        <w:rPr>
          <w:rFonts w:ascii="Arial" w:hAnsi="Arial" w:cs="Arial"/>
          <w:b/>
          <w:i/>
        </w:rPr>
        <w:t>upozorňuje Jiří Vacek</w:t>
      </w:r>
      <w:r w:rsidR="008848AC">
        <w:rPr>
          <w:rFonts w:ascii="Arial" w:hAnsi="Arial" w:cs="Arial"/>
        </w:rPr>
        <w:t>.</w:t>
      </w:r>
      <w:r w:rsidR="0093363F">
        <w:rPr>
          <w:rFonts w:ascii="Arial" w:hAnsi="Arial" w:cs="Arial"/>
        </w:rPr>
        <w:t xml:space="preserve"> </w:t>
      </w:r>
      <w:r w:rsidR="00CB7534">
        <w:rPr>
          <w:rFonts w:ascii="Arial" w:hAnsi="Arial" w:cs="Arial"/>
        </w:rPr>
        <w:t xml:space="preserve">Vzhledem k </w:t>
      </w:r>
      <w:r w:rsidR="00AC135F">
        <w:rPr>
          <w:rFonts w:ascii="Arial" w:hAnsi="Arial" w:cs="Arial"/>
        </w:rPr>
        <w:t xml:space="preserve">úbytku velkých zakázek </w:t>
      </w:r>
      <w:r w:rsidR="006948A2">
        <w:rPr>
          <w:rFonts w:ascii="Arial" w:hAnsi="Arial" w:cs="Arial"/>
        </w:rPr>
        <w:t xml:space="preserve">však </w:t>
      </w:r>
      <w:r w:rsidR="00AC135F">
        <w:rPr>
          <w:rFonts w:ascii="Arial" w:hAnsi="Arial" w:cs="Arial"/>
        </w:rPr>
        <w:t>došlo k porušení předchozí segmentace trhu, takže nyní o střední a menší zakázk</w:t>
      </w:r>
      <w:r w:rsidR="0093363F">
        <w:rPr>
          <w:rFonts w:ascii="Arial" w:hAnsi="Arial" w:cs="Arial"/>
        </w:rPr>
        <w:t xml:space="preserve">y soutěží </w:t>
      </w:r>
      <w:r w:rsidR="00CB7534">
        <w:rPr>
          <w:rFonts w:ascii="Arial" w:hAnsi="Arial" w:cs="Arial"/>
        </w:rPr>
        <w:t xml:space="preserve">i </w:t>
      </w:r>
      <w:r w:rsidR="0093363F">
        <w:rPr>
          <w:rFonts w:ascii="Arial" w:hAnsi="Arial" w:cs="Arial"/>
        </w:rPr>
        <w:t>velké firmy, pro které</w:t>
      </w:r>
      <w:r w:rsidR="00AC135F">
        <w:rPr>
          <w:rFonts w:ascii="Arial" w:hAnsi="Arial" w:cs="Arial"/>
        </w:rPr>
        <w:t xml:space="preserve"> tento segment dříve </w:t>
      </w:r>
      <w:r w:rsidR="00CB7534">
        <w:rPr>
          <w:rFonts w:ascii="Arial" w:hAnsi="Arial" w:cs="Arial"/>
        </w:rPr>
        <w:t xml:space="preserve">zajímavý </w:t>
      </w:r>
      <w:r w:rsidR="0093363F">
        <w:rPr>
          <w:rFonts w:ascii="Arial" w:hAnsi="Arial" w:cs="Arial"/>
        </w:rPr>
        <w:t>nebyl</w:t>
      </w:r>
      <w:r w:rsidR="00CB7534">
        <w:rPr>
          <w:rFonts w:ascii="Arial" w:hAnsi="Arial" w:cs="Arial"/>
        </w:rPr>
        <w:t>.</w:t>
      </w:r>
      <w:r w:rsidR="0093363F">
        <w:rPr>
          <w:rFonts w:ascii="Arial" w:hAnsi="Arial" w:cs="Arial"/>
        </w:rPr>
        <w:t xml:space="preserve"> To vše </w:t>
      </w:r>
      <w:r w:rsidR="002A1A08">
        <w:rPr>
          <w:rFonts w:ascii="Arial" w:hAnsi="Arial" w:cs="Arial"/>
        </w:rPr>
        <w:t xml:space="preserve">ještě vyostřilo </w:t>
      </w:r>
      <w:r w:rsidR="0093363F">
        <w:rPr>
          <w:rFonts w:ascii="Arial" w:hAnsi="Arial" w:cs="Arial"/>
        </w:rPr>
        <w:t>tvrdou konkurenci o klesající objem zakázek</w:t>
      </w:r>
      <w:r w:rsidR="002A1A08">
        <w:rPr>
          <w:rFonts w:ascii="Arial" w:hAnsi="Arial" w:cs="Arial"/>
        </w:rPr>
        <w:t>.</w:t>
      </w:r>
      <w:r w:rsidR="0093363F">
        <w:rPr>
          <w:rFonts w:ascii="Arial" w:hAnsi="Arial" w:cs="Arial"/>
        </w:rPr>
        <w:t xml:space="preserve"> </w:t>
      </w:r>
      <w:r w:rsidR="00C15191">
        <w:rPr>
          <w:rFonts w:ascii="Arial" w:hAnsi="Arial" w:cs="Arial"/>
        </w:rPr>
        <w:t xml:space="preserve"> Na vyrovnání nabídky stavebních kapacit s poptávkou se tak zatím </w:t>
      </w:r>
      <w:r w:rsidR="002A1A08">
        <w:rPr>
          <w:rFonts w:ascii="Arial" w:hAnsi="Arial" w:cs="Arial"/>
        </w:rPr>
        <w:t xml:space="preserve">stále </w:t>
      </w:r>
      <w:r w:rsidR="00C15191">
        <w:rPr>
          <w:rFonts w:ascii="Arial" w:hAnsi="Arial" w:cs="Arial"/>
        </w:rPr>
        <w:t>čeká.</w:t>
      </w:r>
    </w:p>
    <w:p w:rsidR="00654F84" w:rsidRDefault="00654F84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E7BA9" w:rsidRPr="009E7BA9" w:rsidRDefault="006C2BF1" w:rsidP="009E7BA9">
      <w:pPr>
        <w:spacing w:line="360" w:lineRule="auto"/>
        <w:jc w:val="both"/>
        <w:rPr>
          <w:rFonts w:ascii="Arial" w:hAnsi="Arial" w:cs="Arial"/>
          <w:i/>
        </w:rPr>
      </w:pPr>
      <w:r>
        <w:t>„</w:t>
      </w:r>
      <w:r w:rsidRPr="006C2BF1">
        <w:rPr>
          <w:rFonts w:ascii="Arial" w:hAnsi="Arial" w:cs="Arial"/>
          <w:i/>
        </w:rPr>
        <w:t xml:space="preserve">Přestože statistika za 1. čtvrtletí 2014 vypadá velmi pozitivně, není to dosud důvod k velkému jásotu. K tomuto poněkud rezervovanému názoru mě vedou především dva důvody. Jednak výsledky ovlivnila pro stavebnictví mimořádně klimaticky příznivá zima 2013/2014 a rovněž propad </w:t>
      </w:r>
      <w:r w:rsidR="009E7BA9">
        <w:rPr>
          <w:rFonts w:ascii="Arial" w:hAnsi="Arial" w:cs="Arial"/>
          <w:i/>
        </w:rPr>
        <w:t>o</w:t>
      </w:r>
      <w:r w:rsidRPr="006C2BF1">
        <w:rPr>
          <w:rFonts w:ascii="Arial" w:hAnsi="Arial" w:cs="Arial"/>
          <w:i/>
        </w:rPr>
        <w:t xml:space="preserve">proti výsledkům roku 2008 je </w:t>
      </w:r>
      <w:r w:rsidR="009E7BA9">
        <w:rPr>
          <w:rFonts w:ascii="Arial" w:hAnsi="Arial" w:cs="Arial"/>
          <w:i/>
        </w:rPr>
        <w:t xml:space="preserve">stále </w:t>
      </w:r>
      <w:r w:rsidR="004B3A19">
        <w:rPr>
          <w:rFonts w:ascii="Arial" w:hAnsi="Arial" w:cs="Arial"/>
          <w:i/>
        </w:rPr>
        <w:t>velice výrazný</w:t>
      </w:r>
      <w:r w:rsidRPr="006C2BF1">
        <w:rPr>
          <w:rFonts w:ascii="Arial" w:hAnsi="Arial" w:cs="Arial"/>
          <w:i/>
        </w:rPr>
        <w:t>. Když použiji zjednodušený příměr, jsme v situaci tonoucího plavce, který se sice již odrazil metr ode dna, ale k hladině mu pořád ještě scházejí metry dva</w:t>
      </w:r>
      <w:r w:rsidR="002A1A08">
        <w:rPr>
          <w:rFonts w:ascii="Arial" w:hAnsi="Arial" w:cs="Arial"/>
          <w:i/>
        </w:rPr>
        <w:t>,</w:t>
      </w:r>
      <w:r w:rsidRPr="006C2BF1">
        <w:rPr>
          <w:rFonts w:ascii="Arial" w:hAnsi="Arial" w:cs="Arial"/>
          <w:i/>
        </w:rPr>
        <w:t xml:space="preserve">“ </w:t>
      </w:r>
      <w:r w:rsidRPr="00621F2E">
        <w:rPr>
          <w:rFonts w:ascii="Arial" w:hAnsi="Arial" w:cs="Arial"/>
        </w:rPr>
        <w:t>vysvětluje</w:t>
      </w:r>
      <w:r w:rsidRPr="006C2BF1">
        <w:rPr>
          <w:rFonts w:ascii="Arial" w:hAnsi="Arial" w:cs="Arial"/>
          <w:i/>
        </w:rPr>
        <w:t xml:space="preserve"> </w:t>
      </w:r>
      <w:r w:rsidRPr="009E7BA9">
        <w:rPr>
          <w:rFonts w:ascii="Arial" w:hAnsi="Arial" w:cs="Arial"/>
          <w:b/>
          <w:i/>
        </w:rPr>
        <w:t>Jiří Koliba, náměstek ministra průmyslu a obchodu pro stavebnictví.</w:t>
      </w:r>
      <w:r w:rsidR="009E7BA9">
        <w:rPr>
          <w:rFonts w:ascii="Arial" w:hAnsi="Arial" w:cs="Arial"/>
          <w:b/>
          <w:i/>
        </w:rPr>
        <w:t xml:space="preserve"> </w:t>
      </w:r>
      <w:r w:rsidR="009E7BA9" w:rsidRPr="009E7BA9">
        <w:rPr>
          <w:rFonts w:ascii="Arial" w:hAnsi="Arial" w:cs="Arial"/>
        </w:rPr>
        <w:t xml:space="preserve">Pomoci </w:t>
      </w:r>
      <w:r w:rsidR="002A1A08">
        <w:rPr>
          <w:rFonts w:ascii="Arial" w:hAnsi="Arial" w:cs="Arial"/>
        </w:rPr>
        <w:t xml:space="preserve">by tomuto </w:t>
      </w:r>
      <w:r w:rsidR="009E7BA9" w:rsidRPr="009E7BA9">
        <w:rPr>
          <w:rFonts w:ascii="Arial" w:hAnsi="Arial" w:cs="Arial"/>
        </w:rPr>
        <w:t xml:space="preserve">sektoru </w:t>
      </w:r>
      <w:r w:rsidR="009E7BA9">
        <w:rPr>
          <w:rFonts w:ascii="Arial" w:hAnsi="Arial" w:cs="Arial"/>
        </w:rPr>
        <w:t xml:space="preserve">mohly podle </w:t>
      </w:r>
      <w:r w:rsidR="009E7BA9" w:rsidRPr="00621F2E">
        <w:rPr>
          <w:rFonts w:ascii="Arial" w:hAnsi="Arial" w:cs="Arial"/>
          <w:b/>
          <w:i/>
        </w:rPr>
        <w:t>ekonoma Lukáše Štěpánka z ANO</w:t>
      </w:r>
      <w:r w:rsidR="009E7BA9">
        <w:rPr>
          <w:rFonts w:ascii="Arial" w:hAnsi="Arial" w:cs="Arial"/>
        </w:rPr>
        <w:t xml:space="preserve"> zakázky spolufinancované z</w:t>
      </w:r>
      <w:r w:rsidR="00621F2E">
        <w:rPr>
          <w:rFonts w:ascii="Arial" w:hAnsi="Arial" w:cs="Arial"/>
        </w:rPr>
        <w:t> EU</w:t>
      </w:r>
      <w:bookmarkStart w:id="0" w:name="_GoBack"/>
      <w:bookmarkEnd w:id="0"/>
      <w:r w:rsidR="00621F2E">
        <w:rPr>
          <w:rFonts w:ascii="Arial" w:hAnsi="Arial" w:cs="Arial"/>
        </w:rPr>
        <w:t>:</w:t>
      </w:r>
      <w:r w:rsidR="009E7BA9">
        <w:rPr>
          <w:rFonts w:ascii="Arial" w:hAnsi="Arial" w:cs="Arial"/>
          <w:b/>
          <w:i/>
        </w:rPr>
        <w:t xml:space="preserve"> </w:t>
      </w:r>
      <w:r w:rsidR="009E7BA9" w:rsidRPr="009E7BA9">
        <w:rPr>
          <w:rFonts w:ascii="Arial" w:hAnsi="Arial" w:cs="Arial"/>
          <w:i/>
        </w:rPr>
        <w:t>„Nárůst stavebních zakázek by mohl v budoucnu přicházet z EU, například maximálním využíváním prostředků z nástroje CEF (</w:t>
      </w:r>
      <w:proofErr w:type="spellStart"/>
      <w:r w:rsidR="009E7BA9" w:rsidRPr="009E7BA9">
        <w:rPr>
          <w:rFonts w:ascii="Arial" w:hAnsi="Arial" w:cs="Arial"/>
          <w:i/>
        </w:rPr>
        <w:t>Connecting</w:t>
      </w:r>
      <w:proofErr w:type="spellEnd"/>
      <w:r w:rsidR="009E7BA9" w:rsidRPr="009E7BA9">
        <w:rPr>
          <w:rFonts w:ascii="Arial" w:hAnsi="Arial" w:cs="Arial"/>
          <w:i/>
        </w:rPr>
        <w:t xml:space="preserve"> </w:t>
      </w:r>
      <w:proofErr w:type="spellStart"/>
      <w:r w:rsidR="009E7BA9" w:rsidRPr="009E7BA9">
        <w:rPr>
          <w:rFonts w:ascii="Arial" w:hAnsi="Arial" w:cs="Arial"/>
          <w:i/>
        </w:rPr>
        <w:t>Europe</w:t>
      </w:r>
      <w:proofErr w:type="spellEnd"/>
      <w:r w:rsidR="009E7BA9" w:rsidRPr="009E7BA9">
        <w:rPr>
          <w:rFonts w:ascii="Arial" w:hAnsi="Arial" w:cs="Arial"/>
          <w:i/>
        </w:rPr>
        <w:t xml:space="preserve"> </w:t>
      </w:r>
      <w:proofErr w:type="spellStart"/>
      <w:r w:rsidR="009E7BA9" w:rsidRPr="009E7BA9">
        <w:rPr>
          <w:rFonts w:ascii="Arial" w:hAnsi="Arial" w:cs="Arial"/>
          <w:i/>
        </w:rPr>
        <w:t>Facility</w:t>
      </w:r>
      <w:proofErr w:type="spellEnd"/>
      <w:r w:rsidR="009E7BA9" w:rsidRPr="009E7BA9">
        <w:rPr>
          <w:rFonts w:ascii="Arial" w:hAnsi="Arial" w:cs="Arial"/>
          <w:i/>
        </w:rPr>
        <w:t>) na dva transevropské koridory protínající ČR.</w:t>
      </w:r>
      <w:r w:rsidR="002A1A08">
        <w:rPr>
          <w:rFonts w:ascii="Arial" w:hAnsi="Arial" w:cs="Arial"/>
          <w:i/>
        </w:rPr>
        <w:t>“</w:t>
      </w:r>
    </w:p>
    <w:p w:rsidR="006C2BF1" w:rsidRPr="009605F2" w:rsidRDefault="006C2BF1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C36D5" w:rsidRPr="00575953" w:rsidRDefault="007F30CE" w:rsidP="009605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</w:t>
      </w:r>
      <w:r w:rsidR="006948A2">
        <w:rPr>
          <w:rFonts w:ascii="Arial" w:hAnsi="Arial" w:cs="Arial"/>
        </w:rPr>
        <w:t xml:space="preserve">dále </w:t>
      </w:r>
      <w:r w:rsidR="002A1A08">
        <w:rPr>
          <w:rFonts w:ascii="Arial" w:hAnsi="Arial" w:cs="Arial"/>
        </w:rPr>
        <w:t xml:space="preserve">čeká </w:t>
      </w:r>
      <w:r>
        <w:rPr>
          <w:rFonts w:ascii="Arial" w:hAnsi="Arial" w:cs="Arial"/>
        </w:rPr>
        <w:t xml:space="preserve">české stavebnictví a jaké klíčové kroky pro jeho další směřování se připravují, budou s více než 450 řediteli stavebních firem diskutovat na Setkání lídrů českého </w:t>
      </w:r>
      <w:r>
        <w:rPr>
          <w:rFonts w:ascii="Arial" w:hAnsi="Arial" w:cs="Arial"/>
        </w:rPr>
        <w:lastRenderedPageBreak/>
        <w:t xml:space="preserve">stavebnictví 2014 prezident České republiky </w:t>
      </w:r>
      <w:r w:rsidR="00AC36D5">
        <w:rPr>
          <w:rFonts w:ascii="Arial" w:hAnsi="Arial" w:cs="Arial"/>
        </w:rPr>
        <w:t>Miloš Zeman</w:t>
      </w:r>
      <w:r>
        <w:rPr>
          <w:rFonts w:ascii="Arial" w:hAnsi="Arial" w:cs="Arial"/>
        </w:rPr>
        <w:t xml:space="preserve">, předseda Vlády ČR Bohuslav Sobotka, ministryně pro místní rozvoj Věra Jourová, ministr dopravy Antonín Prachař a ministr průmyslu a obchodu Jan Mládek. Více na </w:t>
      </w:r>
      <w:hyperlink r:id="rId11" w:history="1">
        <w:r w:rsidR="00AC36D5" w:rsidRPr="00AC36D5">
          <w:rPr>
            <w:rStyle w:val="Hypertextovodkaz"/>
            <w:rFonts w:ascii="Arial" w:hAnsi="Arial" w:cs="Arial"/>
          </w:rPr>
          <w:t>www.ceec.eu</w:t>
        </w:r>
      </w:hyperlink>
    </w:p>
    <w:p w:rsidR="001E347E" w:rsidRDefault="001E347E" w:rsidP="00590514">
      <w:pPr>
        <w:spacing w:line="360" w:lineRule="auto"/>
        <w:rPr>
          <w:rFonts w:ascii="Arial" w:hAnsi="Arial" w:cs="Arial"/>
          <w:i/>
          <w:lang w:val="sk-SK"/>
        </w:rPr>
      </w:pPr>
    </w:p>
    <w:p w:rsidR="003A101E" w:rsidRDefault="00F5658C" w:rsidP="003A101E">
      <w:pPr>
        <w:spacing w:after="0" w:line="24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Kontakt </w:t>
      </w:r>
      <w:proofErr w:type="spellStart"/>
      <w:r>
        <w:rPr>
          <w:rFonts w:ascii="Arial" w:hAnsi="Arial" w:cs="Arial"/>
          <w:b/>
          <w:lang w:val="sk-SK"/>
        </w:rPr>
        <w:t>pro</w:t>
      </w:r>
      <w:proofErr w:type="spellEnd"/>
      <w:r>
        <w:rPr>
          <w:rFonts w:ascii="Arial" w:hAnsi="Arial" w:cs="Arial"/>
          <w:b/>
          <w:lang w:val="sk-SK"/>
        </w:rPr>
        <w:t xml:space="preserve"> média:</w:t>
      </w:r>
    </w:p>
    <w:p w:rsidR="00F5658C" w:rsidRDefault="00F5658C" w:rsidP="003A101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A101E">
        <w:rPr>
          <w:rFonts w:ascii="Arial" w:hAnsi="Arial" w:cs="Arial"/>
          <w:b/>
          <w:sz w:val="8"/>
          <w:szCs w:val="8"/>
          <w:lang w:val="sk-SK"/>
        </w:rPr>
        <w:br/>
      </w:r>
      <w:r>
        <w:rPr>
          <w:rFonts w:ascii="Arial" w:hAnsi="Arial" w:cs="Arial"/>
          <w:lang w:val="sk-SK"/>
        </w:rPr>
        <w:t xml:space="preserve">Alena </w:t>
      </w:r>
      <w:proofErr w:type="spellStart"/>
      <w:r>
        <w:rPr>
          <w:rFonts w:ascii="Arial" w:hAnsi="Arial" w:cs="Arial"/>
          <w:lang w:val="sk-SK"/>
        </w:rPr>
        <w:t>Setničková</w:t>
      </w:r>
      <w:proofErr w:type="spellEnd"/>
      <w:r>
        <w:rPr>
          <w:rFonts w:ascii="Arial" w:hAnsi="Arial" w:cs="Arial"/>
          <w:lang w:val="sk-SK"/>
        </w:rPr>
        <w:br/>
        <w:t xml:space="preserve">PR &amp; </w:t>
      </w:r>
      <w:proofErr w:type="spellStart"/>
      <w:r>
        <w:rPr>
          <w:rFonts w:ascii="Arial" w:hAnsi="Arial" w:cs="Arial"/>
          <w:lang w:val="sk-SK"/>
        </w:rPr>
        <w:t>Communication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Director</w:t>
      </w:r>
      <w:proofErr w:type="spellEnd"/>
      <w:r>
        <w:rPr>
          <w:rFonts w:ascii="Arial" w:hAnsi="Arial" w:cs="Arial"/>
          <w:lang w:val="sk-SK"/>
        </w:rPr>
        <w:br/>
        <w:t>CEEC Research</w:t>
      </w:r>
      <w:r>
        <w:rPr>
          <w:rFonts w:ascii="Arial" w:hAnsi="Arial" w:cs="Arial"/>
          <w:lang w:val="sk-SK"/>
        </w:rPr>
        <w:br/>
        <w:t xml:space="preserve">E-mail: </w:t>
      </w:r>
      <w:proofErr w:type="spellStart"/>
      <w:r>
        <w:rPr>
          <w:rFonts w:ascii="Arial" w:hAnsi="Arial" w:cs="Arial"/>
          <w:lang w:val="sk-SK"/>
        </w:rPr>
        <w:t>setnickova@ceec.eu</w:t>
      </w:r>
      <w:proofErr w:type="spellEnd"/>
      <w:r>
        <w:rPr>
          <w:rFonts w:ascii="Arial" w:hAnsi="Arial" w:cs="Arial"/>
          <w:lang w:val="sk-SK"/>
        </w:rPr>
        <w:br/>
        <w:t>Tel.: +420 777 299 790</w:t>
      </w:r>
    </w:p>
    <w:p w:rsidR="00F5658C" w:rsidRDefault="00F5658C" w:rsidP="0059051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5658C" w:rsidRDefault="00F5658C" w:rsidP="00590514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Kvartální</w:t>
      </w:r>
      <w:r w:rsidR="003A101E">
        <w:rPr>
          <w:rFonts w:ascii="Arial" w:hAnsi="Arial" w:cs="Arial"/>
          <w:b/>
          <w:sz w:val="18"/>
          <w:szCs w:val="18"/>
        </w:rPr>
        <w:t xml:space="preserve"> analýza českého stavebnictví Q2</w:t>
      </w:r>
      <w:r>
        <w:rPr>
          <w:rFonts w:ascii="Arial" w:hAnsi="Arial" w:cs="Arial"/>
          <w:b/>
          <w:sz w:val="18"/>
          <w:szCs w:val="18"/>
        </w:rPr>
        <w:t xml:space="preserve">/2014 </w:t>
      </w:r>
      <w:r>
        <w:rPr>
          <w:rStyle w:val="hps"/>
          <w:rFonts w:ascii="Arial" w:hAnsi="Arial" w:cs="Arial"/>
          <w:sz w:val="18"/>
          <w:szCs w:val="18"/>
        </w:rPr>
        <w:t xml:space="preserve">je založena na strukturovaných osobních a telefonických rozhovorech s vybraným vzorkem 100 stavebních společností, 100 projektových společností a </w:t>
      </w:r>
      <w:r w:rsidR="007F30CE">
        <w:rPr>
          <w:rStyle w:val="hps"/>
          <w:rFonts w:ascii="Arial" w:hAnsi="Arial" w:cs="Arial"/>
          <w:sz w:val="18"/>
          <w:szCs w:val="18"/>
        </w:rPr>
        <w:t>více ne</w:t>
      </w:r>
      <w:r w:rsidR="00C15191">
        <w:rPr>
          <w:rStyle w:val="hps"/>
          <w:rFonts w:ascii="Arial" w:hAnsi="Arial" w:cs="Arial"/>
          <w:sz w:val="18"/>
          <w:szCs w:val="18"/>
        </w:rPr>
        <w:t>ž</w:t>
      </w:r>
      <w:r w:rsidR="007F30CE">
        <w:rPr>
          <w:rStyle w:val="hps"/>
          <w:rFonts w:ascii="Arial" w:hAnsi="Arial" w:cs="Arial"/>
          <w:sz w:val="18"/>
          <w:szCs w:val="18"/>
        </w:rPr>
        <w:t xml:space="preserve"> 20 </w:t>
      </w:r>
      <w:r>
        <w:rPr>
          <w:rStyle w:val="hps"/>
          <w:rFonts w:ascii="Arial" w:hAnsi="Arial" w:cs="Arial"/>
          <w:sz w:val="18"/>
          <w:szCs w:val="18"/>
        </w:rPr>
        <w:t>význa</w:t>
      </w:r>
      <w:r w:rsidR="007F30CE">
        <w:rPr>
          <w:rStyle w:val="hps"/>
          <w:rFonts w:ascii="Arial" w:hAnsi="Arial" w:cs="Arial"/>
          <w:sz w:val="18"/>
          <w:szCs w:val="18"/>
        </w:rPr>
        <w:t>mných developerských společnostech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 xml:space="preserve">Rozhovory proběhly v průběhu </w:t>
      </w:r>
      <w:r w:rsidR="003A101E">
        <w:rPr>
          <w:rStyle w:val="hps"/>
          <w:rFonts w:ascii="Arial" w:hAnsi="Arial" w:cs="Arial"/>
          <w:sz w:val="18"/>
          <w:szCs w:val="18"/>
        </w:rPr>
        <w:t>dubna</w:t>
      </w:r>
      <w:r w:rsidR="007F30CE">
        <w:rPr>
          <w:rStyle w:val="hps"/>
          <w:rFonts w:ascii="Arial" w:hAnsi="Arial" w:cs="Arial"/>
          <w:sz w:val="18"/>
          <w:szCs w:val="18"/>
        </w:rPr>
        <w:t xml:space="preserve"> a května</w:t>
      </w:r>
      <w:r>
        <w:rPr>
          <w:rStyle w:val="hps"/>
          <w:rFonts w:ascii="Arial" w:hAnsi="Arial" w:cs="Arial"/>
          <w:sz w:val="18"/>
          <w:szCs w:val="18"/>
        </w:rPr>
        <w:t xml:space="preserve"> 2014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Kromě standardní analýzy nabízí tento výzkum rovněž detailní informace o postojích hlavních segmentů stavebnictví podle dvojrozměrné segmentace vzorku (</w:t>
      </w:r>
      <w:r>
        <w:rPr>
          <w:rFonts w:ascii="Arial" w:hAnsi="Arial" w:cs="Arial"/>
          <w:sz w:val="18"/>
          <w:szCs w:val="18"/>
        </w:rPr>
        <w:t xml:space="preserve">tj. z </w:t>
      </w:r>
      <w:r>
        <w:rPr>
          <w:rStyle w:val="hps"/>
          <w:rFonts w:ascii="Arial" w:hAnsi="Arial" w:cs="Arial"/>
          <w:sz w:val="18"/>
          <w:szCs w:val="18"/>
        </w:rPr>
        <w:t>hlediska velikosti stavebních společností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Style w:val="hps"/>
          <w:rFonts w:ascii="Arial" w:hAnsi="Arial" w:cs="Arial"/>
          <w:sz w:val="18"/>
          <w:szCs w:val="18"/>
        </w:rPr>
        <w:t>jakož i stavebního zaměření účastníků)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Segmenty jsou rozděleny na velké a střední/malé společnosti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Z druhého pohledu pak na segmenty zabývající se pozemním nebo inženýrským stavitelstvím</w:t>
      </w:r>
      <w:r>
        <w:rPr>
          <w:rFonts w:ascii="Arial" w:hAnsi="Arial" w:cs="Arial"/>
          <w:sz w:val="18"/>
          <w:szCs w:val="18"/>
        </w:rPr>
        <w:t>.</w:t>
      </w:r>
    </w:p>
    <w:p w:rsidR="00F5658C" w:rsidRDefault="00F5658C" w:rsidP="005905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CEEC Research</w:t>
      </w:r>
      <w:r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 v zemích střední a východní Evropy. Byla založena v roce 2005 a od té doby bezplatně poskytuje studie o aktuálním stavu a očekávaném vývoji stavebnictví v deseti zemích střední a východní Evropy. Všechny studie a analýzy CEEC Research jsou založeny výhradně na údajích získaných z pravidelných strukturovaných interview s klíčovými představiteli vybraných největších, středních i malých stavebních společností. </w:t>
      </w:r>
    </w:p>
    <w:p w:rsidR="00F5658C" w:rsidRDefault="00F5658C" w:rsidP="005905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CEEC Research navíc k pravidelným a bezplatným analýzám stavebnictví také organizuje Setkání lídrů českého stavebnictví, kterých se účastní generální ředitelé nejvýznamnějších stavebních, developerských a projektových společností, prezidenti svazů, cechů a komor z oblasti stavebnictví a rovněž i ministři a nejvyšší představitelé státu vybraných zemí.</w:t>
      </w:r>
    </w:p>
    <w:p w:rsidR="00F5658C" w:rsidRPr="00CC2D2F" w:rsidRDefault="00F5658C" w:rsidP="003A101E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61C5">
        <w:rPr>
          <w:rFonts w:ascii="Arial" w:hAnsi="Arial" w:cs="Arial"/>
          <w:b/>
          <w:i/>
          <w:sz w:val="16"/>
          <w:szCs w:val="16"/>
        </w:rPr>
        <w:t xml:space="preserve">Společnost </w:t>
      </w:r>
      <w:hyperlink r:id="rId12" w:history="1">
        <w:r w:rsidRPr="007D61C5">
          <w:rPr>
            <w:rStyle w:val="Hypertextovodkaz"/>
            <w:rFonts w:ascii="Arial" w:hAnsi="Arial" w:cs="Arial"/>
            <w:b/>
            <w:i/>
            <w:color w:val="auto"/>
            <w:sz w:val="16"/>
            <w:szCs w:val="16"/>
            <w:u w:val="none"/>
          </w:rPr>
          <w:t>KPMG Česká republika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 </w:t>
      </w:r>
      <w:r w:rsidRPr="00CC2D2F">
        <w:rPr>
          <w:rFonts w:ascii="Arial" w:hAnsi="Arial" w:cs="Arial"/>
          <w:i/>
          <w:color w:val="000000"/>
          <w:sz w:val="16"/>
          <w:szCs w:val="16"/>
        </w:rPr>
        <w:t xml:space="preserve">zahájila svou činnost v roce 1990, kdy byla v Praze otevřena první kancelář. V současné době má 760 zaměstnanců a kanceláře v Praze, Brně, Českých Budějovicích a Ostravě. KPMG Česká republika poskytuje služby </w:t>
      </w:r>
      <w:r w:rsidRPr="007D61C5">
        <w:rPr>
          <w:rFonts w:ascii="Arial" w:hAnsi="Arial" w:cs="Arial"/>
          <w:i/>
          <w:sz w:val="16"/>
          <w:szCs w:val="16"/>
        </w:rPr>
        <w:t xml:space="preserve">v oblasti </w:t>
      </w:r>
      <w:hyperlink r:id="rId13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auditu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, </w:t>
      </w:r>
      <w:hyperlink r:id="rId14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daní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, </w:t>
      </w:r>
      <w:hyperlink r:id="rId15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poradenství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 a </w:t>
      </w:r>
      <w:hyperlink r:id="rId16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práva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. </w:t>
      </w:r>
      <w:r w:rsidRPr="00CC2D2F">
        <w:rPr>
          <w:rFonts w:ascii="Arial" w:hAnsi="Arial" w:cs="Arial"/>
          <w:i/>
          <w:color w:val="000000"/>
          <w:sz w:val="16"/>
          <w:szCs w:val="16"/>
        </w:rPr>
        <w:t>Z 625 odborných pracovníků je 28 partnerů, 28 statutárních auditorů, 106 certifikovaných účetních a 67 daňových poradců. V KPMG Česká republika působí celkem 22 kvalifikovaných zahraničních odborníků.</w:t>
      </w:r>
    </w:p>
    <w:p w:rsidR="00F5658C" w:rsidRPr="00091C72" w:rsidRDefault="00B46C0E" w:rsidP="003A101E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hyperlink r:id="rId17" w:history="1">
        <w:r w:rsidR="00F5658C" w:rsidRPr="007D61C5">
          <w:rPr>
            <w:rStyle w:val="Hypertextovodkaz"/>
            <w:rFonts w:ascii="Arial" w:hAnsi="Arial" w:cs="Arial"/>
            <w:b/>
            <w:i/>
            <w:color w:val="auto"/>
            <w:sz w:val="16"/>
            <w:szCs w:val="16"/>
            <w:u w:val="none"/>
          </w:rPr>
          <w:t>KPMG</w:t>
        </w:r>
      </w:hyperlink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je celosvětová síť poradenských společností poskytujících služby v oblasti auditu, daní a poradenství. V jejích členských společnostech pracuje více než 155 000 pracovníků </w:t>
      </w:r>
      <w:proofErr w:type="gramStart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>ve 155</w:t>
      </w:r>
      <w:proofErr w:type="gramEnd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zemích. Nezávislé členské společnosti sítě KPMG jsou přidružené ke KPMG International </w:t>
      </w:r>
      <w:proofErr w:type="spellStart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>Cooperative</w:t>
      </w:r>
      <w:proofErr w:type="spellEnd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(„KPMG International“), švýcarské organizační jednotce. Každá členská společnost celosvětové sítě KPMG je právně samostatná a oddělená jednotka a tak se označuje.</w:t>
      </w:r>
    </w:p>
    <w:sectPr w:rsidR="00F5658C" w:rsidRPr="00091C72" w:rsidSect="00F5658C">
      <w:type w:val="continuous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0E" w:rsidRDefault="00B46C0E" w:rsidP="00F5658C">
      <w:pPr>
        <w:spacing w:after="0" w:line="240" w:lineRule="auto"/>
      </w:pPr>
      <w:r>
        <w:separator/>
      </w:r>
    </w:p>
  </w:endnote>
  <w:endnote w:type="continuationSeparator" w:id="0">
    <w:p w:rsidR="00B46C0E" w:rsidRDefault="00B46C0E" w:rsidP="00F5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0E" w:rsidRDefault="00B46C0E" w:rsidP="00F5658C">
      <w:pPr>
        <w:spacing w:after="0" w:line="240" w:lineRule="auto"/>
      </w:pPr>
      <w:r>
        <w:separator/>
      </w:r>
    </w:p>
  </w:footnote>
  <w:footnote w:type="continuationSeparator" w:id="0">
    <w:p w:rsidR="00B46C0E" w:rsidRDefault="00B46C0E" w:rsidP="00F5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7" w:rsidRDefault="001F5517">
    <w:pPr>
      <w:pStyle w:val="Zhlav"/>
    </w:pPr>
  </w:p>
  <w:p w:rsidR="001F5517" w:rsidRDefault="001F5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7" w:rsidRDefault="0095120C" w:rsidP="00F5658C">
    <w:pPr>
      <w:pStyle w:val="Zhlav"/>
      <w:tabs>
        <w:tab w:val="clear" w:pos="4536"/>
        <w:tab w:val="clear" w:pos="9072"/>
        <w:tab w:val="left" w:pos="3585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664504D" wp14:editId="31698798">
          <wp:simplePos x="0" y="0"/>
          <wp:positionH relativeFrom="column">
            <wp:posOffset>4211320</wp:posOffset>
          </wp:positionH>
          <wp:positionV relativeFrom="paragraph">
            <wp:posOffset>-20320</wp:posOffset>
          </wp:positionV>
          <wp:extent cx="1682115" cy="956945"/>
          <wp:effectExtent l="0" t="0" r="0" b="0"/>
          <wp:wrapNone/>
          <wp:docPr id="2" name="Picture 3" descr="Popis: KPMG_Plus_Strap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is: KPMG_Plus_Strap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C5D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883A218" wp14:editId="2CEE3E53">
              <wp:simplePos x="0" y="0"/>
              <wp:positionH relativeFrom="column">
                <wp:posOffset>4267200</wp:posOffset>
              </wp:positionH>
              <wp:positionV relativeFrom="paragraph">
                <wp:posOffset>936625</wp:posOffset>
              </wp:positionV>
              <wp:extent cx="1626235" cy="337820"/>
              <wp:effectExtent l="0" t="0" r="0" b="5080"/>
              <wp:wrapNone/>
              <wp:docPr id="9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517" w:rsidRPr="008B4B41" w:rsidRDefault="001F5517" w:rsidP="008B4B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36pt;margin-top:73.75pt;width:128.05pt;height:26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" stroked="f">
              <v:textbox inset="0,0,0,0">
                <w:txbxContent>
                  <w:p w:rsidR="001F5517" w:rsidRPr="008B4B41" w:rsidRDefault="001F5517" w:rsidP="008B4B41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AD9B431" wp14:editId="1CE2A4ED">
          <wp:extent cx="1276350" cy="8286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517"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000"/>
    <w:multiLevelType w:val="hybridMultilevel"/>
    <w:tmpl w:val="6670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C"/>
    <w:rsid w:val="00004D6D"/>
    <w:rsid w:val="0003382C"/>
    <w:rsid w:val="000452A1"/>
    <w:rsid w:val="00075A0E"/>
    <w:rsid w:val="00092AEA"/>
    <w:rsid w:val="000A05C8"/>
    <w:rsid w:val="000A270B"/>
    <w:rsid w:val="000B4D1F"/>
    <w:rsid w:val="00130EF1"/>
    <w:rsid w:val="001A2925"/>
    <w:rsid w:val="001A398B"/>
    <w:rsid w:val="001D46B0"/>
    <w:rsid w:val="001E0416"/>
    <w:rsid w:val="001E347E"/>
    <w:rsid w:val="001F5517"/>
    <w:rsid w:val="001F7E73"/>
    <w:rsid w:val="00230B2C"/>
    <w:rsid w:val="002A0142"/>
    <w:rsid w:val="002A1A08"/>
    <w:rsid w:val="002D7B8F"/>
    <w:rsid w:val="00350561"/>
    <w:rsid w:val="0036311B"/>
    <w:rsid w:val="003965C0"/>
    <w:rsid w:val="003A101E"/>
    <w:rsid w:val="003A191E"/>
    <w:rsid w:val="003D1BCE"/>
    <w:rsid w:val="00486A0F"/>
    <w:rsid w:val="00487995"/>
    <w:rsid w:val="004B139D"/>
    <w:rsid w:val="004B3A19"/>
    <w:rsid w:val="004F1FB9"/>
    <w:rsid w:val="00552657"/>
    <w:rsid w:val="005540DD"/>
    <w:rsid w:val="00575953"/>
    <w:rsid w:val="00590514"/>
    <w:rsid w:val="005B5D16"/>
    <w:rsid w:val="005C5575"/>
    <w:rsid w:val="00621F2E"/>
    <w:rsid w:val="00625276"/>
    <w:rsid w:val="0064187D"/>
    <w:rsid w:val="00654F84"/>
    <w:rsid w:val="00663759"/>
    <w:rsid w:val="00667DC0"/>
    <w:rsid w:val="006948A2"/>
    <w:rsid w:val="006A0200"/>
    <w:rsid w:val="006A3573"/>
    <w:rsid w:val="006A69C6"/>
    <w:rsid w:val="006A6D90"/>
    <w:rsid w:val="006C2BF1"/>
    <w:rsid w:val="00706F58"/>
    <w:rsid w:val="007960FD"/>
    <w:rsid w:val="007F30CE"/>
    <w:rsid w:val="00806B42"/>
    <w:rsid w:val="008848AC"/>
    <w:rsid w:val="0089425C"/>
    <w:rsid w:val="0089677B"/>
    <w:rsid w:val="008B4B41"/>
    <w:rsid w:val="008E11D1"/>
    <w:rsid w:val="009064E2"/>
    <w:rsid w:val="0093363F"/>
    <w:rsid w:val="009361D5"/>
    <w:rsid w:val="00946F28"/>
    <w:rsid w:val="0095120C"/>
    <w:rsid w:val="009605F2"/>
    <w:rsid w:val="0098357E"/>
    <w:rsid w:val="009D7D1C"/>
    <w:rsid w:val="009E7BA9"/>
    <w:rsid w:val="00A20EFA"/>
    <w:rsid w:val="00A71BD0"/>
    <w:rsid w:val="00A750BA"/>
    <w:rsid w:val="00A86F08"/>
    <w:rsid w:val="00AC135F"/>
    <w:rsid w:val="00AC36D5"/>
    <w:rsid w:val="00AD1E74"/>
    <w:rsid w:val="00B16629"/>
    <w:rsid w:val="00B34659"/>
    <w:rsid w:val="00B46C0E"/>
    <w:rsid w:val="00B76E15"/>
    <w:rsid w:val="00B77C5D"/>
    <w:rsid w:val="00BA3188"/>
    <w:rsid w:val="00BC393A"/>
    <w:rsid w:val="00BC6258"/>
    <w:rsid w:val="00BE11A0"/>
    <w:rsid w:val="00BF4ED2"/>
    <w:rsid w:val="00C15191"/>
    <w:rsid w:val="00C252A8"/>
    <w:rsid w:val="00CB7534"/>
    <w:rsid w:val="00CC35CA"/>
    <w:rsid w:val="00D26D45"/>
    <w:rsid w:val="00D436A4"/>
    <w:rsid w:val="00D7763F"/>
    <w:rsid w:val="00D811CD"/>
    <w:rsid w:val="00D92D84"/>
    <w:rsid w:val="00DD3D38"/>
    <w:rsid w:val="00DD4F69"/>
    <w:rsid w:val="00DE4759"/>
    <w:rsid w:val="00E14F80"/>
    <w:rsid w:val="00E33240"/>
    <w:rsid w:val="00EA0F79"/>
    <w:rsid w:val="00F5658C"/>
    <w:rsid w:val="00FA5CD5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tandardnpsmoodstavce10">
    <w:name w:val="Standardní písmo odstavce1"/>
  </w:style>
  <w:style w:type="character" w:customStyle="1" w:styleId="hps">
    <w:name w:val="hps"/>
    <w:basedOn w:val="Standardnpsmoodstavce1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58C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540DD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40DD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C2BF1"/>
    <w:pPr>
      <w:suppressAutoHyphens w:val="0"/>
      <w:overflowPunct w:val="0"/>
      <w:autoSpaceDE w:val="0"/>
      <w:autoSpaceDN w:val="0"/>
      <w:adjustRightInd w:val="0"/>
      <w:spacing w:after="160" w:line="340" w:lineRule="exact"/>
      <w:ind w:left="720"/>
      <w:contextualSpacing/>
    </w:pPr>
    <w:rPr>
      <w:rFonts w:asciiTheme="minorHAnsi" w:eastAsia="Times New Roman" w:hAnsiTheme="minorHAnsi" w:cs="Times New Roman"/>
      <w:kern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tandardnpsmoodstavce10">
    <w:name w:val="Standardní písmo odstavce1"/>
  </w:style>
  <w:style w:type="character" w:customStyle="1" w:styleId="hps">
    <w:name w:val="hps"/>
    <w:basedOn w:val="Standardnpsmoodstavce1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58C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540DD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40DD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C2BF1"/>
    <w:pPr>
      <w:suppressAutoHyphens w:val="0"/>
      <w:overflowPunct w:val="0"/>
      <w:autoSpaceDE w:val="0"/>
      <w:autoSpaceDN w:val="0"/>
      <w:adjustRightInd w:val="0"/>
      <w:spacing w:after="160" w:line="340" w:lineRule="exact"/>
      <w:ind w:left="720"/>
      <w:contextualSpacing/>
    </w:pPr>
    <w:rPr>
      <w:rFonts w:asciiTheme="minorHAnsi" w:eastAsia="Times New Roman" w:hAnsiTheme="minorHAnsi" w:cs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g.com/cz/cs/services/audit/Stranky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pmg.com/CZ/cs/Stranky/default.aspx" TargetMode="External"/><Relationship Id="rId17" Type="http://schemas.openxmlformats.org/officeDocument/2006/relationships/hyperlink" Target="http://kpmg.com/global/en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pmg.com/CZ/cs/services/Tax/Legal-Services/Stranky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EEC\AppData\Local\Microsoft\Windows\Temporary%20Internet%20Files\Content.Outlook\MJJ9GUPW\www.ceec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pmg.com/CZ/cs/services/Advisory/Stranky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pmg.com/CZ/cs/services/Tax/Stranky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07CE-9E88-452E-B7F0-74176C6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Links>
    <vt:vector size="42" baseType="variant">
      <vt:variant>
        <vt:i4>852046</vt:i4>
      </vt:variant>
      <vt:variant>
        <vt:i4>18</vt:i4>
      </vt:variant>
      <vt:variant>
        <vt:i4>0</vt:i4>
      </vt:variant>
      <vt:variant>
        <vt:i4>5</vt:i4>
      </vt:variant>
      <vt:variant>
        <vt:lpwstr>http://kpmg.com/global/en/pages/default.aspx</vt:lpwstr>
      </vt:variant>
      <vt:variant>
        <vt:lpwstr/>
      </vt:variant>
      <vt:variant>
        <vt:i4>2293812</vt:i4>
      </vt:variant>
      <vt:variant>
        <vt:i4>15</vt:i4>
      </vt:variant>
      <vt:variant>
        <vt:i4>0</vt:i4>
      </vt:variant>
      <vt:variant>
        <vt:i4>5</vt:i4>
      </vt:variant>
      <vt:variant>
        <vt:lpwstr>http://www.kpmg.com/CZ/cs/services/Tax/Legal-Services/Stranky/Default.aspx</vt:lpwstr>
      </vt:variant>
      <vt:variant>
        <vt:lpwstr/>
      </vt:variant>
      <vt:variant>
        <vt:i4>5439563</vt:i4>
      </vt:variant>
      <vt:variant>
        <vt:i4>12</vt:i4>
      </vt:variant>
      <vt:variant>
        <vt:i4>0</vt:i4>
      </vt:variant>
      <vt:variant>
        <vt:i4>5</vt:i4>
      </vt:variant>
      <vt:variant>
        <vt:lpwstr>http://www.kpmg.com/CZ/cs/services/Advisory/Stranky/default.aspx</vt:lpwstr>
      </vt:variant>
      <vt:variant>
        <vt:lpwstr/>
      </vt:variant>
      <vt:variant>
        <vt:i4>8257662</vt:i4>
      </vt:variant>
      <vt:variant>
        <vt:i4>9</vt:i4>
      </vt:variant>
      <vt:variant>
        <vt:i4>0</vt:i4>
      </vt:variant>
      <vt:variant>
        <vt:i4>5</vt:i4>
      </vt:variant>
      <vt:variant>
        <vt:lpwstr>http://www.kpmg.com/CZ/cs/services/Tax/Stranky/default.aspx</vt:lpwstr>
      </vt:variant>
      <vt:variant>
        <vt:lpwstr/>
      </vt:variant>
      <vt:variant>
        <vt:i4>196611</vt:i4>
      </vt:variant>
      <vt:variant>
        <vt:i4>6</vt:i4>
      </vt:variant>
      <vt:variant>
        <vt:i4>0</vt:i4>
      </vt:variant>
      <vt:variant>
        <vt:i4>5</vt:i4>
      </vt:variant>
      <vt:variant>
        <vt:lpwstr>http://www.kpmg.com/cz/cs/services/audit/Stranky/default.aspx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http://www.kpmg.com/CZ/cs/Stranky/default.aspx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http://www.ceec.eu/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 Research</dc:creator>
  <cp:lastModifiedBy>CEEC</cp:lastModifiedBy>
  <cp:revision>3</cp:revision>
  <cp:lastPrinted>1900-12-31T23:00:00Z</cp:lastPrinted>
  <dcterms:created xsi:type="dcterms:W3CDTF">2014-05-12T10:44:00Z</dcterms:created>
  <dcterms:modified xsi:type="dcterms:W3CDTF">2014-05-12T10:49:00Z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